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right="23" w:rightChars="11"/>
        <w:jc w:val="both"/>
        <w:rPr>
          <w:rFonts w:hint="eastAsia" w:ascii="华文中宋" w:hAnsi="华文中宋" w:eastAsia="华文中宋"/>
          <w:b/>
          <w:color w:val="auto"/>
          <w:sz w:val="72"/>
          <w:szCs w:val="72"/>
        </w:rPr>
      </w:pPr>
    </w:p>
    <w:p>
      <w:pPr>
        <w:pStyle w:val="22"/>
        <w:ind w:right="23" w:rightChars="11"/>
        <w:jc w:val="both"/>
        <w:rPr>
          <w:rFonts w:hint="eastAsia" w:ascii="华文中宋" w:hAnsi="华文中宋" w:eastAsia="华文中宋"/>
          <w:b/>
          <w:color w:val="auto"/>
          <w:sz w:val="72"/>
          <w:szCs w:val="72"/>
        </w:rPr>
      </w:pPr>
    </w:p>
    <w:p>
      <w:pPr>
        <w:pStyle w:val="22"/>
        <w:ind w:right="23" w:rightChars="11"/>
        <w:jc w:val="both"/>
        <w:rPr>
          <w:rFonts w:hint="eastAsia" w:ascii="华文中宋" w:hAnsi="华文中宋" w:eastAsia="华文中宋"/>
          <w:b/>
          <w:color w:val="auto"/>
          <w:sz w:val="72"/>
          <w:szCs w:val="72"/>
        </w:rPr>
      </w:pPr>
    </w:p>
    <w:p>
      <w:pPr>
        <w:pStyle w:val="22"/>
        <w:ind w:right="23" w:rightChars="11"/>
        <w:jc w:val="center"/>
        <w:rPr>
          <w:rFonts w:hint="eastAsia" w:ascii="华文中宋" w:hAnsi="华文中宋" w:eastAsia="华文中宋"/>
          <w:b/>
          <w:color w:val="auto"/>
          <w:sz w:val="72"/>
          <w:szCs w:val="72"/>
        </w:rPr>
      </w:pPr>
      <w:r>
        <w:rPr>
          <w:rFonts w:hint="eastAsia" w:ascii="华文中宋" w:hAnsi="华文中宋" w:eastAsia="华文中宋"/>
          <w:b/>
          <w:color w:val="auto"/>
          <w:sz w:val="72"/>
          <w:szCs w:val="72"/>
        </w:rPr>
        <w:t>政府采购</w:t>
      </w:r>
    </w:p>
    <w:p>
      <w:pPr>
        <w:pStyle w:val="22"/>
        <w:ind w:right="23" w:rightChars="11"/>
        <w:jc w:val="center"/>
        <w:rPr>
          <w:rFonts w:hint="eastAsia" w:ascii="华文中宋" w:hAnsi="华文中宋" w:eastAsia="华文中宋"/>
          <w:b/>
          <w:color w:val="auto"/>
          <w:sz w:val="72"/>
          <w:szCs w:val="72"/>
        </w:rPr>
      </w:pPr>
    </w:p>
    <w:p>
      <w:pPr>
        <w:pStyle w:val="22"/>
        <w:adjustRightInd w:val="0"/>
        <w:snapToGrid w:val="0"/>
        <w:spacing w:line="360" w:lineRule="auto"/>
        <w:ind w:right="23" w:rightChars="11"/>
        <w:jc w:val="center"/>
        <w:rPr>
          <w:rFonts w:hint="eastAsia" w:ascii="华文中宋" w:hAnsi="华文中宋" w:eastAsia="华文中宋"/>
          <w:b/>
          <w:color w:val="auto"/>
          <w:sz w:val="72"/>
          <w:szCs w:val="72"/>
        </w:rPr>
      </w:pPr>
      <w:r>
        <w:rPr>
          <w:rFonts w:hint="eastAsia" w:ascii="华文中宋" w:hAnsi="华文中宋" w:eastAsia="华文中宋"/>
          <w:b/>
          <w:color w:val="auto"/>
          <w:sz w:val="72"/>
          <w:szCs w:val="72"/>
        </w:rPr>
        <w:t>竞争性谈判文件</w:t>
      </w:r>
    </w:p>
    <w:p>
      <w:pPr>
        <w:pStyle w:val="22"/>
        <w:adjustRightInd w:val="0"/>
        <w:snapToGrid w:val="0"/>
        <w:spacing w:before="120" w:beforeLines="50" w:line="360" w:lineRule="auto"/>
        <w:ind w:right="23" w:rightChars="11"/>
        <w:rPr>
          <w:rFonts w:hint="eastAsia" w:eastAsia="宋体"/>
          <w:b/>
          <w:color w:val="auto"/>
          <w:sz w:val="32"/>
          <w:szCs w:val="32"/>
          <w:lang w:eastAsia="zh-CN"/>
        </w:rPr>
      </w:pPr>
    </w:p>
    <w:p>
      <w:pPr>
        <w:pStyle w:val="22"/>
        <w:adjustRightInd w:val="0"/>
        <w:snapToGrid w:val="0"/>
        <w:spacing w:before="120" w:beforeLines="50" w:line="360" w:lineRule="auto"/>
        <w:ind w:right="23" w:rightChars="11"/>
        <w:rPr>
          <w:rFonts w:hint="eastAsia" w:eastAsia="宋体"/>
          <w:b/>
          <w:color w:val="auto"/>
          <w:sz w:val="32"/>
          <w:szCs w:val="32"/>
          <w:lang w:eastAsia="zh-CN"/>
        </w:rPr>
      </w:pPr>
    </w:p>
    <w:p>
      <w:pPr>
        <w:pStyle w:val="22"/>
        <w:adjustRightInd w:val="0"/>
        <w:snapToGrid w:val="0"/>
        <w:spacing w:before="120" w:beforeLines="50" w:line="360" w:lineRule="auto"/>
        <w:ind w:right="23" w:rightChars="11"/>
        <w:rPr>
          <w:rFonts w:hint="eastAsia" w:eastAsia="宋体"/>
          <w:b/>
          <w:color w:val="auto"/>
          <w:sz w:val="32"/>
          <w:szCs w:val="32"/>
          <w:lang w:eastAsia="zh-CN"/>
        </w:rPr>
      </w:pPr>
    </w:p>
    <w:p>
      <w:pPr>
        <w:pStyle w:val="22"/>
        <w:adjustRightInd w:val="0"/>
        <w:snapToGrid w:val="0"/>
        <w:spacing w:line="360" w:lineRule="auto"/>
        <w:ind w:left="2530" w:right="23" w:rightChars="11" w:hanging="2530" w:hangingChars="700"/>
        <w:jc w:val="both"/>
        <w:rPr>
          <w:rFonts w:hint="eastAsia" w:ascii="仿宋_GB2312" w:hAnsi="宋体" w:eastAsia="仿宋_GB2312"/>
          <w:b/>
          <w:color w:val="auto"/>
          <w:sz w:val="36"/>
          <w:szCs w:val="22"/>
        </w:rPr>
      </w:pPr>
      <w:r>
        <w:rPr>
          <w:rFonts w:hint="eastAsia" w:ascii="仿宋_GB2312" w:hAnsi="宋体" w:eastAsia="仿宋_GB2312"/>
          <w:b/>
          <w:color w:val="auto"/>
          <w:sz w:val="36"/>
          <w:szCs w:val="22"/>
        </w:rPr>
        <w:t>采购项目名称：</w:t>
      </w:r>
      <w:r>
        <w:rPr>
          <w:rFonts w:hint="eastAsia" w:ascii="仿宋_GB2312" w:hAnsi="宋体" w:eastAsia="仿宋_GB2312"/>
          <w:b/>
          <w:color w:val="auto"/>
          <w:sz w:val="36"/>
          <w:szCs w:val="22"/>
          <w:u w:val="single"/>
          <w:lang w:eastAsia="zh-CN"/>
        </w:rPr>
        <w:t>宁乡市金玉路金鑫北路提质改造项目监理</w:t>
      </w:r>
    </w:p>
    <w:p>
      <w:pPr>
        <w:pStyle w:val="22"/>
        <w:adjustRightInd w:val="0"/>
        <w:snapToGrid w:val="0"/>
        <w:spacing w:line="360" w:lineRule="auto"/>
        <w:ind w:right="23" w:rightChars="11"/>
        <w:jc w:val="both"/>
        <w:rPr>
          <w:rFonts w:hint="eastAsia" w:ascii="仿宋_GB2312" w:hAnsi="宋体" w:eastAsia="仿宋_GB2312"/>
          <w:b/>
          <w:color w:val="auto"/>
          <w:sz w:val="36"/>
          <w:szCs w:val="22"/>
          <w:u w:val="single"/>
          <w:lang w:eastAsia="zh-CN"/>
        </w:rPr>
      </w:pPr>
      <w:r>
        <w:rPr>
          <w:rFonts w:hint="eastAsia" w:ascii="仿宋_GB2312" w:hAnsi="宋体" w:eastAsia="仿宋_GB2312"/>
          <w:b/>
          <w:color w:val="auto"/>
          <w:sz w:val="36"/>
          <w:szCs w:val="22"/>
        </w:rPr>
        <w:t>采   购   人：</w:t>
      </w:r>
      <w:r>
        <w:rPr>
          <w:rFonts w:hint="eastAsia" w:ascii="仿宋_GB2312" w:hAnsi="宋体" w:eastAsia="仿宋_GB2312"/>
          <w:b/>
          <w:color w:val="auto"/>
          <w:sz w:val="36"/>
          <w:szCs w:val="22"/>
          <w:u w:val="single"/>
          <w:lang w:eastAsia="zh-CN"/>
        </w:rPr>
        <w:t>宁乡市城市建设投资集团有限公司</w:t>
      </w:r>
    </w:p>
    <w:p>
      <w:pPr>
        <w:pStyle w:val="22"/>
        <w:adjustRightInd w:val="0"/>
        <w:snapToGrid w:val="0"/>
        <w:spacing w:line="360" w:lineRule="auto"/>
        <w:ind w:right="23" w:rightChars="11"/>
        <w:jc w:val="both"/>
        <w:rPr>
          <w:rFonts w:hint="eastAsia" w:ascii="仿宋_GB2312" w:hAnsi="宋体" w:eastAsia="仿宋_GB2312"/>
          <w:b/>
          <w:color w:val="auto"/>
          <w:sz w:val="36"/>
          <w:szCs w:val="22"/>
          <w:lang w:val="en-US" w:eastAsia="zh-CN"/>
        </w:rPr>
      </w:pPr>
      <w:r>
        <w:rPr>
          <w:rFonts w:hint="eastAsia" w:ascii="仿宋_GB2312" w:hAnsi="宋体" w:eastAsia="仿宋_GB2312"/>
          <w:b/>
          <w:color w:val="auto"/>
          <w:sz w:val="36"/>
          <w:szCs w:val="22"/>
          <w:lang w:val="en-US" w:eastAsia="zh-CN"/>
        </w:rPr>
        <w:t>政府采购编号：</w:t>
      </w:r>
      <w:r>
        <w:rPr>
          <w:rFonts w:hint="eastAsia" w:ascii="仿宋_GB2312" w:hAnsi="宋体" w:eastAsia="仿宋_GB2312"/>
          <w:b/>
          <w:color w:val="auto"/>
          <w:sz w:val="36"/>
          <w:szCs w:val="22"/>
          <w:u w:val="single"/>
          <w:lang w:val="en-US" w:eastAsia="zh-CN"/>
        </w:rPr>
        <w:t>NXCG-JZ-201906240261</w:t>
      </w:r>
    </w:p>
    <w:p>
      <w:pPr>
        <w:pStyle w:val="22"/>
        <w:adjustRightInd w:val="0"/>
        <w:snapToGrid w:val="0"/>
        <w:spacing w:line="360" w:lineRule="auto"/>
        <w:ind w:right="23" w:rightChars="11"/>
        <w:jc w:val="both"/>
        <w:rPr>
          <w:rFonts w:hint="eastAsia" w:ascii="仿宋_GB2312" w:hAnsi="宋体" w:eastAsia="仿宋_GB2312"/>
          <w:b/>
          <w:color w:val="auto"/>
          <w:sz w:val="36"/>
          <w:szCs w:val="22"/>
          <w:lang w:val="en-US"/>
        </w:rPr>
      </w:pPr>
      <w:r>
        <w:rPr>
          <w:rFonts w:hint="eastAsia" w:ascii="仿宋_GB2312" w:hAnsi="宋体" w:eastAsia="仿宋_GB2312"/>
          <w:b/>
          <w:color w:val="auto"/>
          <w:sz w:val="36"/>
          <w:szCs w:val="22"/>
        </w:rPr>
        <w:t>委托代理编号</w:t>
      </w:r>
      <w:r>
        <w:rPr>
          <w:rFonts w:hint="eastAsia" w:ascii="仿宋_GB2312" w:hAnsi="宋体" w:eastAsia="仿宋_GB2312"/>
          <w:b/>
          <w:color w:val="auto"/>
          <w:sz w:val="36"/>
          <w:szCs w:val="22"/>
          <w:lang w:eastAsia="zh-CN"/>
        </w:rPr>
        <w:t>：</w:t>
      </w:r>
      <w:r>
        <w:rPr>
          <w:rFonts w:hint="eastAsia" w:ascii="仿宋_GB2312" w:hAnsi="宋体" w:eastAsia="仿宋_GB2312"/>
          <w:b/>
          <w:color w:val="auto"/>
          <w:sz w:val="36"/>
          <w:szCs w:val="22"/>
          <w:u w:val="single"/>
          <w:lang w:val="en-US" w:eastAsia="zh-CN"/>
        </w:rPr>
        <w:t>ZF-2019CG-022</w:t>
      </w:r>
    </w:p>
    <w:p>
      <w:pPr>
        <w:pStyle w:val="22"/>
        <w:adjustRightInd w:val="0"/>
        <w:snapToGrid w:val="0"/>
        <w:spacing w:line="360" w:lineRule="auto"/>
        <w:ind w:right="23" w:rightChars="11"/>
        <w:jc w:val="both"/>
        <w:rPr>
          <w:rFonts w:hint="eastAsia" w:ascii="仿宋_GB2312" w:hAnsi="宋体" w:eastAsia="仿宋_GB2312"/>
          <w:b/>
          <w:color w:val="auto"/>
          <w:sz w:val="36"/>
          <w:szCs w:val="22"/>
        </w:rPr>
      </w:pPr>
      <w:r>
        <w:rPr>
          <w:rFonts w:hint="eastAsia" w:ascii="仿宋_GB2312" w:hAnsi="宋体" w:eastAsia="仿宋_GB2312"/>
          <w:b/>
          <w:color w:val="auto"/>
          <w:sz w:val="36"/>
          <w:szCs w:val="22"/>
        </w:rPr>
        <w:t xml:space="preserve">采购代理机构: </w:t>
      </w:r>
      <w:r>
        <w:rPr>
          <w:rFonts w:hint="eastAsia" w:ascii="仿宋_GB2312" w:hAnsi="宋体" w:eastAsia="仿宋_GB2312"/>
          <w:b/>
          <w:color w:val="auto"/>
          <w:sz w:val="36"/>
          <w:szCs w:val="22"/>
          <w:u w:val="single"/>
          <w:lang w:eastAsia="zh-CN"/>
        </w:rPr>
        <w:t>湖南志方项目管理有限公司</w:t>
      </w:r>
    </w:p>
    <w:p>
      <w:pPr>
        <w:pStyle w:val="22"/>
        <w:adjustRightInd w:val="0"/>
        <w:snapToGrid w:val="0"/>
        <w:spacing w:line="360" w:lineRule="auto"/>
        <w:ind w:right="23" w:rightChars="11"/>
        <w:jc w:val="both"/>
        <w:rPr>
          <w:rFonts w:hint="eastAsia" w:hAnsi="宋体"/>
          <w:b/>
          <w:color w:val="auto"/>
          <w:sz w:val="32"/>
        </w:rPr>
      </w:pPr>
    </w:p>
    <w:p>
      <w:pPr>
        <w:pStyle w:val="22"/>
        <w:adjustRightInd w:val="0"/>
        <w:snapToGrid w:val="0"/>
        <w:spacing w:line="360" w:lineRule="auto"/>
        <w:ind w:right="23" w:rightChars="11"/>
        <w:jc w:val="center"/>
        <w:rPr>
          <w:rFonts w:hint="eastAsia" w:hAnsi="宋体"/>
          <w:b/>
          <w:color w:val="auto"/>
          <w:sz w:val="32"/>
        </w:rPr>
      </w:pPr>
      <w:r>
        <w:rPr>
          <w:rFonts w:hint="eastAsia" w:hAnsi="宋体"/>
          <w:b/>
          <w:color w:val="auto"/>
          <w:sz w:val="32"/>
        </w:rPr>
        <w:t xml:space="preserve"> 二零一</w:t>
      </w:r>
      <w:r>
        <w:rPr>
          <w:rFonts w:hint="eastAsia" w:hAnsi="宋体"/>
          <w:b/>
          <w:color w:val="auto"/>
          <w:sz w:val="32"/>
          <w:lang w:eastAsia="zh-CN"/>
        </w:rPr>
        <w:t>九</w:t>
      </w:r>
      <w:r>
        <w:rPr>
          <w:rFonts w:hint="eastAsia" w:hAnsi="宋体"/>
          <w:b/>
          <w:color w:val="auto"/>
          <w:sz w:val="32"/>
        </w:rPr>
        <w:t>年</w:t>
      </w:r>
      <w:r>
        <w:rPr>
          <w:rFonts w:hint="eastAsia" w:hAnsi="宋体"/>
          <w:b/>
          <w:color w:val="auto"/>
          <w:sz w:val="32"/>
          <w:lang w:eastAsia="zh-CN"/>
        </w:rPr>
        <w:t>七</w:t>
      </w:r>
      <w:r>
        <w:rPr>
          <w:rFonts w:hint="eastAsia" w:hAnsi="宋体"/>
          <w:b/>
          <w:color w:val="auto"/>
          <w:sz w:val="32"/>
        </w:rPr>
        <w:t>月</w:t>
      </w:r>
    </w:p>
    <w:p>
      <w:pPr>
        <w:pStyle w:val="22"/>
        <w:adjustRightInd w:val="0"/>
        <w:snapToGrid w:val="0"/>
        <w:spacing w:line="360" w:lineRule="auto"/>
        <w:ind w:right="23" w:rightChars="11"/>
        <w:jc w:val="both"/>
        <w:rPr>
          <w:rFonts w:hint="eastAsia" w:ascii="黑体" w:hAnsi="宋体" w:eastAsia="黑体"/>
          <w:b/>
          <w:color w:val="auto"/>
          <w:spacing w:val="160"/>
          <w:sz w:val="32"/>
          <w:szCs w:val="32"/>
          <w:lang w:val="en-US" w:eastAsia="zh-CN"/>
        </w:rPr>
      </w:pPr>
      <w:r>
        <w:rPr>
          <w:rFonts w:ascii="黑体" w:hAnsi="宋体" w:eastAsia="黑体"/>
          <w:b/>
          <w:color w:val="auto"/>
          <w:spacing w:val="160"/>
          <w:sz w:val="32"/>
          <w:szCs w:val="32"/>
        </w:rPr>
        <w:br w:type="page"/>
      </w:r>
      <w:r>
        <w:rPr>
          <w:rFonts w:hint="eastAsia" w:ascii="黑体" w:hAnsi="宋体" w:eastAsia="黑体"/>
          <w:b/>
          <w:color w:val="auto"/>
          <w:spacing w:val="160"/>
          <w:sz w:val="32"/>
          <w:szCs w:val="32"/>
          <w:lang w:val="en-US" w:eastAsia="zh-CN"/>
        </w:rPr>
        <w:t xml:space="preserve">       </w:t>
      </w:r>
    </w:p>
    <w:p>
      <w:pPr>
        <w:pStyle w:val="22"/>
        <w:adjustRightInd w:val="0"/>
        <w:snapToGrid w:val="0"/>
        <w:spacing w:line="360" w:lineRule="auto"/>
        <w:ind w:right="23" w:rightChars="11"/>
        <w:jc w:val="center"/>
        <w:rPr>
          <w:rFonts w:hint="eastAsia" w:ascii="黑体" w:hAnsi="宋体" w:eastAsia="黑体"/>
          <w:b/>
          <w:color w:val="auto"/>
          <w:spacing w:val="160"/>
          <w:sz w:val="32"/>
          <w:szCs w:val="32"/>
        </w:rPr>
      </w:pPr>
      <w:r>
        <w:rPr>
          <w:rFonts w:hint="eastAsia" w:ascii="黑体" w:hAnsi="宋体" w:eastAsia="黑体"/>
          <w:b/>
          <w:color w:val="auto"/>
          <w:spacing w:val="160"/>
          <w:sz w:val="32"/>
          <w:szCs w:val="32"/>
          <w:lang w:val="en-US" w:eastAsia="zh-CN"/>
        </w:rPr>
        <w:br w:type="page"/>
      </w:r>
      <w:r>
        <w:rPr>
          <w:rFonts w:hint="eastAsia" w:ascii="黑体" w:hAnsi="宋体" w:eastAsia="黑体"/>
          <w:b/>
          <w:color w:val="auto"/>
          <w:spacing w:val="160"/>
          <w:sz w:val="32"/>
          <w:szCs w:val="32"/>
          <w:lang w:val="en-US" w:eastAsia="zh-CN"/>
        </w:rPr>
        <w:t xml:space="preserve">  </w:t>
      </w:r>
      <w:r>
        <w:rPr>
          <w:rFonts w:hint="eastAsia" w:ascii="黑体" w:hAnsi="宋体" w:eastAsia="黑体"/>
          <w:b/>
          <w:color w:val="auto"/>
          <w:spacing w:val="160"/>
          <w:sz w:val="32"/>
          <w:szCs w:val="32"/>
        </w:rPr>
        <w:t>目录</w:t>
      </w:r>
    </w:p>
    <w:p>
      <w:pPr>
        <w:spacing w:line="360" w:lineRule="auto"/>
        <w:ind w:right="23" w:rightChars="11"/>
        <w:rPr>
          <w:rFonts w:hint="eastAsia" w:ascii="黑体" w:eastAsia="黑体"/>
          <w:b/>
          <w:color w:val="auto"/>
          <w:sz w:val="28"/>
          <w:szCs w:val="28"/>
        </w:rPr>
      </w:pPr>
    </w:p>
    <w:p>
      <w:pPr>
        <w:pStyle w:val="29"/>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TOC \o "1-2" \h \u </w:instrText>
      </w:r>
      <w:r>
        <w:rPr>
          <w:rFonts w:hint="eastAsia" w:ascii="黑体" w:eastAsia="黑体"/>
          <w:b/>
          <w:color w:val="auto"/>
          <w:sz w:val="28"/>
          <w:szCs w:val="28"/>
        </w:rPr>
        <w:fldChar w:fldCharType="separate"/>
      </w: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_Toc29414 </w:instrText>
      </w:r>
      <w:r>
        <w:rPr>
          <w:rFonts w:hint="eastAsia" w:ascii="黑体" w:eastAsia="黑体"/>
          <w:b/>
          <w:color w:val="auto"/>
          <w:sz w:val="28"/>
          <w:szCs w:val="28"/>
        </w:rPr>
        <w:fldChar w:fldCharType="separate"/>
      </w:r>
      <w:r>
        <w:rPr>
          <w:rFonts w:hint="eastAsia"/>
          <w:color w:val="auto"/>
          <w:sz w:val="28"/>
          <w:szCs w:val="28"/>
        </w:rPr>
        <w:t>第一章  谈判通知</w:t>
      </w:r>
      <w:r>
        <w:rPr>
          <w:color w:val="auto"/>
          <w:sz w:val="28"/>
          <w:szCs w:val="28"/>
        </w:rPr>
        <w:tab/>
      </w:r>
      <w:r>
        <w:rPr>
          <w:color w:val="auto"/>
          <w:sz w:val="28"/>
          <w:szCs w:val="28"/>
        </w:rPr>
        <w:fldChar w:fldCharType="begin"/>
      </w:r>
      <w:r>
        <w:rPr>
          <w:color w:val="auto"/>
          <w:sz w:val="28"/>
          <w:szCs w:val="28"/>
        </w:rPr>
        <w:instrText xml:space="preserve"> PAGEREF _Toc29414 </w:instrText>
      </w:r>
      <w:r>
        <w:rPr>
          <w:color w:val="auto"/>
          <w:sz w:val="28"/>
          <w:szCs w:val="28"/>
        </w:rPr>
        <w:fldChar w:fldCharType="separate"/>
      </w:r>
      <w:r>
        <w:rPr>
          <w:color w:val="auto"/>
          <w:sz w:val="28"/>
          <w:szCs w:val="28"/>
        </w:rPr>
        <w:t>1</w:t>
      </w:r>
      <w:r>
        <w:rPr>
          <w:color w:val="auto"/>
          <w:sz w:val="28"/>
          <w:szCs w:val="28"/>
        </w:rPr>
        <w:fldChar w:fldCharType="end"/>
      </w:r>
      <w:r>
        <w:rPr>
          <w:rFonts w:hint="eastAsia" w:ascii="黑体" w:eastAsia="黑体"/>
          <w:b/>
          <w:color w:val="auto"/>
          <w:sz w:val="28"/>
          <w:szCs w:val="28"/>
        </w:rPr>
        <w:fldChar w:fldCharType="end"/>
      </w:r>
    </w:p>
    <w:p>
      <w:pPr>
        <w:pStyle w:val="29"/>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_Toc13929 </w:instrText>
      </w:r>
      <w:r>
        <w:rPr>
          <w:rFonts w:hint="eastAsia" w:ascii="黑体" w:eastAsia="黑体"/>
          <w:b/>
          <w:color w:val="auto"/>
          <w:sz w:val="28"/>
          <w:szCs w:val="28"/>
        </w:rPr>
        <w:fldChar w:fldCharType="separate"/>
      </w:r>
      <w:r>
        <w:rPr>
          <w:rFonts w:hint="eastAsia"/>
          <w:color w:val="auto"/>
          <w:sz w:val="28"/>
          <w:szCs w:val="28"/>
        </w:rPr>
        <w:t>第二章 谈判须知</w:t>
      </w:r>
      <w:r>
        <w:rPr>
          <w:color w:val="auto"/>
          <w:sz w:val="28"/>
          <w:szCs w:val="28"/>
        </w:rPr>
        <w:tab/>
      </w:r>
      <w:r>
        <w:rPr>
          <w:color w:val="auto"/>
          <w:sz w:val="28"/>
          <w:szCs w:val="28"/>
        </w:rPr>
        <w:fldChar w:fldCharType="begin"/>
      </w:r>
      <w:r>
        <w:rPr>
          <w:color w:val="auto"/>
          <w:sz w:val="28"/>
          <w:szCs w:val="28"/>
        </w:rPr>
        <w:instrText xml:space="preserve"> PAGEREF _Toc13929 </w:instrText>
      </w:r>
      <w:r>
        <w:rPr>
          <w:color w:val="auto"/>
          <w:sz w:val="28"/>
          <w:szCs w:val="28"/>
        </w:rPr>
        <w:fldChar w:fldCharType="separate"/>
      </w:r>
      <w:r>
        <w:rPr>
          <w:color w:val="auto"/>
          <w:sz w:val="28"/>
          <w:szCs w:val="28"/>
        </w:rPr>
        <w:t>1</w:t>
      </w:r>
      <w:r>
        <w:rPr>
          <w:color w:val="auto"/>
          <w:sz w:val="28"/>
          <w:szCs w:val="28"/>
        </w:rPr>
        <w:fldChar w:fldCharType="end"/>
      </w:r>
      <w:r>
        <w:rPr>
          <w:rFonts w:hint="eastAsia" w:ascii="黑体" w:eastAsia="黑体"/>
          <w:b/>
          <w:color w:val="auto"/>
          <w:sz w:val="28"/>
          <w:szCs w:val="28"/>
        </w:rPr>
        <w:fldChar w:fldCharType="end"/>
      </w:r>
    </w:p>
    <w:p>
      <w:pPr>
        <w:pStyle w:val="33"/>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_Toc28574 </w:instrText>
      </w:r>
      <w:r>
        <w:rPr>
          <w:rFonts w:hint="eastAsia" w:ascii="黑体" w:eastAsia="黑体"/>
          <w:b/>
          <w:color w:val="auto"/>
          <w:sz w:val="28"/>
          <w:szCs w:val="28"/>
        </w:rPr>
        <w:fldChar w:fldCharType="separate"/>
      </w:r>
      <w:r>
        <w:rPr>
          <w:rFonts w:hint="eastAsia"/>
          <w:color w:val="auto"/>
          <w:sz w:val="28"/>
          <w:szCs w:val="28"/>
        </w:rPr>
        <w:t>谈判须知前附表</w:t>
      </w:r>
      <w:r>
        <w:rPr>
          <w:color w:val="auto"/>
          <w:sz w:val="28"/>
          <w:szCs w:val="28"/>
        </w:rPr>
        <w:tab/>
      </w:r>
      <w:r>
        <w:rPr>
          <w:color w:val="auto"/>
          <w:sz w:val="28"/>
          <w:szCs w:val="28"/>
        </w:rPr>
        <w:fldChar w:fldCharType="begin"/>
      </w:r>
      <w:r>
        <w:rPr>
          <w:color w:val="auto"/>
          <w:sz w:val="28"/>
          <w:szCs w:val="28"/>
        </w:rPr>
        <w:instrText xml:space="preserve"> PAGEREF _Toc28574 </w:instrText>
      </w:r>
      <w:r>
        <w:rPr>
          <w:color w:val="auto"/>
          <w:sz w:val="28"/>
          <w:szCs w:val="28"/>
        </w:rPr>
        <w:fldChar w:fldCharType="separate"/>
      </w:r>
      <w:r>
        <w:rPr>
          <w:color w:val="auto"/>
          <w:sz w:val="28"/>
          <w:szCs w:val="28"/>
        </w:rPr>
        <w:t>2</w:t>
      </w:r>
      <w:r>
        <w:rPr>
          <w:color w:val="auto"/>
          <w:sz w:val="28"/>
          <w:szCs w:val="28"/>
        </w:rPr>
        <w:fldChar w:fldCharType="end"/>
      </w:r>
      <w:r>
        <w:rPr>
          <w:rFonts w:hint="eastAsia" w:ascii="黑体" w:eastAsia="黑体"/>
          <w:b/>
          <w:color w:val="auto"/>
          <w:sz w:val="28"/>
          <w:szCs w:val="28"/>
        </w:rPr>
        <w:fldChar w:fldCharType="end"/>
      </w:r>
    </w:p>
    <w:p>
      <w:pPr>
        <w:pStyle w:val="33"/>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_Toc7796 </w:instrText>
      </w:r>
      <w:r>
        <w:rPr>
          <w:rFonts w:hint="eastAsia" w:ascii="黑体" w:eastAsia="黑体"/>
          <w:b/>
          <w:color w:val="auto"/>
          <w:sz w:val="28"/>
          <w:szCs w:val="28"/>
        </w:rPr>
        <w:fldChar w:fldCharType="separate"/>
      </w:r>
      <w:r>
        <w:rPr>
          <w:rFonts w:hint="eastAsia"/>
          <w:color w:val="auto"/>
          <w:sz w:val="28"/>
          <w:szCs w:val="28"/>
        </w:rPr>
        <w:t>谈判须知正文</w:t>
      </w:r>
      <w:r>
        <w:rPr>
          <w:color w:val="auto"/>
          <w:sz w:val="28"/>
          <w:szCs w:val="28"/>
        </w:rPr>
        <w:tab/>
      </w:r>
      <w:r>
        <w:rPr>
          <w:color w:val="auto"/>
          <w:sz w:val="28"/>
          <w:szCs w:val="28"/>
        </w:rPr>
        <w:fldChar w:fldCharType="begin"/>
      </w:r>
      <w:r>
        <w:rPr>
          <w:color w:val="auto"/>
          <w:sz w:val="28"/>
          <w:szCs w:val="28"/>
        </w:rPr>
        <w:instrText xml:space="preserve"> PAGEREF _Toc7796 </w:instrText>
      </w:r>
      <w:r>
        <w:rPr>
          <w:color w:val="auto"/>
          <w:sz w:val="28"/>
          <w:szCs w:val="28"/>
        </w:rPr>
        <w:fldChar w:fldCharType="separate"/>
      </w:r>
      <w:r>
        <w:rPr>
          <w:color w:val="auto"/>
          <w:sz w:val="28"/>
          <w:szCs w:val="28"/>
        </w:rPr>
        <w:t>7</w:t>
      </w:r>
      <w:r>
        <w:rPr>
          <w:color w:val="auto"/>
          <w:sz w:val="28"/>
          <w:szCs w:val="28"/>
        </w:rPr>
        <w:fldChar w:fldCharType="end"/>
      </w:r>
      <w:r>
        <w:rPr>
          <w:rFonts w:hint="eastAsia" w:ascii="黑体" w:eastAsia="黑体"/>
          <w:b/>
          <w:color w:val="auto"/>
          <w:sz w:val="28"/>
          <w:szCs w:val="28"/>
        </w:rPr>
        <w:fldChar w:fldCharType="end"/>
      </w:r>
    </w:p>
    <w:p>
      <w:pPr>
        <w:pStyle w:val="29"/>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_Toc19693 </w:instrText>
      </w:r>
      <w:r>
        <w:rPr>
          <w:rFonts w:hint="eastAsia" w:ascii="黑体" w:eastAsia="黑体"/>
          <w:b/>
          <w:color w:val="auto"/>
          <w:sz w:val="28"/>
          <w:szCs w:val="28"/>
        </w:rPr>
        <w:fldChar w:fldCharType="separate"/>
      </w:r>
      <w:r>
        <w:rPr>
          <w:rFonts w:hint="eastAsia"/>
          <w:color w:val="auto"/>
          <w:sz w:val="28"/>
          <w:szCs w:val="28"/>
        </w:rPr>
        <w:t>第三章  政府采购合同格式条款</w:t>
      </w:r>
      <w:r>
        <w:rPr>
          <w:color w:val="auto"/>
          <w:sz w:val="28"/>
          <w:szCs w:val="28"/>
        </w:rPr>
        <w:tab/>
      </w:r>
      <w:r>
        <w:rPr>
          <w:color w:val="auto"/>
          <w:sz w:val="28"/>
          <w:szCs w:val="28"/>
        </w:rPr>
        <w:fldChar w:fldCharType="begin"/>
      </w:r>
      <w:r>
        <w:rPr>
          <w:color w:val="auto"/>
          <w:sz w:val="28"/>
          <w:szCs w:val="28"/>
        </w:rPr>
        <w:instrText xml:space="preserve"> PAGEREF _Toc19693 </w:instrText>
      </w:r>
      <w:r>
        <w:rPr>
          <w:color w:val="auto"/>
          <w:sz w:val="28"/>
          <w:szCs w:val="28"/>
        </w:rPr>
        <w:fldChar w:fldCharType="separate"/>
      </w:r>
      <w:r>
        <w:rPr>
          <w:color w:val="auto"/>
          <w:sz w:val="28"/>
          <w:szCs w:val="28"/>
        </w:rPr>
        <w:t>18</w:t>
      </w:r>
      <w:r>
        <w:rPr>
          <w:color w:val="auto"/>
          <w:sz w:val="28"/>
          <w:szCs w:val="28"/>
        </w:rPr>
        <w:fldChar w:fldCharType="end"/>
      </w:r>
      <w:r>
        <w:rPr>
          <w:rFonts w:hint="eastAsia" w:ascii="黑体" w:eastAsia="黑体"/>
          <w:b/>
          <w:color w:val="auto"/>
          <w:sz w:val="28"/>
          <w:szCs w:val="28"/>
        </w:rPr>
        <w:fldChar w:fldCharType="end"/>
      </w:r>
    </w:p>
    <w:p>
      <w:pPr>
        <w:pStyle w:val="33"/>
        <w:tabs>
          <w:tab w:val="right" w:leader="dot" w:pos="9014"/>
        </w:tabs>
        <w:spacing w:line="360" w:lineRule="auto"/>
        <w:rPr>
          <w:color w:val="auto"/>
          <w:sz w:val="28"/>
          <w:szCs w:val="28"/>
        </w:rPr>
      </w:pPr>
      <w:r>
        <w:rPr>
          <w:rFonts w:hint="eastAsia"/>
          <w:color w:val="auto"/>
          <w:sz w:val="28"/>
          <w:szCs w:val="28"/>
          <w:lang w:eastAsia="zh-CN"/>
        </w:rPr>
        <w:t>一、</w:t>
      </w: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_Toc25445 </w:instrText>
      </w:r>
      <w:r>
        <w:rPr>
          <w:rFonts w:hint="eastAsia" w:ascii="黑体" w:eastAsia="黑体"/>
          <w:b/>
          <w:color w:val="auto"/>
          <w:sz w:val="28"/>
          <w:szCs w:val="28"/>
        </w:rPr>
        <w:fldChar w:fldCharType="separate"/>
      </w:r>
      <w:r>
        <w:rPr>
          <w:rFonts w:hint="eastAsia"/>
          <w:color w:val="auto"/>
          <w:sz w:val="28"/>
          <w:szCs w:val="28"/>
        </w:rPr>
        <w:t>政府采购合同协议书</w:t>
      </w:r>
      <w:r>
        <w:rPr>
          <w:color w:val="auto"/>
          <w:sz w:val="28"/>
          <w:szCs w:val="28"/>
        </w:rPr>
        <w:tab/>
      </w:r>
      <w:r>
        <w:rPr>
          <w:color w:val="auto"/>
          <w:sz w:val="28"/>
          <w:szCs w:val="28"/>
        </w:rPr>
        <w:fldChar w:fldCharType="begin"/>
      </w:r>
      <w:r>
        <w:rPr>
          <w:color w:val="auto"/>
          <w:sz w:val="28"/>
          <w:szCs w:val="28"/>
        </w:rPr>
        <w:instrText xml:space="preserve"> PAGEREF _Toc25445 </w:instrText>
      </w:r>
      <w:r>
        <w:rPr>
          <w:color w:val="auto"/>
          <w:sz w:val="28"/>
          <w:szCs w:val="28"/>
        </w:rPr>
        <w:fldChar w:fldCharType="separate"/>
      </w:r>
      <w:r>
        <w:rPr>
          <w:color w:val="auto"/>
          <w:sz w:val="28"/>
          <w:szCs w:val="28"/>
        </w:rPr>
        <w:t>18</w:t>
      </w:r>
      <w:r>
        <w:rPr>
          <w:color w:val="auto"/>
          <w:sz w:val="28"/>
          <w:szCs w:val="28"/>
        </w:rPr>
        <w:fldChar w:fldCharType="end"/>
      </w:r>
      <w:r>
        <w:rPr>
          <w:rFonts w:hint="eastAsia" w:ascii="黑体" w:eastAsia="黑体"/>
          <w:b/>
          <w:color w:val="auto"/>
          <w:sz w:val="28"/>
          <w:szCs w:val="28"/>
        </w:rPr>
        <w:fldChar w:fldCharType="end"/>
      </w:r>
    </w:p>
    <w:p>
      <w:pPr>
        <w:pStyle w:val="33"/>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_Toc29284 </w:instrText>
      </w:r>
      <w:r>
        <w:rPr>
          <w:rFonts w:hint="eastAsia" w:ascii="黑体" w:eastAsia="黑体"/>
          <w:b/>
          <w:color w:val="auto"/>
          <w:sz w:val="28"/>
          <w:szCs w:val="28"/>
        </w:rPr>
        <w:fldChar w:fldCharType="separate"/>
      </w:r>
      <w:r>
        <w:rPr>
          <w:rFonts w:hint="eastAsia"/>
          <w:color w:val="auto"/>
          <w:sz w:val="28"/>
          <w:szCs w:val="28"/>
        </w:rPr>
        <w:t>二、通用合同条款</w:t>
      </w:r>
      <w:r>
        <w:rPr>
          <w:color w:val="auto"/>
          <w:sz w:val="28"/>
          <w:szCs w:val="28"/>
        </w:rPr>
        <w:tab/>
      </w:r>
      <w:r>
        <w:rPr>
          <w:color w:val="auto"/>
          <w:sz w:val="28"/>
          <w:szCs w:val="28"/>
        </w:rPr>
        <w:fldChar w:fldCharType="begin"/>
      </w:r>
      <w:r>
        <w:rPr>
          <w:color w:val="auto"/>
          <w:sz w:val="28"/>
          <w:szCs w:val="28"/>
        </w:rPr>
        <w:instrText xml:space="preserve"> PAGEREF _Toc29284 </w:instrText>
      </w:r>
      <w:r>
        <w:rPr>
          <w:color w:val="auto"/>
          <w:sz w:val="28"/>
          <w:szCs w:val="28"/>
        </w:rPr>
        <w:fldChar w:fldCharType="separate"/>
      </w:r>
      <w:r>
        <w:rPr>
          <w:color w:val="auto"/>
          <w:sz w:val="28"/>
          <w:szCs w:val="28"/>
        </w:rPr>
        <w:t>20</w:t>
      </w:r>
      <w:r>
        <w:rPr>
          <w:color w:val="auto"/>
          <w:sz w:val="28"/>
          <w:szCs w:val="28"/>
        </w:rPr>
        <w:fldChar w:fldCharType="end"/>
      </w:r>
      <w:r>
        <w:rPr>
          <w:rFonts w:hint="eastAsia" w:ascii="黑体" w:eastAsia="黑体"/>
          <w:b/>
          <w:color w:val="auto"/>
          <w:sz w:val="28"/>
          <w:szCs w:val="28"/>
        </w:rPr>
        <w:fldChar w:fldCharType="end"/>
      </w:r>
    </w:p>
    <w:p>
      <w:pPr>
        <w:pStyle w:val="33"/>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_Toc21960 </w:instrText>
      </w:r>
      <w:r>
        <w:rPr>
          <w:rFonts w:hint="eastAsia" w:ascii="黑体" w:eastAsia="黑体"/>
          <w:b/>
          <w:color w:val="auto"/>
          <w:sz w:val="28"/>
          <w:szCs w:val="28"/>
        </w:rPr>
        <w:fldChar w:fldCharType="separate"/>
      </w:r>
      <w:r>
        <w:rPr>
          <w:rFonts w:hint="eastAsia"/>
          <w:color w:val="auto"/>
          <w:sz w:val="28"/>
          <w:szCs w:val="28"/>
        </w:rPr>
        <w:t>三、专用合同条款</w:t>
      </w:r>
      <w:r>
        <w:rPr>
          <w:color w:val="auto"/>
          <w:sz w:val="28"/>
          <w:szCs w:val="28"/>
        </w:rPr>
        <w:tab/>
      </w:r>
      <w:r>
        <w:rPr>
          <w:color w:val="auto"/>
          <w:sz w:val="28"/>
          <w:szCs w:val="28"/>
        </w:rPr>
        <w:fldChar w:fldCharType="begin"/>
      </w:r>
      <w:r>
        <w:rPr>
          <w:color w:val="auto"/>
          <w:sz w:val="28"/>
          <w:szCs w:val="28"/>
        </w:rPr>
        <w:instrText xml:space="preserve"> PAGEREF _Toc21960 </w:instrText>
      </w:r>
      <w:r>
        <w:rPr>
          <w:color w:val="auto"/>
          <w:sz w:val="28"/>
          <w:szCs w:val="28"/>
        </w:rPr>
        <w:fldChar w:fldCharType="separate"/>
      </w:r>
      <w:r>
        <w:rPr>
          <w:color w:val="auto"/>
          <w:sz w:val="28"/>
          <w:szCs w:val="28"/>
        </w:rPr>
        <w:t>20</w:t>
      </w:r>
      <w:r>
        <w:rPr>
          <w:color w:val="auto"/>
          <w:sz w:val="28"/>
          <w:szCs w:val="28"/>
        </w:rPr>
        <w:fldChar w:fldCharType="end"/>
      </w:r>
      <w:r>
        <w:rPr>
          <w:rFonts w:hint="eastAsia" w:ascii="黑体" w:eastAsia="黑体"/>
          <w:b/>
          <w:color w:val="auto"/>
          <w:sz w:val="28"/>
          <w:szCs w:val="28"/>
        </w:rPr>
        <w:fldChar w:fldCharType="end"/>
      </w:r>
    </w:p>
    <w:p>
      <w:pPr>
        <w:pStyle w:val="29"/>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_Toc15641 </w:instrText>
      </w:r>
      <w:r>
        <w:rPr>
          <w:rFonts w:hint="eastAsia" w:ascii="黑体" w:eastAsia="黑体"/>
          <w:b/>
          <w:color w:val="auto"/>
          <w:sz w:val="28"/>
          <w:szCs w:val="28"/>
        </w:rPr>
        <w:fldChar w:fldCharType="separate"/>
      </w:r>
      <w:r>
        <w:rPr>
          <w:rFonts w:hint="eastAsia"/>
          <w:color w:val="auto"/>
          <w:sz w:val="28"/>
          <w:szCs w:val="28"/>
        </w:rPr>
        <w:t>第四章 采购需求</w:t>
      </w:r>
      <w:r>
        <w:rPr>
          <w:color w:val="auto"/>
          <w:sz w:val="28"/>
          <w:szCs w:val="28"/>
        </w:rPr>
        <w:tab/>
      </w:r>
      <w:r>
        <w:rPr>
          <w:color w:val="auto"/>
          <w:sz w:val="28"/>
          <w:szCs w:val="28"/>
        </w:rPr>
        <w:fldChar w:fldCharType="begin"/>
      </w:r>
      <w:r>
        <w:rPr>
          <w:color w:val="auto"/>
          <w:sz w:val="28"/>
          <w:szCs w:val="28"/>
        </w:rPr>
        <w:instrText xml:space="preserve"> PAGEREF _Toc15641 </w:instrText>
      </w:r>
      <w:r>
        <w:rPr>
          <w:color w:val="auto"/>
          <w:sz w:val="28"/>
          <w:szCs w:val="28"/>
        </w:rPr>
        <w:fldChar w:fldCharType="separate"/>
      </w:r>
      <w:r>
        <w:rPr>
          <w:color w:val="auto"/>
          <w:sz w:val="28"/>
          <w:szCs w:val="28"/>
        </w:rPr>
        <w:t>20</w:t>
      </w:r>
      <w:r>
        <w:rPr>
          <w:color w:val="auto"/>
          <w:sz w:val="28"/>
          <w:szCs w:val="28"/>
        </w:rPr>
        <w:fldChar w:fldCharType="end"/>
      </w:r>
      <w:r>
        <w:rPr>
          <w:rFonts w:hint="eastAsia" w:ascii="黑体" w:eastAsia="黑体"/>
          <w:b/>
          <w:color w:val="auto"/>
          <w:sz w:val="28"/>
          <w:szCs w:val="28"/>
        </w:rPr>
        <w:fldChar w:fldCharType="end"/>
      </w:r>
    </w:p>
    <w:p>
      <w:pPr>
        <w:pStyle w:val="29"/>
        <w:tabs>
          <w:tab w:val="right" w:leader="dot" w:pos="9014"/>
        </w:tabs>
        <w:spacing w:line="360" w:lineRule="auto"/>
        <w:rPr>
          <w:color w:val="auto"/>
          <w:sz w:val="28"/>
          <w:szCs w:val="28"/>
        </w:rPr>
      </w:pPr>
      <w:r>
        <w:rPr>
          <w:rFonts w:hint="eastAsia" w:ascii="黑体" w:eastAsia="黑体"/>
          <w:b/>
          <w:color w:val="auto"/>
          <w:sz w:val="28"/>
          <w:szCs w:val="28"/>
        </w:rPr>
        <w:fldChar w:fldCharType="begin"/>
      </w:r>
      <w:r>
        <w:rPr>
          <w:rFonts w:hint="eastAsia" w:ascii="黑体" w:eastAsia="黑体"/>
          <w:b/>
          <w:color w:val="auto"/>
          <w:sz w:val="28"/>
          <w:szCs w:val="28"/>
        </w:rPr>
        <w:instrText xml:space="preserve"> HYPERLINK \l _Toc23541 </w:instrText>
      </w:r>
      <w:r>
        <w:rPr>
          <w:rFonts w:hint="eastAsia" w:ascii="黑体" w:eastAsia="黑体"/>
          <w:b/>
          <w:color w:val="auto"/>
          <w:sz w:val="28"/>
          <w:szCs w:val="28"/>
        </w:rPr>
        <w:fldChar w:fldCharType="separate"/>
      </w:r>
      <w:r>
        <w:rPr>
          <w:rFonts w:hint="eastAsia"/>
          <w:color w:val="auto"/>
          <w:sz w:val="28"/>
          <w:szCs w:val="28"/>
        </w:rPr>
        <w:t>第五章 响应文件组成</w:t>
      </w:r>
      <w:r>
        <w:rPr>
          <w:color w:val="auto"/>
          <w:sz w:val="28"/>
          <w:szCs w:val="28"/>
        </w:rPr>
        <w:tab/>
      </w:r>
      <w:r>
        <w:rPr>
          <w:color w:val="auto"/>
          <w:sz w:val="28"/>
          <w:szCs w:val="28"/>
        </w:rPr>
        <w:fldChar w:fldCharType="begin"/>
      </w:r>
      <w:r>
        <w:rPr>
          <w:color w:val="auto"/>
          <w:sz w:val="28"/>
          <w:szCs w:val="28"/>
        </w:rPr>
        <w:instrText xml:space="preserve"> PAGEREF _Toc23541 </w:instrText>
      </w:r>
      <w:r>
        <w:rPr>
          <w:color w:val="auto"/>
          <w:sz w:val="28"/>
          <w:szCs w:val="28"/>
        </w:rPr>
        <w:fldChar w:fldCharType="separate"/>
      </w:r>
      <w:r>
        <w:rPr>
          <w:color w:val="auto"/>
          <w:sz w:val="28"/>
          <w:szCs w:val="28"/>
        </w:rPr>
        <w:t>22</w:t>
      </w:r>
      <w:r>
        <w:rPr>
          <w:color w:val="auto"/>
          <w:sz w:val="28"/>
          <w:szCs w:val="28"/>
        </w:rPr>
        <w:fldChar w:fldCharType="end"/>
      </w:r>
      <w:r>
        <w:rPr>
          <w:rFonts w:hint="eastAsia" w:ascii="黑体" w:eastAsia="黑体"/>
          <w:b/>
          <w:color w:val="auto"/>
          <w:sz w:val="28"/>
          <w:szCs w:val="28"/>
        </w:rPr>
        <w:fldChar w:fldCharType="end"/>
      </w:r>
    </w:p>
    <w:p>
      <w:pPr>
        <w:pStyle w:val="29"/>
        <w:tabs>
          <w:tab w:val="right" w:leader="dot" w:pos="9014"/>
        </w:tabs>
        <w:spacing w:line="360" w:lineRule="auto"/>
        <w:rPr>
          <w:color w:val="auto"/>
          <w:sz w:val="28"/>
          <w:szCs w:val="28"/>
        </w:rPr>
      </w:pPr>
    </w:p>
    <w:p>
      <w:pPr>
        <w:spacing w:line="360" w:lineRule="auto"/>
        <w:ind w:right="23" w:rightChars="11"/>
        <w:rPr>
          <w:rFonts w:hint="eastAsia" w:ascii="黑体" w:eastAsia="黑体"/>
          <w:b/>
          <w:color w:val="auto"/>
          <w:sz w:val="24"/>
        </w:rPr>
      </w:pPr>
      <w:r>
        <w:rPr>
          <w:rFonts w:hint="eastAsia" w:ascii="黑体" w:eastAsia="黑体"/>
          <w:b/>
          <w:color w:val="auto"/>
          <w:sz w:val="28"/>
          <w:szCs w:val="28"/>
        </w:rPr>
        <w:fldChar w:fldCharType="end"/>
      </w: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lang w:val="en-US" w:eastAsia="zh-CN"/>
        </w:rPr>
      </w:pPr>
      <w:r>
        <w:rPr>
          <w:rFonts w:hint="eastAsia" w:ascii="黑体" w:eastAsia="黑体"/>
          <w:b/>
          <w:color w:val="auto"/>
          <w:sz w:val="24"/>
          <w:lang w:val="en-US" w:eastAsia="zh-CN"/>
        </w:rPr>
        <w:t xml:space="preserve"> </w:t>
      </w: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360" w:lineRule="exact"/>
        <w:ind w:right="23" w:rightChars="11"/>
        <w:rPr>
          <w:rFonts w:hint="eastAsia" w:ascii="黑体" w:eastAsia="黑体"/>
          <w:b/>
          <w:color w:val="auto"/>
          <w:sz w:val="24"/>
        </w:rPr>
      </w:pPr>
    </w:p>
    <w:p>
      <w:pPr>
        <w:spacing w:line="440" w:lineRule="atLeast"/>
        <w:ind w:right="23" w:rightChars="11"/>
        <w:jc w:val="center"/>
        <w:rPr>
          <w:rFonts w:hint="eastAsia" w:ascii="黑体" w:hAnsi="宋体" w:eastAsia="黑体"/>
          <w:b/>
          <w:color w:val="auto"/>
          <w:sz w:val="32"/>
          <w:szCs w:val="32"/>
        </w:rPr>
        <w:sectPr>
          <w:headerReference r:id="rId3" w:type="default"/>
          <w:footerReference r:id="rId4" w:type="default"/>
          <w:pgSz w:w="11906" w:h="16838"/>
          <w:pgMar w:top="1474" w:right="1418" w:bottom="1418" w:left="1474" w:header="851" w:footer="992" w:gutter="0"/>
          <w:cols w:space="720" w:num="1"/>
          <w:docGrid w:linePitch="312" w:charSpace="0"/>
        </w:sectPr>
      </w:pPr>
    </w:p>
    <w:p>
      <w:pPr>
        <w:pStyle w:val="2"/>
        <w:rPr>
          <w:rFonts w:hint="eastAsia"/>
          <w:color w:val="auto"/>
        </w:rPr>
      </w:pPr>
      <w:bookmarkStart w:id="0" w:name="_Toc29414"/>
      <w:r>
        <w:rPr>
          <w:rFonts w:hint="eastAsia"/>
          <w:color w:val="auto"/>
        </w:rPr>
        <w:t>第一章  谈判通知</w:t>
      </w:r>
      <w:bookmarkEnd w:id="0"/>
    </w:p>
    <w:p>
      <w:pPr>
        <w:autoSpaceDE w:val="0"/>
        <w:autoSpaceDN w:val="0"/>
        <w:adjustRightInd w:val="0"/>
        <w:snapToGrid w:val="0"/>
        <w:spacing w:line="360" w:lineRule="auto"/>
        <w:ind w:right="23" w:rightChars="11"/>
        <w:jc w:val="left"/>
        <w:rPr>
          <w:rFonts w:hint="eastAsia" w:ascii="宋体" w:hAnsi="宋体" w:cs="宋体"/>
          <w:color w:val="auto"/>
          <w:kern w:val="0"/>
          <w:szCs w:val="21"/>
        </w:rPr>
      </w:pPr>
    </w:p>
    <w:p>
      <w:pPr>
        <w:adjustRightInd w:val="0"/>
        <w:snapToGrid w:val="0"/>
        <w:spacing w:line="360" w:lineRule="auto"/>
        <w:ind w:right="23" w:rightChars="11"/>
        <w:rPr>
          <w:rFonts w:hint="eastAsia" w:ascii="宋体" w:hAnsi="宋体"/>
          <w:iCs/>
          <w:color w:val="auto"/>
          <w:szCs w:val="21"/>
        </w:rPr>
      </w:pPr>
      <w:bookmarkStart w:id="1" w:name="_Toc13929"/>
      <w:r>
        <w:rPr>
          <w:rFonts w:hint="eastAsia" w:ascii="宋体" w:hAnsi="宋体"/>
          <w:iCs/>
          <w:color w:val="auto"/>
          <w:szCs w:val="21"/>
          <w:u w:val="single"/>
        </w:rPr>
        <w:t xml:space="preserve">                  </w:t>
      </w:r>
      <w:r>
        <w:rPr>
          <w:rFonts w:hint="eastAsia" w:ascii="宋体" w:hAnsi="宋体"/>
          <w:iCs/>
          <w:color w:val="auto"/>
          <w:szCs w:val="21"/>
        </w:rPr>
        <w:t>(</w:t>
      </w:r>
      <w:r>
        <w:rPr>
          <w:rFonts w:hint="eastAsia" w:ascii="宋体" w:hAnsi="宋体" w:cs="宋体"/>
          <w:color w:val="auto"/>
          <w:kern w:val="0"/>
          <w:szCs w:val="21"/>
        </w:rPr>
        <w:t>被邀请</w:t>
      </w:r>
      <w:r>
        <w:rPr>
          <w:rFonts w:hint="eastAsia" w:ascii="宋体" w:hAnsi="宋体"/>
          <w:color w:val="auto"/>
          <w:szCs w:val="21"/>
        </w:rPr>
        <w:t>供应商</w:t>
      </w:r>
      <w:r>
        <w:rPr>
          <w:rFonts w:hint="eastAsia" w:ascii="宋体" w:hAnsi="宋体" w:cs="宋体"/>
          <w:color w:val="auto"/>
          <w:kern w:val="0"/>
          <w:szCs w:val="21"/>
        </w:rPr>
        <w:t>名称</w:t>
      </w:r>
      <w:r>
        <w:rPr>
          <w:rFonts w:hint="eastAsia" w:ascii="宋体" w:hAnsi="宋体"/>
          <w:iCs/>
          <w:color w:val="auto"/>
          <w:szCs w:val="21"/>
        </w:rPr>
        <w:t>)：</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u w:val="single"/>
        </w:rPr>
        <w:t xml:space="preserve"> </w:t>
      </w:r>
      <w:r>
        <w:rPr>
          <w:rFonts w:hint="eastAsia" w:ascii="宋体" w:hAnsi="宋体"/>
          <w:color w:val="auto"/>
          <w:u w:val="single"/>
          <w:lang w:eastAsia="zh-CN"/>
        </w:rPr>
        <w:t>宁乡市城市建设投资集团有限公司</w:t>
      </w:r>
      <w:r>
        <w:rPr>
          <w:rFonts w:hint="eastAsia" w:ascii="宋体" w:hAnsi="宋体"/>
          <w:color w:val="auto"/>
          <w:u w:val="single"/>
        </w:rPr>
        <w:t xml:space="preserve">  </w:t>
      </w:r>
      <w:r>
        <w:rPr>
          <w:rFonts w:hint="eastAsia" w:ascii="宋体" w:hAnsi="宋体"/>
          <w:color w:val="auto"/>
          <w:szCs w:val="21"/>
        </w:rPr>
        <w:t>的</w:t>
      </w:r>
      <w:r>
        <w:rPr>
          <w:rFonts w:hint="eastAsia" w:ascii="宋体" w:hAnsi="宋体"/>
          <w:color w:val="auto"/>
          <w:u w:val="single"/>
          <w:lang w:eastAsia="zh-CN"/>
        </w:rPr>
        <w:t>宁乡市金玉路金鑫北路提质改造项目监理</w:t>
      </w:r>
      <w:r>
        <w:rPr>
          <w:rFonts w:hint="eastAsia" w:ascii="宋体" w:hAnsi="宋体"/>
          <w:color w:val="auto"/>
          <w:szCs w:val="21"/>
        </w:rPr>
        <w:t>（项目名称）（政府采购编号</w:t>
      </w:r>
      <w:r>
        <w:rPr>
          <w:rFonts w:hint="eastAsia" w:ascii="宋体" w:hAnsi="宋体"/>
          <w:color w:val="auto"/>
          <w:szCs w:val="21"/>
          <w:lang w:val="en-US" w:eastAsia="zh-CN"/>
        </w:rPr>
        <w:t>:</w:t>
      </w:r>
      <w:r>
        <w:rPr>
          <w:rFonts w:hint="eastAsia" w:ascii="宋体" w:hAnsi="宋体"/>
          <w:color w:val="auto"/>
          <w:szCs w:val="21"/>
          <w:lang w:eastAsia="zh-CN"/>
        </w:rPr>
        <w:t xml:space="preserve"> </w:t>
      </w:r>
      <w:r>
        <w:rPr>
          <w:rFonts w:hint="eastAsia" w:ascii="宋体" w:hAnsi="宋体"/>
          <w:color w:val="auto"/>
          <w:szCs w:val="21"/>
          <w:u w:val="single"/>
          <w:lang w:eastAsia="zh-CN"/>
        </w:rPr>
        <w:t>NXCG-JZ-201906240261</w:t>
      </w:r>
      <w:r>
        <w:rPr>
          <w:rFonts w:hint="eastAsia" w:ascii="宋体" w:hAnsi="宋体"/>
          <w:color w:val="auto"/>
          <w:szCs w:val="21"/>
          <w:lang w:val="en-US" w:eastAsia="zh-CN"/>
        </w:rPr>
        <w:t xml:space="preserve"> </w:t>
      </w:r>
      <w:r>
        <w:rPr>
          <w:rFonts w:hint="eastAsia" w:ascii="宋体" w:hAnsi="宋体"/>
          <w:color w:val="auto"/>
          <w:szCs w:val="21"/>
        </w:rPr>
        <w:t>；委托代理编号</w:t>
      </w:r>
      <w:r>
        <w:rPr>
          <w:rFonts w:hint="eastAsia" w:ascii="宋体" w:hAnsi="宋体"/>
          <w:color w:val="auto"/>
          <w:szCs w:val="21"/>
          <w:u w:val="single"/>
        </w:rPr>
        <w:t>:</w:t>
      </w:r>
      <w:r>
        <w:rPr>
          <w:rFonts w:hint="eastAsia" w:ascii="宋体" w:hAnsi="宋体"/>
          <w:color w:val="auto"/>
          <w:szCs w:val="21"/>
          <w:u w:val="single"/>
          <w:lang w:val="en-US" w:eastAsia="zh-CN"/>
        </w:rPr>
        <w:t>ZF-2019CG-022</w:t>
      </w:r>
      <w:r>
        <w:rPr>
          <w:rFonts w:hint="eastAsia" w:ascii="宋体" w:hAnsi="宋体"/>
          <w:color w:val="auto"/>
          <w:szCs w:val="21"/>
        </w:rPr>
        <w:t>）项目进行竞争性谈判采购。经谈判小组确定，通知你单位参加谈判。</w:t>
      </w:r>
    </w:p>
    <w:p>
      <w:pPr>
        <w:pStyle w:val="22"/>
        <w:adjustRightInd w:val="0"/>
        <w:snapToGrid w:val="0"/>
        <w:spacing w:line="360" w:lineRule="auto"/>
        <w:ind w:left="23" w:leftChars="11" w:right="23" w:rightChars="11" w:firstLine="420" w:firstLineChars="200"/>
        <w:jc w:val="both"/>
        <w:rPr>
          <w:rFonts w:hint="eastAsia" w:hAnsi="宋体"/>
          <w:color w:val="auto"/>
        </w:rPr>
      </w:pPr>
      <w:r>
        <w:rPr>
          <w:rFonts w:hint="eastAsia" w:hAnsi="宋体"/>
          <w:color w:val="auto"/>
        </w:rPr>
        <w:t>1、请</w:t>
      </w:r>
      <w:r>
        <w:rPr>
          <w:rFonts w:hint="eastAsia" w:hAnsi="宋体" w:cs="宋体"/>
          <w:color w:val="auto"/>
          <w:kern w:val="0"/>
        </w:rPr>
        <w:t>你单位于</w:t>
      </w:r>
      <w:r>
        <w:rPr>
          <w:rFonts w:hint="eastAsia" w:hAnsi="宋体"/>
          <w:color w:val="auto"/>
          <w:u w:val="single"/>
        </w:rPr>
        <w:t xml:space="preserve"> </w:t>
      </w:r>
      <w:r>
        <w:rPr>
          <w:rFonts w:hint="eastAsia" w:hAnsi="宋体"/>
          <w:color w:val="auto"/>
          <w:u w:val="single"/>
          <w:lang w:eastAsia="zh-CN"/>
        </w:rPr>
        <w:t>201</w:t>
      </w:r>
      <w:r>
        <w:rPr>
          <w:rFonts w:hint="eastAsia" w:hAnsi="宋体"/>
          <w:color w:val="auto"/>
          <w:u w:val="single"/>
          <w:lang w:val="en-US" w:eastAsia="zh-CN"/>
        </w:rPr>
        <w:t>9</w:t>
      </w:r>
      <w:r>
        <w:rPr>
          <w:rFonts w:hint="eastAsia" w:hAnsi="宋体"/>
          <w:color w:val="auto"/>
          <w:u w:val="single"/>
        </w:rPr>
        <w:t xml:space="preserve"> </w:t>
      </w:r>
      <w:r>
        <w:rPr>
          <w:rFonts w:hint="eastAsia" w:hAnsi="宋体"/>
          <w:color w:val="auto"/>
        </w:rPr>
        <w:t>年</w:t>
      </w:r>
      <w:r>
        <w:rPr>
          <w:rFonts w:hint="eastAsia" w:hAnsi="宋体"/>
          <w:color w:val="auto"/>
          <w:u w:val="single"/>
          <w:lang w:val="en-US" w:eastAsia="zh-CN"/>
        </w:rPr>
        <w:t>7</w:t>
      </w:r>
      <w:r>
        <w:rPr>
          <w:rFonts w:hint="eastAsia" w:hAnsi="宋体"/>
          <w:color w:val="auto"/>
        </w:rPr>
        <w:t>月</w:t>
      </w:r>
      <w:r>
        <w:rPr>
          <w:rFonts w:hint="eastAsia" w:hAnsi="宋体"/>
          <w:color w:val="auto"/>
          <w:u w:val="single"/>
        </w:rPr>
        <w:t xml:space="preserve"> </w:t>
      </w:r>
      <w:r>
        <w:rPr>
          <w:rFonts w:hint="eastAsia" w:hAnsi="宋体"/>
          <w:color w:val="auto"/>
          <w:u w:val="single"/>
          <w:lang w:val="en-US" w:eastAsia="zh-CN"/>
        </w:rPr>
        <w:t>5</w:t>
      </w:r>
      <w:r>
        <w:rPr>
          <w:rFonts w:hint="eastAsia" w:hAnsi="宋体"/>
          <w:color w:val="auto"/>
        </w:rPr>
        <w:t xml:space="preserve">日起至 </w:t>
      </w:r>
      <w:r>
        <w:rPr>
          <w:rFonts w:hint="eastAsia" w:hAnsi="宋体"/>
          <w:color w:val="auto"/>
          <w:u w:val="single"/>
        </w:rPr>
        <w:t xml:space="preserve"> </w:t>
      </w:r>
      <w:r>
        <w:rPr>
          <w:rFonts w:hint="eastAsia" w:hAnsi="宋体"/>
          <w:color w:val="auto"/>
          <w:u w:val="single"/>
          <w:lang w:eastAsia="zh-CN"/>
        </w:rPr>
        <w:t>201</w:t>
      </w:r>
      <w:r>
        <w:rPr>
          <w:rFonts w:hint="eastAsia" w:hAnsi="宋体"/>
          <w:color w:val="auto"/>
          <w:u w:val="single"/>
          <w:lang w:val="en-US" w:eastAsia="zh-CN"/>
        </w:rPr>
        <w:t>9</w:t>
      </w:r>
      <w:r>
        <w:rPr>
          <w:rFonts w:hint="eastAsia" w:hAnsi="宋体"/>
          <w:color w:val="auto"/>
          <w:u w:val="single"/>
        </w:rPr>
        <w:t xml:space="preserve"> </w:t>
      </w:r>
      <w:r>
        <w:rPr>
          <w:rFonts w:hint="eastAsia" w:hAnsi="宋体"/>
          <w:color w:val="auto"/>
        </w:rPr>
        <w:t>年</w:t>
      </w:r>
      <w:r>
        <w:rPr>
          <w:rFonts w:hint="eastAsia" w:hAnsi="宋体"/>
          <w:color w:val="auto"/>
          <w:u w:val="single"/>
          <w:lang w:val="en-US" w:eastAsia="zh-CN"/>
        </w:rPr>
        <w:t>7</w:t>
      </w:r>
      <w:r>
        <w:rPr>
          <w:rFonts w:hint="eastAsia" w:hAnsi="宋体"/>
          <w:color w:val="auto"/>
        </w:rPr>
        <w:t>月</w:t>
      </w:r>
      <w:r>
        <w:rPr>
          <w:rFonts w:hint="eastAsia" w:hAnsi="宋体"/>
          <w:color w:val="auto"/>
          <w:u w:val="single"/>
        </w:rPr>
        <w:t xml:space="preserve"> </w:t>
      </w:r>
      <w:r>
        <w:rPr>
          <w:rFonts w:hint="eastAsia" w:hAnsi="宋体"/>
          <w:color w:val="auto"/>
          <w:u w:val="single"/>
          <w:lang w:val="en-US" w:eastAsia="zh-CN"/>
        </w:rPr>
        <w:t>10</w:t>
      </w:r>
      <w:r>
        <w:rPr>
          <w:rFonts w:hint="eastAsia" w:hAnsi="宋体"/>
          <w:color w:val="auto"/>
        </w:rPr>
        <w:t>日(节假日除外)，每日上午</w:t>
      </w:r>
      <w:r>
        <w:rPr>
          <w:rFonts w:hint="eastAsia" w:hAnsi="宋体"/>
          <w:color w:val="auto"/>
          <w:u w:val="single"/>
          <w:lang w:val="en-US" w:eastAsia="zh-CN"/>
        </w:rPr>
        <w:t>9：0</w:t>
      </w:r>
      <w:r>
        <w:rPr>
          <w:rFonts w:hint="eastAsia" w:hAnsi="宋体"/>
          <w:color w:val="auto"/>
          <w:u w:val="single"/>
        </w:rPr>
        <w:t>0</w:t>
      </w:r>
      <w:r>
        <w:rPr>
          <w:rFonts w:hint="eastAsia" w:hAnsi="宋体"/>
          <w:color w:val="auto"/>
        </w:rPr>
        <w:t>～</w:t>
      </w:r>
      <w:r>
        <w:rPr>
          <w:rFonts w:hint="eastAsia" w:hAnsi="宋体"/>
          <w:color w:val="auto"/>
          <w:u w:val="single"/>
        </w:rPr>
        <w:t xml:space="preserve">   12:00、</w:t>
      </w:r>
      <w:r>
        <w:rPr>
          <w:rFonts w:hint="eastAsia" w:hAnsi="宋体"/>
          <w:color w:val="auto"/>
        </w:rPr>
        <w:t>下午</w:t>
      </w:r>
      <w:r>
        <w:rPr>
          <w:rFonts w:hint="eastAsia" w:hAnsi="宋体"/>
          <w:color w:val="auto"/>
          <w:u w:val="single"/>
        </w:rPr>
        <w:t xml:space="preserve">14:00 </w:t>
      </w:r>
      <w:r>
        <w:rPr>
          <w:rFonts w:hint="eastAsia" w:hAnsi="宋体"/>
          <w:color w:val="auto"/>
        </w:rPr>
        <w:t>～</w:t>
      </w:r>
      <w:r>
        <w:rPr>
          <w:rFonts w:hint="eastAsia" w:hAnsi="宋体"/>
          <w:color w:val="auto"/>
          <w:u w:val="single"/>
        </w:rPr>
        <w:t xml:space="preserve"> 17:</w:t>
      </w:r>
      <w:r>
        <w:rPr>
          <w:rFonts w:hint="eastAsia" w:hAnsi="宋体"/>
          <w:color w:val="auto"/>
          <w:u w:val="single"/>
          <w:lang w:val="en-US" w:eastAsia="zh-CN"/>
        </w:rPr>
        <w:t>0</w:t>
      </w:r>
      <w:r>
        <w:rPr>
          <w:rFonts w:hint="eastAsia" w:hAnsi="宋体"/>
          <w:color w:val="auto"/>
          <w:u w:val="single"/>
        </w:rPr>
        <w:t xml:space="preserve">0 </w:t>
      </w:r>
      <w:r>
        <w:rPr>
          <w:rFonts w:hint="eastAsia" w:hAnsi="宋体"/>
          <w:color w:val="auto"/>
        </w:rPr>
        <w:t>，</w:t>
      </w:r>
      <w:r>
        <w:rPr>
          <w:rFonts w:hint="eastAsia" w:hAnsi="宋体"/>
          <w:color w:val="auto"/>
        </w:rPr>
        <w:t>持谈判通知、个人身份证、法定代表人身份证明(或者授权委托书并附法定代表人身份证明)到</w:t>
      </w:r>
      <w:r>
        <w:rPr>
          <w:rFonts w:hint="eastAsia" w:hAnsi="宋体"/>
          <w:color w:val="auto"/>
          <w:u w:val="single"/>
        </w:rPr>
        <w:t xml:space="preserve"> </w:t>
      </w:r>
      <w:r>
        <w:rPr>
          <w:rFonts w:hint="eastAsia" w:hAnsi="宋体"/>
          <w:color w:val="auto"/>
          <w:u w:val="single"/>
          <w:lang w:eastAsia="zh-CN"/>
        </w:rPr>
        <w:t>湖南志方项目管理有限公司（宁乡市花明北路财汇立方14楼）</w:t>
      </w:r>
      <w:r>
        <w:rPr>
          <w:rFonts w:hint="eastAsia" w:hAnsi="宋体"/>
          <w:color w:val="auto"/>
          <w:u w:val="single"/>
        </w:rPr>
        <w:t xml:space="preserve"> </w:t>
      </w:r>
      <w:r>
        <w:rPr>
          <w:rFonts w:hint="eastAsia" w:hAnsi="宋体"/>
          <w:color w:val="auto"/>
        </w:rPr>
        <w:t>购买谈判文件，</w:t>
      </w:r>
      <w:r>
        <w:rPr>
          <w:rFonts w:hint="eastAsia" w:hAnsi="宋体"/>
          <w:bCs/>
          <w:color w:val="auto"/>
        </w:rPr>
        <w:t>谈判文件售价：</w:t>
      </w:r>
      <w:r>
        <w:rPr>
          <w:rFonts w:hint="eastAsia" w:hAnsi="宋体"/>
          <w:bCs/>
          <w:color w:val="auto"/>
          <w:u w:val="single"/>
        </w:rPr>
        <w:t xml:space="preserve"> 400 </w:t>
      </w:r>
      <w:r>
        <w:rPr>
          <w:rFonts w:hint="eastAsia" w:hAnsi="宋体"/>
          <w:bCs/>
          <w:color w:val="auto"/>
        </w:rPr>
        <w:t>元/套，售后不退</w:t>
      </w:r>
      <w:r>
        <w:rPr>
          <w:rFonts w:hint="eastAsia" w:hAnsi="宋体"/>
          <w:color w:val="auto"/>
        </w:rPr>
        <w:t>。</w:t>
      </w:r>
    </w:p>
    <w:p>
      <w:pPr>
        <w:adjustRightInd w:val="0"/>
        <w:snapToGrid w:val="0"/>
        <w:spacing w:line="360" w:lineRule="auto"/>
        <w:ind w:right="23" w:rightChars="11" w:firstLine="420" w:firstLineChars="200"/>
        <w:rPr>
          <w:rFonts w:hint="eastAsia" w:ascii="宋体" w:hAnsi="宋体"/>
          <w:color w:val="auto"/>
          <w:szCs w:val="21"/>
          <w:lang w:eastAsia="zh-CN"/>
        </w:rPr>
      </w:pPr>
      <w:r>
        <w:rPr>
          <w:rFonts w:hint="eastAsia" w:ascii="宋体" w:hAnsi="宋体"/>
          <w:color w:val="auto"/>
        </w:rPr>
        <w:t>2、</w:t>
      </w:r>
      <w:r>
        <w:rPr>
          <w:rFonts w:hint="eastAsia" w:ascii="宋体" w:hAnsi="宋体"/>
          <w:color w:val="auto"/>
          <w:szCs w:val="21"/>
        </w:rPr>
        <w:t>提交首次响应文件的截止时间为</w:t>
      </w:r>
      <w:r>
        <w:rPr>
          <w:rFonts w:hint="eastAsia" w:ascii="宋体" w:hAnsi="宋体"/>
          <w:color w:val="auto"/>
          <w:szCs w:val="21"/>
          <w:u w:val="single"/>
        </w:rPr>
        <w:t xml:space="preserve">  201</w:t>
      </w:r>
      <w:r>
        <w:rPr>
          <w:rFonts w:hint="eastAsia" w:ascii="宋体" w:hAnsi="宋体"/>
          <w:color w:val="auto"/>
          <w:szCs w:val="21"/>
          <w:u w:val="single"/>
          <w:lang w:val="en-US" w:eastAsia="zh-CN"/>
        </w:rPr>
        <w:t xml:space="preserve">9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u w:val="single"/>
          <w:lang w:val="en-US" w:eastAsia="zh-CN"/>
        </w:rPr>
        <w:t>7</w:t>
      </w:r>
      <w:r>
        <w:rPr>
          <w:rFonts w:hint="eastAsia" w:ascii="宋体" w:hAnsi="宋体"/>
          <w:color w:val="auto"/>
          <w:szCs w:val="21"/>
        </w:rPr>
        <w:t>月</w:t>
      </w:r>
      <w:r>
        <w:rPr>
          <w:rFonts w:hint="eastAsia" w:ascii="宋体" w:hAnsi="宋体"/>
          <w:color w:val="auto"/>
          <w:szCs w:val="21"/>
          <w:u w:val="single"/>
          <w:lang w:val="en-US" w:eastAsia="zh-CN"/>
        </w:rPr>
        <w:t xml:space="preserve"> 11</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u w:val="single"/>
          <w:lang w:val="en-US" w:eastAsia="zh-CN"/>
        </w:rPr>
        <w:t>14</w:t>
      </w:r>
      <w:r>
        <w:rPr>
          <w:rFonts w:hint="eastAsia" w:ascii="宋体" w:hAnsi="宋体"/>
          <w:color w:val="auto"/>
          <w:szCs w:val="21"/>
        </w:rPr>
        <w:t>时</w:t>
      </w:r>
      <w:r>
        <w:rPr>
          <w:rFonts w:hint="eastAsia" w:ascii="宋体" w:hAnsi="宋体"/>
          <w:color w:val="auto"/>
          <w:szCs w:val="21"/>
          <w:u w:val="single"/>
          <w:lang w:val="en-US" w:eastAsia="zh-CN"/>
        </w:rPr>
        <w:t xml:space="preserve"> 00 </w:t>
      </w:r>
      <w:r>
        <w:rPr>
          <w:rFonts w:hint="eastAsia" w:ascii="宋体" w:hAnsi="宋体"/>
          <w:color w:val="auto"/>
          <w:szCs w:val="21"/>
        </w:rPr>
        <w:t>分(北京时间)</w:t>
      </w:r>
      <w:r>
        <w:rPr>
          <w:rFonts w:hint="eastAsia" w:ascii="宋体" w:hAnsi="宋体"/>
          <w:color w:val="auto"/>
          <w:szCs w:val="21"/>
        </w:rPr>
        <w:t>，地点为</w:t>
      </w:r>
      <w:r>
        <w:rPr>
          <w:rFonts w:hint="eastAsia" w:ascii="宋体" w:hAnsi="宋体"/>
          <w:color w:val="auto"/>
          <w:szCs w:val="21"/>
          <w:lang w:eastAsia="zh-CN"/>
        </w:rPr>
        <w:t>湖南志方项目管理有限公司（宁乡市花明北路财汇立方14楼）</w:t>
      </w:r>
    </w:p>
    <w:p>
      <w:pPr>
        <w:adjustRightInd w:val="0"/>
        <w:snapToGrid w:val="0"/>
        <w:spacing w:line="360" w:lineRule="auto"/>
        <w:ind w:right="23" w:rightChars="11" w:firstLine="420" w:firstLineChars="200"/>
        <w:rPr>
          <w:rFonts w:hint="eastAsia" w:ascii="宋体" w:hAnsi="宋体" w:cs="Arial"/>
          <w:color w:val="auto"/>
          <w:szCs w:val="21"/>
        </w:rPr>
      </w:pPr>
      <w:r>
        <w:rPr>
          <w:rFonts w:hint="eastAsia" w:ascii="宋体" w:hAnsi="宋体"/>
          <w:color w:val="auto"/>
          <w:szCs w:val="21"/>
        </w:rPr>
        <w:t>3、</w:t>
      </w:r>
      <w:r>
        <w:rPr>
          <w:rFonts w:hint="eastAsia" w:ascii="宋体" w:hAnsi="宋体" w:cs="Arial"/>
          <w:color w:val="auto"/>
          <w:szCs w:val="21"/>
        </w:rPr>
        <w:t>逾期送达或者不按</w:t>
      </w:r>
      <w:r>
        <w:rPr>
          <w:rFonts w:hint="eastAsia" w:ascii="宋体" w:hAnsi="宋体"/>
          <w:color w:val="auto"/>
          <w:szCs w:val="21"/>
        </w:rPr>
        <w:t>谈判</w:t>
      </w:r>
      <w:r>
        <w:rPr>
          <w:rFonts w:hint="eastAsia" w:ascii="宋体" w:hAnsi="宋体" w:cs="Arial"/>
          <w:color w:val="auto"/>
          <w:szCs w:val="21"/>
        </w:rPr>
        <w:t>文件要求密封或者不</w:t>
      </w:r>
      <w:r>
        <w:rPr>
          <w:rFonts w:hint="eastAsia" w:ascii="宋体" w:hAnsi="宋体"/>
          <w:color w:val="auto"/>
          <w:szCs w:val="21"/>
        </w:rPr>
        <w:t>按谈判文件的要求提供保证金的响应</w:t>
      </w:r>
      <w:r>
        <w:rPr>
          <w:rFonts w:hint="eastAsia" w:ascii="宋体" w:hAnsi="宋体" w:cs="Arial"/>
          <w:color w:val="auto"/>
          <w:szCs w:val="21"/>
        </w:rPr>
        <w:t>文件，</w:t>
      </w:r>
      <w:r>
        <w:rPr>
          <w:rFonts w:hint="eastAsia" w:hAnsi="宋体"/>
          <w:bCs/>
          <w:color w:val="auto"/>
        </w:rPr>
        <w:t>采购人或</w:t>
      </w:r>
      <w:r>
        <w:rPr>
          <w:rFonts w:hint="eastAsia" w:ascii="宋体" w:hAnsi="宋体"/>
          <w:color w:val="auto"/>
          <w:szCs w:val="21"/>
        </w:rPr>
        <w:t>采购代理机构将拒绝接</w:t>
      </w:r>
      <w:r>
        <w:rPr>
          <w:rFonts w:hint="eastAsia" w:ascii="宋体" w:hAnsi="宋体" w:cs="Arial"/>
          <w:color w:val="auto"/>
          <w:szCs w:val="21"/>
        </w:rPr>
        <w:t>收。</w:t>
      </w:r>
    </w:p>
    <w:p>
      <w:pPr>
        <w:adjustRightInd w:val="0"/>
        <w:snapToGrid w:val="0"/>
        <w:spacing w:line="360" w:lineRule="auto"/>
        <w:ind w:right="23" w:rightChars="11"/>
        <w:rPr>
          <w:rFonts w:hint="eastAsia" w:ascii="宋体" w:hAnsi="宋体" w:cs="Arial"/>
          <w:color w:val="auto"/>
          <w:szCs w:val="21"/>
        </w:rPr>
      </w:pPr>
      <w:r>
        <w:rPr>
          <w:rFonts w:hint="eastAsia" w:ascii="宋体" w:hAnsi="宋体" w:cs="Arial"/>
          <w:color w:val="auto"/>
          <w:szCs w:val="21"/>
          <w:lang w:val="en-US" w:eastAsia="zh-CN"/>
        </w:rPr>
        <w:t xml:space="preserve">    </w:t>
      </w:r>
      <w:r>
        <w:rPr>
          <w:rFonts w:hint="eastAsia" w:ascii="宋体" w:hAnsi="宋体" w:cs="Arial"/>
          <w:color w:val="auto"/>
          <w:szCs w:val="21"/>
        </w:rPr>
        <w:t>4、采购人同意采购代理机招标代理服务费由</w:t>
      </w:r>
      <w:r>
        <w:rPr>
          <w:rFonts w:hint="eastAsia" w:ascii="宋体" w:hAnsi="宋体" w:cs="Arial"/>
          <w:color w:val="auto"/>
          <w:szCs w:val="21"/>
          <w:lang w:eastAsia="zh-CN"/>
        </w:rPr>
        <w:t>成交供应商</w:t>
      </w:r>
      <w:r>
        <w:rPr>
          <w:rFonts w:hint="eastAsia" w:ascii="宋体" w:hAnsi="宋体" w:cs="Arial"/>
          <w:color w:val="auto"/>
          <w:szCs w:val="21"/>
        </w:rPr>
        <w:t>位进行支付。具体标准见</w:t>
      </w:r>
      <w:r>
        <w:rPr>
          <w:rFonts w:hint="eastAsia" w:ascii="宋体" w:hAnsi="宋体" w:cs="Arial"/>
          <w:color w:val="auto"/>
          <w:szCs w:val="21"/>
          <w:lang w:eastAsia="zh-CN"/>
        </w:rPr>
        <w:t>谈判须知</w:t>
      </w:r>
      <w:r>
        <w:rPr>
          <w:rFonts w:hint="eastAsia" w:ascii="宋体" w:hAnsi="宋体" w:cs="Arial"/>
          <w:color w:val="auto"/>
          <w:szCs w:val="21"/>
        </w:rPr>
        <w:t>前附表。</w:t>
      </w:r>
    </w:p>
    <w:p>
      <w:pPr>
        <w:adjustRightInd w:val="0"/>
        <w:snapToGrid w:val="0"/>
        <w:spacing w:line="360" w:lineRule="auto"/>
        <w:ind w:right="23" w:rightChars="11" w:firstLine="420" w:firstLineChars="200"/>
        <w:rPr>
          <w:rFonts w:hint="eastAsia" w:ascii="宋体" w:hAnsi="宋体" w:cs="Arial"/>
          <w:color w:val="auto"/>
          <w:szCs w:val="21"/>
        </w:rPr>
      </w:pPr>
      <w:r>
        <w:rPr>
          <w:rFonts w:hint="eastAsia" w:ascii="宋体" w:hAnsi="宋体" w:cs="Arial"/>
          <w:color w:val="auto"/>
          <w:szCs w:val="21"/>
        </w:rPr>
        <w:t>5、你单位收到本通知后，请于</w:t>
      </w:r>
      <w:r>
        <w:rPr>
          <w:rFonts w:hint="eastAsia" w:ascii="宋体" w:hAnsi="宋体"/>
          <w:color w:val="auto"/>
          <w:szCs w:val="21"/>
          <w:u w:val="single"/>
        </w:rPr>
        <w:t xml:space="preserve"> </w:t>
      </w:r>
      <w:r>
        <w:rPr>
          <w:rFonts w:hint="eastAsia" w:ascii="宋体" w:hAnsi="宋体"/>
          <w:color w:val="auto"/>
          <w:szCs w:val="21"/>
          <w:u w:val="single"/>
          <w:lang w:eastAsia="zh-CN"/>
        </w:rPr>
        <w:t>201</w:t>
      </w:r>
      <w:r>
        <w:rPr>
          <w:rFonts w:hint="eastAsia" w:ascii="宋体" w:hAnsi="宋体"/>
          <w:color w:val="auto"/>
          <w:szCs w:val="21"/>
          <w:u w:val="single"/>
          <w:lang w:val="en-US" w:eastAsia="zh-CN"/>
        </w:rPr>
        <w:t>9</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u w:val="single"/>
          <w:lang w:val="en-US" w:eastAsia="zh-CN"/>
        </w:rPr>
        <w:t>7</w:t>
      </w:r>
      <w:r>
        <w:rPr>
          <w:rFonts w:hint="eastAsia" w:ascii="宋体" w:hAnsi="宋体"/>
          <w:color w:val="auto"/>
          <w:szCs w:val="21"/>
        </w:rPr>
        <w:t>月</w:t>
      </w:r>
      <w:r>
        <w:rPr>
          <w:rFonts w:hint="eastAsia" w:ascii="宋体" w:hAnsi="宋体"/>
          <w:color w:val="auto"/>
          <w:szCs w:val="21"/>
          <w:u w:val="single"/>
          <w:lang w:val="en-US" w:eastAsia="zh-CN"/>
        </w:rPr>
        <w:t xml:space="preserve"> 10</w:t>
      </w:r>
      <w:r>
        <w:rPr>
          <w:rFonts w:hint="eastAsia" w:ascii="宋体" w:hAnsi="宋体"/>
          <w:color w:val="auto"/>
          <w:szCs w:val="21"/>
        </w:rPr>
        <w:t>日</w:t>
      </w:r>
      <w:r>
        <w:rPr>
          <w:rFonts w:hint="eastAsia" w:ascii="宋体" w:hAnsi="宋体" w:cs="Arial"/>
          <w:color w:val="auto"/>
          <w:szCs w:val="21"/>
          <w:u w:val="single"/>
        </w:rPr>
        <w:t xml:space="preserve"> </w:t>
      </w:r>
      <w:r>
        <w:rPr>
          <w:rFonts w:hint="eastAsia" w:ascii="宋体" w:hAnsi="宋体" w:cs="Arial"/>
          <w:color w:val="auto"/>
          <w:szCs w:val="21"/>
          <w:u w:val="single"/>
          <w:lang w:val="en-US" w:eastAsia="zh-CN"/>
        </w:rPr>
        <w:t>17:00</w:t>
      </w:r>
      <w:r>
        <w:rPr>
          <w:rFonts w:hint="eastAsia" w:ascii="宋体" w:hAnsi="宋体" w:cs="Arial"/>
          <w:color w:val="auto"/>
          <w:szCs w:val="21"/>
          <w:u w:val="single"/>
        </w:rPr>
        <w:t xml:space="preserve">  </w:t>
      </w:r>
      <w:r>
        <w:rPr>
          <w:rFonts w:hint="eastAsia" w:ascii="宋体" w:hAnsi="宋体" w:cs="Arial"/>
          <w:color w:val="auto"/>
          <w:szCs w:val="21"/>
        </w:rPr>
        <w:t>时前来函以确认是否参加谈判。</w:t>
      </w:r>
    </w:p>
    <w:p>
      <w:pPr>
        <w:adjustRightInd w:val="0"/>
        <w:snapToGrid w:val="0"/>
        <w:spacing w:line="360" w:lineRule="auto"/>
        <w:ind w:right="23" w:rightChars="11" w:firstLine="420" w:firstLineChars="200"/>
        <w:rPr>
          <w:rFonts w:hint="eastAsia" w:ascii="宋体" w:hAnsi="宋体"/>
          <w:bCs/>
          <w:color w:val="auto"/>
          <w:szCs w:val="21"/>
        </w:rPr>
      </w:pPr>
      <w:r>
        <w:rPr>
          <w:rFonts w:hint="eastAsia" w:ascii="宋体" w:hAnsi="宋体" w:cs="宋体"/>
          <w:color w:val="auto"/>
          <w:kern w:val="0"/>
          <w:szCs w:val="21"/>
        </w:rPr>
        <w:t>6、</w:t>
      </w:r>
      <w:r>
        <w:rPr>
          <w:rFonts w:hint="eastAsia" w:ascii="宋体" w:hAnsi="宋体"/>
          <w:bCs/>
          <w:color w:val="auto"/>
          <w:szCs w:val="21"/>
        </w:rPr>
        <w:t>联系方式：</w:t>
      </w:r>
    </w:p>
    <w:p>
      <w:pPr>
        <w:adjustRightInd w:val="0"/>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采 购 人：</w:t>
      </w:r>
      <w:r>
        <w:rPr>
          <w:rFonts w:hint="eastAsia" w:ascii="宋体" w:hAnsi="宋体" w:cs="Arial"/>
          <w:color w:val="auto"/>
          <w:szCs w:val="21"/>
          <w:lang w:eastAsia="zh-CN"/>
        </w:rPr>
        <w:t>宁乡市城市建设投资集团有限公司</w:t>
      </w:r>
      <w:r>
        <w:rPr>
          <w:rFonts w:hint="eastAsia" w:ascii="宋体" w:hAnsi="宋体" w:cs="Arial"/>
          <w:color w:val="auto"/>
          <w:szCs w:val="21"/>
          <w:lang w:val="en-US" w:eastAsia="zh-CN"/>
        </w:rPr>
        <w:t xml:space="preserve">               </w:t>
      </w:r>
    </w:p>
    <w:p>
      <w:pPr>
        <w:adjustRightInd w:val="0"/>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地    址：</w:t>
      </w:r>
      <w:r>
        <w:rPr>
          <w:rFonts w:hint="eastAsia" w:ascii="宋体" w:hAnsi="宋体" w:cs="Arial"/>
          <w:color w:val="auto"/>
          <w:szCs w:val="21"/>
          <w:lang w:eastAsia="zh-CN"/>
        </w:rPr>
        <w:t>宁乡大道168号</w:t>
      </w:r>
    </w:p>
    <w:p>
      <w:pPr>
        <w:adjustRightInd w:val="0"/>
        <w:snapToGrid w:val="0"/>
        <w:spacing w:line="360" w:lineRule="auto"/>
        <w:ind w:firstLine="420" w:firstLineChars="200"/>
        <w:rPr>
          <w:rFonts w:hint="eastAsia" w:ascii="宋体" w:hAnsi="宋体" w:eastAsia="宋体" w:cs="Arial"/>
          <w:color w:val="auto"/>
          <w:szCs w:val="21"/>
          <w:lang w:eastAsia="zh-CN"/>
        </w:rPr>
      </w:pPr>
      <w:r>
        <w:rPr>
          <w:rFonts w:hint="eastAsia" w:ascii="宋体" w:hAnsi="宋体" w:cs="Arial"/>
          <w:color w:val="auto"/>
          <w:szCs w:val="21"/>
        </w:rPr>
        <w:t>电    话：</w:t>
      </w:r>
      <w:r>
        <w:rPr>
          <w:rFonts w:hint="eastAsia" w:ascii="宋体" w:hAnsi="宋体" w:cs="Arial"/>
          <w:color w:val="auto"/>
          <w:szCs w:val="21"/>
          <w:lang w:eastAsia="zh-CN"/>
        </w:rPr>
        <w:t xml:space="preserve"> 15387567936</w:t>
      </w:r>
    </w:p>
    <w:p>
      <w:pPr>
        <w:pStyle w:val="22"/>
        <w:adjustRightInd w:val="0"/>
        <w:snapToGrid w:val="0"/>
        <w:spacing w:line="360" w:lineRule="auto"/>
        <w:ind w:left="23" w:leftChars="11" w:firstLine="420" w:firstLineChars="200"/>
        <w:jc w:val="left"/>
        <w:rPr>
          <w:rFonts w:hint="eastAsia" w:hAnsi="宋体" w:eastAsia="宋体"/>
          <w:color w:val="auto"/>
          <w:lang w:eastAsia="zh-CN"/>
        </w:rPr>
      </w:pPr>
      <w:r>
        <w:rPr>
          <w:rFonts w:hint="eastAsia" w:ascii="宋体" w:hAnsi="宋体" w:cs="Arial"/>
          <w:color w:val="auto"/>
          <w:szCs w:val="21"/>
        </w:rPr>
        <w:t>联 系 人：</w:t>
      </w:r>
      <w:r>
        <w:rPr>
          <w:rFonts w:hint="eastAsia" w:hAnsi="宋体" w:cs="Arial"/>
          <w:color w:val="auto"/>
          <w:szCs w:val="21"/>
          <w:lang w:eastAsia="zh-CN"/>
        </w:rPr>
        <w:t>廖轩</w:t>
      </w:r>
    </w:p>
    <w:p>
      <w:pPr>
        <w:adjustRightInd w:val="0"/>
        <w:snapToGrid w:val="0"/>
        <w:spacing w:line="360" w:lineRule="auto"/>
        <w:rPr>
          <w:rFonts w:hint="eastAsia" w:ascii="宋体" w:hAnsi="宋体" w:cs="Arial"/>
          <w:color w:val="auto"/>
          <w:szCs w:val="21"/>
          <w:lang w:val="en-US" w:eastAsia="zh-CN"/>
        </w:rPr>
      </w:pPr>
      <w:r>
        <w:rPr>
          <w:rFonts w:hint="eastAsia" w:ascii="宋体" w:hAnsi="宋体" w:cs="Arial"/>
          <w:color w:val="auto"/>
          <w:szCs w:val="21"/>
          <w:lang w:val="en-US" w:eastAsia="zh-CN"/>
        </w:rPr>
        <w:t xml:space="preserve">    </w:t>
      </w:r>
    </w:p>
    <w:p>
      <w:pPr>
        <w:adjustRightInd w:val="0"/>
        <w:snapToGrid w:val="0"/>
        <w:spacing w:line="360" w:lineRule="auto"/>
        <w:rPr>
          <w:rFonts w:hint="eastAsia" w:ascii="宋体" w:hAnsi="宋体" w:cs="Arial"/>
          <w:color w:val="auto"/>
          <w:szCs w:val="21"/>
        </w:rPr>
      </w:pPr>
      <w:r>
        <w:rPr>
          <w:rFonts w:hint="eastAsia" w:ascii="宋体" w:hAnsi="宋体" w:cs="Arial"/>
          <w:color w:val="auto"/>
          <w:szCs w:val="21"/>
          <w:lang w:val="en-US" w:eastAsia="zh-CN"/>
        </w:rPr>
        <w:t xml:space="preserve">    </w:t>
      </w:r>
      <w:r>
        <w:rPr>
          <w:rFonts w:hint="eastAsia" w:ascii="宋体" w:hAnsi="宋体" w:cs="Arial"/>
          <w:color w:val="auto"/>
          <w:szCs w:val="21"/>
        </w:rPr>
        <w:t>采购代理机构：</w:t>
      </w:r>
      <w:r>
        <w:rPr>
          <w:rFonts w:hint="eastAsia" w:ascii="宋体" w:hAnsi="宋体" w:cs="Arial"/>
          <w:color w:val="auto"/>
          <w:szCs w:val="21"/>
          <w:lang w:eastAsia="zh-CN"/>
        </w:rPr>
        <w:t>湖南志方项目管理有限公司</w:t>
      </w:r>
    </w:p>
    <w:p>
      <w:pPr>
        <w:adjustRightInd w:val="0"/>
        <w:snapToGrid w:val="0"/>
        <w:spacing w:line="360" w:lineRule="auto"/>
        <w:rPr>
          <w:rFonts w:hint="eastAsia" w:ascii="宋体" w:hAnsi="宋体" w:cs="Arial"/>
          <w:color w:val="auto"/>
          <w:szCs w:val="21"/>
        </w:rPr>
      </w:pPr>
      <w:r>
        <w:rPr>
          <w:rFonts w:hint="eastAsia" w:ascii="宋体" w:hAnsi="宋体" w:cs="Arial"/>
          <w:color w:val="auto"/>
          <w:szCs w:val="21"/>
          <w:lang w:val="en-US" w:eastAsia="zh-CN"/>
        </w:rPr>
        <w:t xml:space="preserve">    </w:t>
      </w:r>
      <w:r>
        <w:rPr>
          <w:rFonts w:hint="eastAsia" w:ascii="宋体" w:hAnsi="宋体" w:cs="Arial"/>
          <w:color w:val="auto"/>
          <w:szCs w:val="21"/>
        </w:rPr>
        <w:t>地    址：</w:t>
      </w:r>
      <w:r>
        <w:rPr>
          <w:rFonts w:hint="eastAsia" w:ascii="宋体" w:hAnsi="宋体" w:cs="Arial"/>
          <w:color w:val="auto"/>
          <w:szCs w:val="21"/>
          <w:lang w:eastAsia="zh-CN"/>
        </w:rPr>
        <w:t>宁乡市花明北路财汇立方14楼</w:t>
      </w:r>
      <w:r>
        <w:rPr>
          <w:rFonts w:hint="eastAsia" w:ascii="宋体" w:hAnsi="宋体" w:cs="Arial"/>
          <w:color w:val="auto"/>
          <w:szCs w:val="21"/>
        </w:rPr>
        <w:t xml:space="preserve"> </w:t>
      </w:r>
    </w:p>
    <w:p>
      <w:pPr>
        <w:adjustRightInd w:val="0"/>
        <w:snapToGrid w:val="0"/>
        <w:spacing w:line="360" w:lineRule="auto"/>
        <w:rPr>
          <w:rFonts w:hint="eastAsia" w:ascii="宋体" w:hAnsi="宋体" w:cs="Arial"/>
          <w:color w:val="auto"/>
          <w:szCs w:val="21"/>
          <w:lang w:val="en-US"/>
        </w:rPr>
      </w:pPr>
      <w:r>
        <w:rPr>
          <w:rFonts w:hint="eastAsia" w:ascii="宋体" w:hAnsi="宋体" w:cs="Arial"/>
          <w:color w:val="auto"/>
          <w:szCs w:val="21"/>
          <w:lang w:val="en-US" w:eastAsia="zh-CN"/>
        </w:rPr>
        <w:t xml:space="preserve">    </w:t>
      </w:r>
      <w:r>
        <w:rPr>
          <w:rFonts w:hint="eastAsia" w:ascii="宋体" w:hAnsi="宋体" w:cs="Arial"/>
          <w:color w:val="auto"/>
          <w:szCs w:val="21"/>
        </w:rPr>
        <w:t>电    话：</w:t>
      </w:r>
      <w:r>
        <w:rPr>
          <w:rFonts w:hint="eastAsia" w:ascii="宋体" w:hAnsi="宋体" w:cs="Arial"/>
          <w:color w:val="auto"/>
          <w:szCs w:val="21"/>
          <w:lang w:val="en-US" w:eastAsia="zh-CN"/>
        </w:rPr>
        <w:t>15200931515</w:t>
      </w:r>
    </w:p>
    <w:p>
      <w:pPr>
        <w:pStyle w:val="22"/>
        <w:adjustRightInd w:val="0"/>
        <w:snapToGrid w:val="0"/>
        <w:spacing w:line="360" w:lineRule="auto"/>
        <w:ind w:left="23" w:leftChars="11" w:firstLine="420" w:firstLineChars="200"/>
        <w:jc w:val="left"/>
        <w:rPr>
          <w:rFonts w:hint="eastAsia" w:hAnsi="宋体"/>
          <w:color w:val="auto"/>
        </w:rPr>
      </w:pPr>
      <w:r>
        <w:rPr>
          <w:rFonts w:hint="eastAsia" w:ascii="宋体" w:hAnsi="宋体" w:cs="Arial"/>
          <w:color w:val="auto"/>
          <w:szCs w:val="21"/>
        </w:rPr>
        <w:t>联 系 人：</w:t>
      </w:r>
      <w:r>
        <w:rPr>
          <w:rFonts w:hint="eastAsia" w:hAnsi="宋体" w:cs="Arial"/>
          <w:color w:val="auto"/>
          <w:szCs w:val="21"/>
          <w:lang w:eastAsia="zh-CN"/>
        </w:rPr>
        <w:t>陈女士</w:t>
      </w:r>
      <w:r>
        <w:rPr>
          <w:rFonts w:hint="eastAsia" w:ascii="宋体" w:hAnsi="宋体" w:cs="Arial"/>
          <w:color w:val="auto"/>
          <w:szCs w:val="21"/>
        </w:rPr>
        <w:t xml:space="preserve"> </w:t>
      </w:r>
    </w:p>
    <w:p>
      <w:pPr>
        <w:adjustRightInd w:val="0"/>
        <w:snapToGrid w:val="0"/>
        <w:spacing w:line="360" w:lineRule="auto"/>
        <w:ind w:right="23" w:rightChars="11"/>
        <w:rPr>
          <w:rFonts w:hint="eastAsia" w:ascii="宋体" w:hAnsi="宋体"/>
          <w:b/>
          <w:color w:val="auto"/>
          <w:szCs w:val="21"/>
          <w:u w:val="single"/>
        </w:rPr>
      </w:pP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财政部门名称：宁乡</w:t>
      </w:r>
      <w:r>
        <w:rPr>
          <w:rFonts w:hint="eastAsia" w:ascii="宋体" w:hAnsi="宋体"/>
          <w:color w:val="auto"/>
          <w:szCs w:val="21"/>
          <w:lang w:eastAsia="zh-CN"/>
        </w:rPr>
        <w:t>市</w:t>
      </w:r>
      <w:r>
        <w:rPr>
          <w:rFonts w:hint="eastAsia" w:ascii="宋体" w:hAnsi="宋体"/>
          <w:color w:val="auto"/>
          <w:szCs w:val="21"/>
        </w:rPr>
        <w:t xml:space="preserve">政府采购监督管理办公室 </w:t>
      </w:r>
    </w:p>
    <w:p>
      <w:pPr>
        <w:adjustRightInd w:val="0"/>
        <w:snapToGrid w:val="0"/>
        <w:spacing w:line="360" w:lineRule="auto"/>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地    址： 宁乡</w:t>
      </w:r>
      <w:r>
        <w:rPr>
          <w:rFonts w:hint="eastAsia" w:ascii="宋体" w:hAnsi="宋体"/>
          <w:color w:val="auto"/>
          <w:szCs w:val="21"/>
          <w:lang w:eastAsia="zh-CN"/>
        </w:rPr>
        <w:t>市</w:t>
      </w:r>
      <w:r>
        <w:rPr>
          <w:rFonts w:hint="eastAsia" w:ascii="宋体" w:hAnsi="宋体"/>
          <w:color w:val="auto"/>
          <w:szCs w:val="21"/>
        </w:rPr>
        <w:t>玉潭</w:t>
      </w:r>
      <w:r>
        <w:rPr>
          <w:rFonts w:hint="eastAsia" w:ascii="宋体" w:hAnsi="宋体"/>
          <w:color w:val="auto"/>
          <w:szCs w:val="21"/>
          <w:lang w:eastAsia="zh-CN"/>
        </w:rPr>
        <w:t>街道</w:t>
      </w:r>
      <w:r>
        <w:rPr>
          <w:rFonts w:hint="eastAsia" w:ascii="宋体" w:hAnsi="宋体"/>
          <w:color w:val="auto"/>
          <w:szCs w:val="21"/>
        </w:rPr>
        <w:t xml:space="preserve">花明北路 </w:t>
      </w:r>
    </w:p>
    <w:p>
      <w:pPr>
        <w:adjustRightInd w:val="0"/>
        <w:snapToGrid w:val="0"/>
        <w:spacing w:line="360" w:lineRule="auto"/>
        <w:ind w:right="23" w:rightChars="11" w:firstLine="420" w:firstLineChars="200"/>
        <w:rPr>
          <w:rFonts w:hint="eastAsia" w:ascii="宋体" w:hAnsi="宋体"/>
          <w:b/>
          <w:color w:val="auto"/>
          <w:szCs w:val="21"/>
          <w:u w:val="single"/>
        </w:rPr>
      </w:pPr>
      <w:r>
        <w:rPr>
          <w:rFonts w:hint="eastAsia" w:ascii="宋体" w:hAnsi="宋体"/>
          <w:color w:val="auto"/>
          <w:szCs w:val="21"/>
        </w:rPr>
        <w:t>电</w:t>
      </w:r>
      <w:r>
        <w:rPr>
          <w:rFonts w:hint="eastAsia" w:ascii="宋体" w:hAnsi="宋体"/>
          <w:color w:val="auto"/>
          <w:szCs w:val="21"/>
          <w:lang w:val="en-US" w:eastAsia="zh-CN"/>
        </w:rPr>
        <w:t xml:space="preserve">    </w:t>
      </w:r>
      <w:r>
        <w:rPr>
          <w:rFonts w:hint="eastAsia" w:ascii="宋体" w:hAnsi="宋体"/>
          <w:color w:val="auto"/>
          <w:szCs w:val="21"/>
        </w:rPr>
        <w:t>话： 0731-88980365</w:t>
      </w:r>
    </w:p>
    <w:p>
      <w:pPr>
        <w:adjustRightInd w:val="0"/>
        <w:snapToGrid w:val="0"/>
        <w:spacing w:line="360" w:lineRule="auto"/>
        <w:ind w:right="23" w:rightChars="11" w:firstLine="420" w:firstLineChars="200"/>
        <w:rPr>
          <w:rFonts w:hint="eastAsia" w:ascii="宋体" w:hAnsi="宋体"/>
          <w:b/>
          <w:color w:val="auto"/>
          <w:szCs w:val="21"/>
          <w:u w:val="single"/>
        </w:rPr>
      </w:pPr>
      <w:r>
        <w:rPr>
          <w:rFonts w:hint="eastAsia" w:ascii="宋体" w:hAnsi="宋体"/>
          <w:color w:val="auto"/>
          <w:szCs w:val="21"/>
        </w:rPr>
        <w:t xml:space="preserve">联 系 人： </w:t>
      </w:r>
      <w:r>
        <w:rPr>
          <w:rFonts w:hint="eastAsia" w:ascii="宋体" w:hAnsi="宋体"/>
          <w:color w:val="auto"/>
          <w:szCs w:val="21"/>
          <w:lang w:eastAsia="zh-CN"/>
        </w:rPr>
        <w:t>陈</w:t>
      </w:r>
      <w:r>
        <w:rPr>
          <w:rFonts w:hint="eastAsia" w:ascii="宋体" w:hAnsi="宋体"/>
          <w:color w:val="auto"/>
          <w:szCs w:val="21"/>
        </w:rPr>
        <w:t xml:space="preserve">先生     </w:t>
      </w:r>
    </w:p>
    <w:p>
      <w:pPr>
        <w:adjustRightInd w:val="0"/>
        <w:snapToGrid w:val="0"/>
        <w:spacing w:line="360" w:lineRule="auto"/>
        <w:ind w:right="23" w:rightChars="11"/>
        <w:rPr>
          <w:rFonts w:hint="eastAsia" w:ascii="宋体" w:hAnsi="宋体"/>
          <w:color w:val="FF0000"/>
          <w:szCs w:val="21"/>
        </w:rPr>
      </w:pPr>
      <w:r>
        <w:rPr>
          <w:rFonts w:hint="eastAsia" w:ascii="宋体" w:hAnsi="宋体"/>
          <w:color w:val="auto"/>
          <w:szCs w:val="21"/>
          <w:u w:val="none"/>
          <w:lang w:val="en-US" w:eastAsia="zh-CN"/>
        </w:rPr>
        <w:t xml:space="preserve">                                                               </w:t>
      </w:r>
      <w:r>
        <w:rPr>
          <w:rFonts w:hint="eastAsia" w:ascii="宋体" w:hAnsi="宋体"/>
          <w:color w:val="auto"/>
          <w:szCs w:val="21"/>
          <w:u w:val="single"/>
        </w:rPr>
        <w:t xml:space="preserve"> </w:t>
      </w:r>
      <w:r>
        <w:rPr>
          <w:rFonts w:hint="eastAsia" w:ascii="宋体" w:hAnsi="宋体"/>
          <w:color w:val="auto"/>
          <w:szCs w:val="21"/>
          <w:u w:val="single"/>
          <w:lang w:eastAsia="zh-CN"/>
        </w:rPr>
        <w:t>201</w:t>
      </w:r>
      <w:r>
        <w:rPr>
          <w:rFonts w:hint="eastAsia" w:ascii="宋体" w:hAnsi="宋体"/>
          <w:color w:val="auto"/>
          <w:szCs w:val="21"/>
          <w:u w:val="single"/>
          <w:lang w:val="en-US" w:eastAsia="zh-CN"/>
        </w:rPr>
        <w:t>9</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u w:val="single"/>
          <w:lang w:val="en-US" w:eastAsia="zh-CN"/>
        </w:rPr>
        <w:t>7</w:t>
      </w:r>
      <w:r>
        <w:rPr>
          <w:rFonts w:hint="eastAsia" w:ascii="宋体" w:hAnsi="宋体"/>
          <w:color w:val="auto"/>
          <w:szCs w:val="21"/>
        </w:rPr>
        <w:t>月</w:t>
      </w:r>
      <w:r>
        <w:rPr>
          <w:rFonts w:hint="eastAsia" w:ascii="宋体" w:hAnsi="宋体"/>
          <w:color w:val="auto"/>
          <w:szCs w:val="21"/>
          <w:u w:val="single"/>
          <w:lang w:val="en-US" w:eastAsia="zh-CN"/>
        </w:rPr>
        <w:t>5</w:t>
      </w:r>
      <w:r>
        <w:rPr>
          <w:rFonts w:hint="eastAsia" w:ascii="宋体" w:hAnsi="宋体"/>
          <w:color w:val="auto"/>
          <w:szCs w:val="21"/>
        </w:rPr>
        <w:t>日</w:t>
      </w:r>
    </w:p>
    <w:p>
      <w:pPr>
        <w:pStyle w:val="2"/>
        <w:numPr>
          <w:ilvl w:val="0"/>
          <w:numId w:val="1"/>
        </w:numPr>
        <w:rPr>
          <w:rFonts w:hint="eastAsia"/>
          <w:color w:val="auto"/>
        </w:rPr>
      </w:pPr>
      <w:r>
        <w:rPr>
          <w:rFonts w:hint="eastAsia"/>
          <w:color w:val="auto"/>
        </w:rPr>
        <w:t>谈判须知</w:t>
      </w:r>
      <w:bookmarkEnd w:id="1"/>
    </w:p>
    <w:p>
      <w:pPr>
        <w:pStyle w:val="3"/>
        <w:rPr>
          <w:rFonts w:hint="eastAsia"/>
          <w:color w:val="auto"/>
        </w:rPr>
      </w:pPr>
      <w:bookmarkStart w:id="2" w:name="_Toc28574"/>
      <w:r>
        <w:rPr>
          <w:rFonts w:hint="eastAsia"/>
          <w:color w:val="auto"/>
        </w:rPr>
        <w:t>谈判须知前附表</w:t>
      </w:r>
      <w:bookmarkEnd w:id="2"/>
    </w:p>
    <w:tbl>
      <w:tblPr>
        <w:tblStyle w:val="41"/>
        <w:tblpPr w:leftFromText="180" w:rightFromText="180" w:vertAnchor="text" w:horzAnchor="page" w:tblpX="1709" w:tblpY="104"/>
        <w:tblOverlap w:val="never"/>
        <w:tblW w:w="91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23"/>
        <w:gridCol w:w="1832"/>
        <w:gridCol w:w="61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blHeader/>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b/>
                <w:color w:val="auto"/>
                <w:szCs w:val="21"/>
              </w:rPr>
            </w:pPr>
            <w:r>
              <w:rPr>
                <w:rFonts w:hint="eastAsia" w:ascii="宋体" w:hAnsi="宋体" w:eastAsia="宋体" w:cs="Times New Roman"/>
                <w:b/>
                <w:color w:val="auto"/>
                <w:szCs w:val="21"/>
              </w:rPr>
              <w:t>条款号</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b/>
                <w:color w:val="auto"/>
                <w:szCs w:val="21"/>
              </w:rPr>
            </w:pPr>
            <w:r>
              <w:rPr>
                <w:rFonts w:hint="eastAsia" w:ascii="宋体" w:hAnsi="宋体" w:eastAsia="宋体" w:cs="Times New Roman"/>
                <w:b/>
                <w:color w:val="auto"/>
                <w:szCs w:val="21"/>
              </w:rPr>
              <w:t>条款名称</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b/>
                <w:color w:val="auto"/>
                <w:szCs w:val="21"/>
              </w:rPr>
            </w:pPr>
            <w:r>
              <w:rPr>
                <w:rFonts w:hint="eastAsia" w:ascii="宋体" w:hAnsi="宋体" w:eastAsia="宋体" w:cs="Times New Roman"/>
                <w:b/>
                <w:color w:val="auto"/>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9122" w:type="dxa"/>
            <w:gridSpan w:val="3"/>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b/>
                <w:color w:val="auto"/>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第二章第1.1款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采购项目</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Calibri" w:hAnsi="Calibri" w:cs="Times New Roman"/>
                <w:color w:val="auto"/>
                <w:lang w:eastAsia="zh-CN"/>
              </w:rPr>
              <w:t>宁乡市金玉路金鑫北路提质改造项目监理</w:t>
            </w:r>
            <w:r>
              <w:rPr>
                <w:rFonts w:hint="eastAsia" w:ascii="Calibri" w:hAnsi="Calibri" w:eastAsia="宋体" w:cs="Times New Roman"/>
                <w:color w:val="auto"/>
                <w:lang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第二章第2.1款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采购人</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Arial"/>
                <w:color w:val="auto"/>
                <w:szCs w:val="21"/>
              </w:rPr>
            </w:pPr>
            <w:r>
              <w:rPr>
                <w:rFonts w:hint="eastAsia" w:ascii="宋体" w:hAnsi="宋体" w:eastAsia="宋体" w:cs="Times New Roman"/>
                <w:color w:val="auto"/>
                <w:szCs w:val="21"/>
              </w:rPr>
              <w:t>名    称：</w:t>
            </w:r>
            <w:r>
              <w:rPr>
                <w:rFonts w:hint="eastAsia" w:ascii="宋体" w:hAnsi="宋体" w:eastAsia="宋体" w:cs="Arial"/>
                <w:color w:val="auto"/>
                <w:szCs w:val="21"/>
                <w:lang w:eastAsia="zh-CN"/>
              </w:rPr>
              <w:t>宁乡市城市建设投资集团有限公司</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地    址：</w:t>
            </w:r>
            <w:r>
              <w:rPr>
                <w:rFonts w:hint="eastAsia" w:ascii="宋体" w:hAnsi="宋体" w:eastAsia="宋体" w:cs="Times New Roman"/>
                <w:color w:val="auto"/>
                <w:szCs w:val="21"/>
                <w:lang w:eastAsia="zh-CN"/>
              </w:rPr>
              <w:t>宁乡大道168号</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电    话：</w:t>
            </w:r>
            <w:r>
              <w:rPr>
                <w:rFonts w:hint="eastAsia" w:ascii="宋体" w:hAnsi="宋体" w:eastAsia="宋体" w:cs="Times New Roman"/>
                <w:color w:val="auto"/>
                <w:szCs w:val="21"/>
                <w:lang w:val="en-US" w:eastAsia="zh-CN"/>
              </w:rPr>
              <w:t>15387567936</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联 系 人：</w:t>
            </w:r>
            <w:r>
              <w:rPr>
                <w:rFonts w:hint="eastAsia" w:ascii="宋体" w:hAnsi="宋体" w:eastAsia="宋体" w:cs="Times New Roman"/>
                <w:color w:val="auto"/>
                <w:szCs w:val="21"/>
                <w:lang w:eastAsia="zh-CN"/>
              </w:rPr>
              <w:t xml:space="preserve">廖轩 </w:t>
            </w:r>
            <w:r>
              <w:rPr>
                <w:rFonts w:hint="eastAsia" w:ascii="宋体" w:hAnsi="宋体" w:eastAsia="宋体" w:cs="Times New Roman"/>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4"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第二章第2.2款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采购代理机构</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Arial"/>
                <w:color w:val="auto"/>
                <w:szCs w:val="21"/>
              </w:rPr>
            </w:pPr>
            <w:r>
              <w:rPr>
                <w:rFonts w:hint="eastAsia" w:ascii="宋体" w:hAnsi="宋体" w:eastAsia="宋体" w:cs="Times New Roman"/>
                <w:color w:val="auto"/>
                <w:szCs w:val="21"/>
              </w:rPr>
              <w:t>名    称：</w:t>
            </w:r>
            <w:r>
              <w:rPr>
                <w:rFonts w:hint="eastAsia" w:ascii="宋体" w:hAnsi="宋体" w:eastAsia="宋体" w:cs="Arial"/>
                <w:color w:val="auto"/>
                <w:szCs w:val="21"/>
                <w:lang w:eastAsia="zh-CN"/>
              </w:rPr>
              <w:t>湖南志方项目管理有限公司</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Arial"/>
                <w:color w:val="auto"/>
                <w:szCs w:val="21"/>
              </w:rPr>
            </w:pPr>
            <w:r>
              <w:rPr>
                <w:rFonts w:hint="eastAsia" w:ascii="宋体" w:hAnsi="宋体" w:eastAsia="宋体" w:cs="Arial"/>
                <w:color w:val="auto"/>
                <w:szCs w:val="21"/>
              </w:rPr>
              <w:t>地    址：</w:t>
            </w:r>
            <w:r>
              <w:rPr>
                <w:rFonts w:hint="eastAsia" w:ascii="宋体" w:hAnsi="宋体" w:eastAsia="宋体" w:cs="Arial"/>
                <w:color w:val="auto"/>
                <w:szCs w:val="21"/>
                <w:lang w:eastAsia="zh-CN"/>
              </w:rPr>
              <w:t>宁乡市花明北路财汇立方14楼</w:t>
            </w:r>
            <w:r>
              <w:rPr>
                <w:rFonts w:hint="eastAsia" w:ascii="宋体" w:hAnsi="宋体" w:eastAsia="宋体" w:cs="Arial"/>
                <w:color w:val="auto"/>
                <w:szCs w:val="21"/>
              </w:rPr>
              <w:t xml:space="preserve"> </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Arial"/>
                <w:color w:val="auto"/>
                <w:szCs w:val="21"/>
              </w:rPr>
            </w:pPr>
            <w:r>
              <w:rPr>
                <w:rFonts w:hint="eastAsia" w:ascii="宋体" w:hAnsi="宋体" w:eastAsia="宋体" w:cs="Arial"/>
                <w:color w:val="auto"/>
                <w:szCs w:val="21"/>
              </w:rPr>
              <w:t>电    话：</w:t>
            </w:r>
            <w:r>
              <w:rPr>
                <w:rFonts w:hint="eastAsia" w:ascii="宋体" w:hAnsi="宋体" w:cs="Arial"/>
                <w:color w:val="auto"/>
                <w:szCs w:val="21"/>
                <w:lang w:val="en-US" w:eastAsia="zh-CN"/>
              </w:rPr>
              <w:t>15200931515</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Arial"/>
                <w:color w:val="auto"/>
                <w:szCs w:val="21"/>
              </w:rPr>
              <w:t>联 系 人：</w:t>
            </w:r>
            <w:r>
              <w:rPr>
                <w:rFonts w:hint="eastAsia" w:ascii="宋体" w:hAnsi="宋体" w:eastAsia="宋体" w:cs="Arial"/>
                <w:color w:val="auto"/>
                <w:szCs w:val="21"/>
                <w:lang w:eastAsia="zh-CN"/>
              </w:rPr>
              <w:t>陈女士</w:t>
            </w:r>
            <w:r>
              <w:rPr>
                <w:rFonts w:hint="eastAsia" w:ascii="宋体" w:hAnsi="宋体" w:eastAsia="宋体" w:cs="Arial"/>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trPr>
        <w:tc>
          <w:tcPr>
            <w:tcW w:w="1123" w:type="dxa"/>
            <w:vMerge w:val="restart"/>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第二章第2.3款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Cs/>
                <w:color w:val="auto"/>
                <w:szCs w:val="21"/>
              </w:rPr>
            </w:pPr>
            <w:r>
              <w:rPr>
                <w:rFonts w:hint="eastAsia" w:ascii="宋体" w:hAnsi="宋体" w:eastAsia="宋体" w:cs="宋体"/>
                <w:color w:val="auto"/>
                <w:kern w:val="0"/>
                <w:szCs w:val="21"/>
              </w:rPr>
              <w:t>供应商的</w:t>
            </w:r>
            <w:r>
              <w:rPr>
                <w:rFonts w:hint="eastAsia" w:ascii="宋体" w:hAnsi="宋体" w:eastAsia="宋体" w:cs="Times New Roman"/>
                <w:color w:val="auto"/>
                <w:szCs w:val="21"/>
              </w:rPr>
              <w:t>邀请方式</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 xml:space="preserve"> </w:t>
            </w:r>
            <w:r>
              <w:rPr>
                <w:rFonts w:hint="eastAsia" w:ascii="宋体" w:hAnsi="宋体" w:eastAsia="宋体" w:cs="Times New Roman"/>
                <w:color w:val="auto"/>
                <w:szCs w:val="21"/>
              </w:rPr>
              <w:t>采购人及谈判小组推荐供应商</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 xml:space="preserve"> </w:t>
            </w:r>
            <w:r>
              <w:rPr>
                <w:rFonts w:hint="eastAsia" w:ascii="宋体" w:hAnsi="宋体" w:eastAsia="宋体" w:cs="Times New Roman"/>
                <w:color w:val="auto"/>
                <w:szCs w:val="21"/>
              </w:rPr>
              <w:t>政府采购供应商名单中抽取供应商</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 xml:space="preserve"> </w:t>
            </w:r>
            <w:r>
              <w:rPr>
                <w:rFonts w:hint="eastAsia" w:ascii="宋体" w:hAnsi="宋体" w:eastAsia="宋体" w:cs="Times New Roman"/>
                <w:color w:val="auto"/>
                <w:szCs w:val="21"/>
              </w:rPr>
              <w:t>发布谈判公告，邀请合格供应商参加谈判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23" w:type="dxa"/>
            <w:vMerge w:val="continue"/>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购买谈判文件时应提供的资料</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left"/>
              <w:rPr>
                <w:rFonts w:hint="eastAsia" w:ascii="宋体" w:hAnsi="宋体" w:eastAsia="宋体" w:cs="Times New Roman"/>
                <w:color w:val="auto"/>
                <w:szCs w:val="21"/>
              </w:rPr>
            </w:pPr>
            <w:r>
              <w:rPr>
                <w:rFonts w:hint="eastAsia" w:ascii="宋体" w:hAnsi="宋体" w:eastAsia="宋体" w:cs="Times New Roman"/>
                <w:color w:val="auto"/>
                <w:szCs w:val="21"/>
              </w:rPr>
              <w:t>(1) 谈判通知；</w:t>
            </w:r>
          </w:p>
          <w:p>
            <w:pPr>
              <w:keepNext w:val="0"/>
              <w:keepLines w:val="0"/>
              <w:suppressLineNumbers w:val="0"/>
              <w:adjustRightInd w:val="0"/>
              <w:snapToGrid w:val="0"/>
              <w:spacing w:before="0" w:beforeAutospacing="0" w:after="0" w:afterAutospacing="0" w:line="360" w:lineRule="auto"/>
              <w:ind w:left="0" w:right="23" w:rightChars="11"/>
              <w:jc w:val="left"/>
              <w:rPr>
                <w:rFonts w:hint="eastAsia" w:ascii="宋体" w:hAnsi="宋体" w:eastAsia="宋体" w:cs="Times New Roman"/>
                <w:color w:val="auto"/>
                <w:szCs w:val="21"/>
              </w:rPr>
            </w:pPr>
            <w:r>
              <w:rPr>
                <w:rFonts w:hint="eastAsia" w:ascii="宋体" w:hAnsi="宋体" w:eastAsia="宋体" w:cs="Times New Roman"/>
                <w:color w:val="auto"/>
                <w:szCs w:val="21"/>
              </w:rPr>
              <w:t>(2) 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7"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第二章第3.1款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bCs/>
                <w:color w:val="auto"/>
                <w:szCs w:val="21"/>
              </w:rPr>
              <w:t>供应商</w:t>
            </w:r>
            <w:r>
              <w:rPr>
                <w:rFonts w:hint="eastAsia" w:ascii="宋体" w:hAnsi="宋体" w:eastAsia="宋体" w:cs="Times New Roman"/>
                <w:color w:val="auto"/>
                <w:szCs w:val="21"/>
              </w:rPr>
              <w:t>资格条件</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1、供应商基本资格条件：</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符合《中华人民共和国政府采购法》第二十二条规定的供应商条件:</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 xml:space="preserve">① 法人提交法定代表人资格证明书原件或者法定代表人授权委托书原件并附法定代表人身份证明书原件；自然人提交身份证明复印件； </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② 法人提交企业法人营业执照副本(或者法人登记证书)以及组织机构代码证副本复印件；</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依法缴纳税收和社会保险费的证明材料，各提供下列材料之一：</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⑴、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⑵、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firstLine="450" w:firstLineChars="0"/>
              <w:jc w:val="both"/>
              <w:textAlignment w:val="auto"/>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供应商特定资格条件(符合法律法规强制规定的条件)：</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（1）具有建设行政主管部门核发的工程监理综合资质或市政公用工程监理丙级及以上资质，资质证书在有效期内；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（2）湖南省外企业办理省外入湘企业基本情况登记（以“湖南省住房和城乡建设网”查询结果为准）或具有有效的《省外工程建设中介服务企业入湘登记证》；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宋体" w:hAnsi="宋体" w:eastAsia="宋体" w:cs="Times New Roman"/>
                <w:color w:val="auto"/>
                <w:szCs w:val="21"/>
                <w:u w:val="none"/>
                <w:lang w:val="en-US" w:eastAsia="zh-CN"/>
              </w:rPr>
            </w:pPr>
            <w:r>
              <w:rPr>
                <w:rFonts w:hint="eastAsia" w:ascii="宋体" w:hAnsi="宋体"/>
                <w:color w:val="auto"/>
                <w:szCs w:val="21"/>
                <w:highlight w:val="none"/>
                <w:u w:val="none"/>
                <w:lang w:val="en-US" w:eastAsia="zh-CN"/>
              </w:rPr>
              <w:t>（3）现场监理部关键岗位人员数量总监理工程师1人，专业监理工程师1人，监理员2人，专业监理工程师、监理员、总监代表（如有）不得有在监项目，需提供无在监证明或官方查询网址。不接受投标申请人的法定代表人和总经理作为本项目的现场监理部关键岗位人员；拟任总监理工程师应具有国家注册监理工程师注册证书（市政公用工程）,注册单位应与投标人名称一致，在长沙地区（即长、望、浏、宁）最多有2个作为总监的在监项目，拟任总监理工程师已在其它项目任总监的应配备总监代表，总监代表应具有市政公用工程专业国家注册监理工程师证或湖南省总监理工程师代表培训合格证；拟任专业监理工程师应具有国家监理工程师注册证书或湖南省监理工程师证书或湖南省专业监理工程师培训合格证书；拟任监理员应具有国家注册监理工程师证书或湖南省总监理工程师代表培训合格证书或湖南省监理工程师证书或湖南省监理员证书。关键岗位人员必须是本企业在职人员，并提供近三个月社保证明。</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w:t>
            </w:r>
            <w:r>
              <w:rPr>
                <w:rFonts w:hint="eastAsia" w:ascii="宋体" w:hAnsi="宋体" w:eastAsia="宋体" w:cs="宋体"/>
                <w:b w:val="0"/>
                <w:color w:val="auto"/>
                <w:sz w:val="21"/>
                <w:szCs w:val="21"/>
                <w:shd w:val="clear" w:color="auto" w:fill="FFFFFF"/>
              </w:rPr>
              <w:t>注：1、</w:t>
            </w:r>
            <w:r>
              <w:rPr>
                <w:rFonts w:hint="eastAsia" w:ascii="宋体" w:hAnsi="宋体" w:eastAsia="宋体" w:cs="宋体"/>
                <w:color w:val="auto"/>
                <w:sz w:val="21"/>
                <w:szCs w:val="21"/>
                <w:lang w:eastAsia="zh-CN"/>
              </w:rPr>
              <w:t>属于工商行政管理部门推行的“三证合一”情形（营业执照、税务登记证、组织机构代码证）的证明材料仅须提供营业执照；</w:t>
            </w:r>
            <w:r>
              <w:rPr>
                <w:rFonts w:hint="eastAsia" w:ascii="宋体" w:hAnsi="宋体" w:eastAsia="宋体" w:cs="宋体"/>
                <w:b w:val="0"/>
                <w:color w:val="auto"/>
                <w:sz w:val="21"/>
                <w:szCs w:val="21"/>
                <w:shd w:val="clear" w:color="auto" w:fill="FFFFFF"/>
              </w:rPr>
              <w:t>2、</w:t>
            </w:r>
            <w:r>
              <w:rPr>
                <w:rFonts w:hint="eastAsia" w:ascii="宋体" w:hAnsi="宋体" w:eastAsia="宋体" w:cs="宋体"/>
                <w:color w:val="auto"/>
                <w:sz w:val="21"/>
                <w:szCs w:val="21"/>
              </w:rPr>
              <w:t>基本资格条件中所提到的近三个月是指</w:t>
            </w:r>
            <w:r>
              <w:rPr>
                <w:rFonts w:hint="eastAsia" w:ascii="宋体" w:hAnsi="宋体" w:eastAsia="宋体" w:cs="宋体"/>
                <w:color w:val="auto"/>
                <w:sz w:val="21"/>
                <w:szCs w:val="21"/>
                <w:u w:val="none"/>
                <w:lang w:val="en-US" w:eastAsia="zh-CN"/>
              </w:rPr>
              <w:t>201</w:t>
            </w:r>
            <w:r>
              <w:rPr>
                <w:rFonts w:hint="eastAsia" w:ascii="宋体" w:hAnsi="宋体" w:cs="宋体"/>
                <w:color w:val="auto"/>
                <w:sz w:val="21"/>
                <w:szCs w:val="21"/>
                <w:u w:val="none"/>
                <w:lang w:val="en-US" w:eastAsia="zh-CN"/>
              </w:rPr>
              <w:t>9</w:t>
            </w:r>
            <w:r>
              <w:rPr>
                <w:rFonts w:hint="eastAsia" w:ascii="宋体" w:hAnsi="宋体" w:eastAsia="宋体" w:cs="宋体"/>
                <w:color w:val="auto"/>
                <w:sz w:val="21"/>
                <w:szCs w:val="21"/>
                <w:u w:val="none"/>
                <w:lang w:val="en-US" w:eastAsia="zh-CN"/>
              </w:rPr>
              <w:t>年</w:t>
            </w:r>
            <w:r>
              <w:rPr>
                <w:rFonts w:hint="eastAsia" w:ascii="宋体" w:hAnsi="宋体" w:cs="宋体"/>
                <w:color w:val="auto"/>
                <w:sz w:val="21"/>
                <w:szCs w:val="21"/>
                <w:u w:val="none"/>
                <w:lang w:val="en-US" w:eastAsia="zh-CN"/>
              </w:rPr>
              <w:t>03</w:t>
            </w:r>
            <w:r>
              <w:rPr>
                <w:rFonts w:hint="eastAsia" w:ascii="宋体" w:hAnsi="宋体" w:eastAsia="宋体" w:cs="宋体"/>
                <w:color w:val="auto"/>
                <w:sz w:val="21"/>
                <w:szCs w:val="21"/>
                <w:u w:val="none"/>
                <w:lang w:val="en-US" w:eastAsia="zh-CN"/>
              </w:rPr>
              <w:t>月至2019年</w:t>
            </w:r>
            <w:r>
              <w:rPr>
                <w:rFonts w:hint="eastAsia" w:ascii="宋体" w:hAnsi="宋体" w:cs="宋体"/>
                <w:color w:val="auto"/>
                <w:sz w:val="21"/>
                <w:szCs w:val="21"/>
                <w:u w:val="none"/>
                <w:lang w:val="en-US" w:eastAsia="zh-CN"/>
              </w:rPr>
              <w:t>05</w:t>
            </w:r>
            <w:r>
              <w:rPr>
                <w:rFonts w:hint="eastAsia" w:ascii="宋体" w:hAnsi="宋体" w:eastAsia="宋体" w:cs="宋体"/>
                <w:color w:val="auto"/>
                <w:sz w:val="21"/>
                <w:szCs w:val="21"/>
                <w:u w:val="none"/>
                <w:lang w:val="en-US" w:eastAsia="zh-CN"/>
              </w:rPr>
              <w:t>月</w:t>
            </w:r>
            <w:r>
              <w:rPr>
                <w:rFonts w:hint="eastAsia" w:ascii="宋体" w:hAnsi="宋体" w:eastAsia="宋体" w:cs="宋体"/>
                <w:color w:val="auto"/>
                <w:sz w:val="21"/>
                <w:szCs w:val="21"/>
              </w:rPr>
              <w:t>。</w:t>
            </w:r>
            <w:r>
              <w:rPr>
                <w:rFonts w:hint="eastAsia" w:ascii="宋体" w:hAnsi="宋体" w:eastAsia="宋体" w:cs="Times New Roman"/>
                <w:color w:val="auto"/>
                <w:szCs w:val="21"/>
                <w:u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77"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第二章第6.1款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联合体形式</w:t>
            </w:r>
          </w:p>
        </w:tc>
        <w:tc>
          <w:tcPr>
            <w:tcW w:w="6167" w:type="dxa"/>
            <w:noWrap w:val="0"/>
            <w:vAlign w:val="center"/>
          </w:tcPr>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 不接受</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1"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第二章第6.2（3）款</w:t>
            </w:r>
          </w:p>
        </w:tc>
        <w:tc>
          <w:tcPr>
            <w:tcW w:w="1832"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对联合体各方的要求</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1"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第二章第7.1款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现场勘察</w:t>
            </w:r>
          </w:p>
        </w:tc>
        <w:tc>
          <w:tcPr>
            <w:tcW w:w="6167" w:type="dxa"/>
            <w:noWrap w:val="0"/>
            <w:vAlign w:val="center"/>
          </w:tcPr>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 需要</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lang w:eastAsia="zh-CN"/>
              </w:rPr>
            </w:pPr>
            <w:r>
              <w:rPr>
                <w:rFonts w:hint="eastAsia" w:ascii="宋体" w:hAnsi="宋体" w:eastAsia="宋体" w:cs="Times New Roman"/>
                <w:color w:val="auto"/>
                <w:szCs w:val="21"/>
              </w:rPr>
              <w:sym w:font="Wingdings 2" w:char="00A3"/>
            </w:r>
            <w:r>
              <w:rPr>
                <w:rFonts w:hint="eastAsia" w:ascii="宋体" w:hAnsi="宋体" w:eastAsia="宋体" w:cs="Times New Roman"/>
                <w:color w:val="auto"/>
                <w:szCs w:val="21"/>
              </w:rPr>
              <w:t>不需要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 w:hRule="atLeast"/>
        </w:trPr>
        <w:tc>
          <w:tcPr>
            <w:tcW w:w="1123" w:type="dxa"/>
            <w:tcBorders>
              <w:bottom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第二章第</w:t>
            </w:r>
            <w:r>
              <w:rPr>
                <w:rFonts w:hint="eastAsia" w:ascii="宋体" w:hAnsi="宋体" w:eastAsia="宋体" w:cs="Times New Roman"/>
                <w:color w:val="auto"/>
                <w:szCs w:val="21"/>
                <w:lang w:val="en-US" w:eastAsia="zh-CN"/>
              </w:rPr>
              <w:t>8</w:t>
            </w:r>
            <w:r>
              <w:rPr>
                <w:rFonts w:hint="eastAsia" w:ascii="宋体" w:hAnsi="宋体" w:eastAsia="宋体" w:cs="Times New Roman"/>
                <w:color w:val="auto"/>
                <w:szCs w:val="21"/>
              </w:rPr>
              <w:t>.1款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政府采购强制采购：</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(1)标记★符号的节能产品；</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(2)其他。</w:t>
            </w:r>
          </w:p>
        </w:tc>
        <w:tc>
          <w:tcPr>
            <w:tcW w:w="6167"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 否</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 是，采购《节能产品政府采购清单》(第</w:t>
            </w:r>
            <w:r>
              <w:rPr>
                <w:rFonts w:hint="eastAsia" w:ascii="宋体" w:hAnsi="宋体" w:eastAsia="宋体" w:cs="Times New Roman"/>
                <w:color w:val="auto"/>
                <w:szCs w:val="21"/>
                <w:u w:val="single"/>
                <w:lang w:val="en-US" w:eastAsia="zh-CN"/>
              </w:rPr>
              <w:t>/</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rPr>
              <w:t>期) 内的产品。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39" w:hRule="atLeast"/>
        </w:trPr>
        <w:tc>
          <w:tcPr>
            <w:tcW w:w="1123"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第二章第</w:t>
            </w:r>
            <w:r>
              <w:rPr>
                <w:rFonts w:hint="eastAsia" w:ascii="宋体" w:hAnsi="宋体" w:eastAsia="宋体" w:cs="Times New Roman"/>
                <w:color w:val="auto"/>
                <w:szCs w:val="21"/>
                <w:lang w:val="en-US" w:eastAsia="zh-CN"/>
              </w:rPr>
              <w:t>8</w:t>
            </w:r>
            <w:r>
              <w:rPr>
                <w:rFonts w:hint="eastAsia" w:ascii="宋体" w:hAnsi="宋体" w:eastAsia="宋体" w:cs="Times New Roman"/>
                <w:color w:val="auto"/>
                <w:szCs w:val="21"/>
              </w:rPr>
              <w:t>.2款</w:t>
            </w:r>
          </w:p>
        </w:tc>
        <w:tc>
          <w:tcPr>
            <w:tcW w:w="1832"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政府采购优先采购：</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(1)非标记★符号的节能产品；</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(2)环境标志产品；</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(3)两型产品；</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(4)</w:t>
            </w:r>
            <w:r>
              <w:rPr>
                <w:rFonts w:hint="eastAsia" w:ascii="宋体" w:hAnsi="宋体" w:eastAsia="宋体" w:cs="宋体"/>
                <w:bCs/>
                <w:color w:val="auto"/>
                <w:kern w:val="0"/>
                <w:szCs w:val="21"/>
              </w:rPr>
              <w:t>支持</w:t>
            </w:r>
            <w:r>
              <w:rPr>
                <w:rFonts w:hint="eastAsia" w:ascii="宋体" w:hAnsi="宋体" w:eastAsia="宋体" w:cs="Times New Roman"/>
                <w:color w:val="auto"/>
                <w:szCs w:val="21"/>
              </w:rPr>
              <w:t>中小企业发展；</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(5)其他。</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（1）采购产品为《节能产品政府采购清单》(第</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rPr>
              <w:t>期) 内非标记★符号的节能产品的，应给予5%-10%的价格扣除，本项目具体扣除比例为</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rPr>
              <w:t xml:space="preserve"> ％。</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 采购产品为《环境标志产品政府采购清单》(第</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rPr>
              <w:t xml:space="preserve"> 期)内的：应给予5%-10%的价格扣除，本项目具体扣除比例为</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rPr>
              <w:t xml:space="preserve"> ％。</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（3）采购产品为《湖南省政府采购两型产品目录》或《长沙市两型产品目录》内的，应给予5%-10%的价格扣除。本项目具体扣除比例为</w:t>
            </w:r>
            <w:r>
              <w:rPr>
                <w:rFonts w:hint="eastAsia" w:ascii="宋体" w:hAnsi="宋体" w:eastAsia="宋体" w:cs="Times New Roman"/>
                <w:color w:val="auto"/>
                <w:szCs w:val="21"/>
                <w:highlight w:val="none"/>
                <w:lang w:val="en-US" w:eastAsia="zh-CN"/>
              </w:rPr>
              <w:t>10</w:t>
            </w:r>
            <w:r>
              <w:rPr>
                <w:rFonts w:hint="eastAsia" w:ascii="宋体" w:hAnsi="宋体" w:eastAsia="宋体" w:cs="Times New Roman"/>
                <w:color w:val="auto"/>
                <w:szCs w:val="21"/>
                <w:highlight w:val="none"/>
              </w:rPr>
              <w:t>％。</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(4)非专门面向中小企业采购，且符合政府采购促进中小企业发展相关规定的：</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①给予小型和微型企业产品的价格给予6%-10%的扣除，本项目具体扣除比例为</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lang w:val="en-US" w:eastAsia="zh-CN"/>
              </w:rPr>
              <w:t>6</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②给予联合体2%-3%的价格扣除，用扣除后的价格参与评审，本项目具体扣除比例为</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lang w:val="en-US" w:eastAsia="zh-CN"/>
              </w:rPr>
              <w:t>／</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lang w:eastAsia="zh-CN"/>
              </w:rPr>
              <w:t>本文件所称联合体价格扣除是指联合协议中约定，小型、微型企业的协议合同金额占到联合体协议合同金额</w:t>
            </w:r>
            <w:r>
              <w:rPr>
                <w:rFonts w:hint="eastAsia" w:ascii="宋体" w:hAnsi="宋体" w:eastAsia="宋体" w:cs="Times New Roman"/>
                <w:color w:val="auto"/>
                <w:szCs w:val="21"/>
                <w:highlight w:val="none"/>
                <w:lang w:val="en-US" w:eastAsia="zh-CN"/>
              </w:rPr>
              <w:t>30%以上的，可给予联合体</w:t>
            </w:r>
            <w:r>
              <w:rPr>
                <w:rFonts w:hint="eastAsia" w:ascii="宋体" w:hAnsi="宋体" w:eastAsia="宋体" w:cs="Times New Roman"/>
                <w:color w:val="auto"/>
                <w:szCs w:val="21"/>
                <w:highlight w:val="none"/>
              </w:rPr>
              <w:t>2%-3%的价格扣除</w:t>
            </w:r>
            <w:r>
              <w:rPr>
                <w:rFonts w:hint="eastAsia" w:ascii="宋体" w:hAnsi="宋体" w:eastAsia="宋体" w:cs="Times New Roman"/>
                <w:color w:val="auto"/>
                <w:szCs w:val="21"/>
                <w:highlight w:val="none"/>
                <w:lang w:eastAsia="zh-CN"/>
              </w:rPr>
              <w:t>。</w:t>
            </w:r>
          </w:p>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highlight w:val="yellow"/>
              </w:rPr>
            </w:pPr>
            <w:r>
              <w:rPr>
                <w:rFonts w:hint="eastAsia" w:ascii="宋体" w:hAnsi="宋体" w:eastAsia="宋体" w:cs="Times New Roman"/>
                <w:color w:val="auto"/>
                <w:szCs w:val="21"/>
                <w:highlight w:val="none"/>
              </w:rPr>
              <w:t>③给予中型企业产品的价格给予3%-5%的扣除，用扣除后的价格参与评审，本项目具体扣除比例为</w:t>
            </w:r>
            <w:r>
              <w:rPr>
                <w:rFonts w:hint="eastAsia" w:ascii="宋体" w:hAnsi="宋体" w:eastAsia="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 w:hRule="atLeast"/>
        </w:trPr>
        <w:tc>
          <w:tcPr>
            <w:tcW w:w="1123" w:type="dxa"/>
            <w:vMerge w:val="restart"/>
            <w:tcBorders>
              <w:top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第二章第</w:t>
            </w:r>
            <w:r>
              <w:rPr>
                <w:rFonts w:hint="eastAsia" w:ascii="宋体" w:hAnsi="宋体" w:eastAsia="宋体" w:cs="Times New Roman"/>
                <w:color w:val="auto"/>
                <w:szCs w:val="21"/>
                <w:lang w:val="en-US" w:eastAsia="zh-CN"/>
              </w:rPr>
              <w:t>8</w:t>
            </w:r>
            <w:r>
              <w:rPr>
                <w:rFonts w:hint="eastAsia" w:ascii="宋体" w:hAnsi="宋体" w:eastAsia="宋体" w:cs="Times New Roman"/>
                <w:color w:val="auto"/>
                <w:szCs w:val="21"/>
              </w:rPr>
              <w:t>.6款</w:t>
            </w:r>
          </w:p>
        </w:tc>
        <w:tc>
          <w:tcPr>
            <w:tcW w:w="1832"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宋体"/>
                <w:bCs/>
                <w:color w:val="auto"/>
                <w:kern w:val="0"/>
                <w:szCs w:val="21"/>
              </w:rPr>
              <w:t>政府采购支持中小企业融资</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rPr>
            </w:pPr>
            <w:r>
              <w:rPr>
                <w:rFonts w:hint="eastAsia" w:ascii="宋体" w:hAnsi="宋体" w:eastAsia="宋体" w:cs="Times New Roman"/>
                <w:color w:val="auto"/>
                <w:szCs w:val="21"/>
              </w:rPr>
              <w:t>有融资需求的，可查询中国湖南政府采购网</w:t>
            </w:r>
            <w:r>
              <w:rPr>
                <w:rFonts w:hint="eastAsia" w:ascii="宋体" w:hAnsi="宋体" w:eastAsia="宋体" w:cs="宋体"/>
                <w:color w:val="auto"/>
                <w:szCs w:val="21"/>
              </w:rPr>
              <w:t>办事指南专栏中相关业务简介。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2" w:hRule="atLeast"/>
        </w:trPr>
        <w:tc>
          <w:tcPr>
            <w:tcW w:w="1123"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p>
        </w:tc>
        <w:tc>
          <w:tcPr>
            <w:tcW w:w="1832"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宋体"/>
                <w:bCs/>
                <w:color w:val="auto"/>
                <w:kern w:val="0"/>
                <w:szCs w:val="21"/>
              </w:rPr>
              <w:t>政府采购信用担保</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Times New Roman"/>
                <w:color w:val="auto"/>
                <w:szCs w:val="21"/>
              </w:rPr>
            </w:pPr>
            <w:r>
              <w:rPr>
                <w:rFonts w:hint="eastAsia" w:ascii="宋体" w:hAnsi="宋体" w:eastAsia="宋体" w:cs="Times New Roman"/>
                <w:color w:val="auto"/>
                <w:szCs w:val="21"/>
              </w:rPr>
              <w:t>有担保需求的，可查询中国湖南政府采购网</w:t>
            </w:r>
            <w:r>
              <w:rPr>
                <w:rFonts w:hint="eastAsia" w:ascii="宋体" w:hAnsi="宋体" w:eastAsia="宋体" w:cs="宋体"/>
                <w:color w:val="auto"/>
                <w:szCs w:val="21"/>
              </w:rPr>
              <w:t>办事指南专栏中相关业务简介。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trPr>
        <w:tc>
          <w:tcPr>
            <w:tcW w:w="1123"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p>
        </w:tc>
        <w:tc>
          <w:tcPr>
            <w:tcW w:w="1832"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rPr>
            </w:pPr>
            <w:r>
              <w:rPr>
                <w:rFonts w:hint="eastAsia" w:ascii="宋体" w:hAnsi="宋体" w:eastAsia="宋体" w:cs="Times New Roman"/>
                <w:color w:val="auto"/>
                <w:szCs w:val="21"/>
              </w:rPr>
              <w:t>法律、法规、规章和省级以上财政部门规定的其他内容</w:t>
            </w:r>
          </w:p>
        </w:tc>
        <w:tc>
          <w:tcPr>
            <w:tcW w:w="6167" w:type="dxa"/>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 w:hRule="atLeast"/>
        </w:trPr>
        <w:tc>
          <w:tcPr>
            <w:tcW w:w="9122" w:type="dxa"/>
            <w:gridSpan w:val="3"/>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
                <w:color w:val="auto"/>
                <w:szCs w:val="21"/>
              </w:rPr>
            </w:pPr>
            <w:r>
              <w:rPr>
                <w:rFonts w:hint="eastAsia" w:ascii="宋体" w:hAnsi="宋体" w:eastAsia="宋体" w:cs="Times New Roman"/>
                <w:b/>
                <w:color w:val="auto"/>
                <w:szCs w:val="21"/>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5"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w:t>
            </w:r>
            <w:r>
              <w:rPr>
                <w:rFonts w:hint="eastAsia" w:ascii="宋体" w:hAnsi="宋体" w:eastAsia="宋体" w:cs="Times New Roman"/>
                <w:color w:val="auto"/>
                <w:szCs w:val="21"/>
                <w:lang w:val="en-US" w:eastAsia="zh-CN"/>
              </w:rPr>
              <w:t>9</w:t>
            </w:r>
            <w:r>
              <w:rPr>
                <w:rFonts w:hint="eastAsia" w:ascii="宋体" w:hAnsi="宋体" w:eastAsia="宋体" w:cs="Times New Roman"/>
                <w:color w:val="auto"/>
                <w:szCs w:val="21"/>
              </w:rPr>
              <w:t>.3款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谈判文件的可能实质性变动内容</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left"/>
              <w:rPr>
                <w:rFonts w:hint="eastAsia" w:ascii="宋体" w:hAnsi="宋体" w:eastAsia="宋体" w:cs="Times New Roman"/>
                <w:color w:val="auto"/>
                <w:szCs w:val="21"/>
                <w:u w:val="single"/>
              </w:rPr>
            </w:pPr>
            <w:r>
              <w:rPr>
                <w:rFonts w:hint="eastAsia" w:ascii="宋体" w:hAnsi="宋体" w:eastAsia="宋体" w:cs="Times New Roman"/>
                <w:color w:val="auto"/>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7"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第二章第11.1款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提交首次响应文件的截止时间</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left"/>
              <w:rPr>
                <w:rFonts w:hint="eastAsia" w:ascii="宋体" w:hAnsi="宋体" w:eastAsia="宋体" w:cs="Times New Roman"/>
                <w:color w:val="auto"/>
                <w:szCs w:val="21"/>
              </w:rPr>
            </w:pPr>
            <w:r>
              <w:rPr>
                <w:rFonts w:hint="eastAsia" w:ascii="宋体" w:hAnsi="宋体" w:eastAsia="宋体" w:cs="Times New Roman"/>
                <w:color w:val="auto"/>
                <w:szCs w:val="21"/>
                <w:u w:val="single"/>
              </w:rPr>
              <w:t xml:space="preserve"> 20</w:t>
            </w:r>
            <w:r>
              <w:rPr>
                <w:rFonts w:hint="eastAsia" w:ascii="宋体" w:hAnsi="宋体" w:eastAsia="宋体" w:cs="Times New Roman"/>
                <w:color w:val="auto"/>
                <w:szCs w:val="21"/>
                <w:u w:val="single"/>
                <w:lang w:val="en-US" w:eastAsia="zh-CN"/>
              </w:rPr>
              <w:t>19</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rPr>
              <w:t>年</w:t>
            </w:r>
            <w:r>
              <w:rPr>
                <w:rFonts w:hint="eastAsia" w:ascii="宋体" w:hAnsi="宋体" w:eastAsia="宋体" w:cs="Times New Roman"/>
                <w:color w:val="auto"/>
                <w:szCs w:val="21"/>
                <w:u w:val="single"/>
                <w:lang w:val="en-US" w:eastAsia="zh-CN"/>
              </w:rPr>
              <w:t xml:space="preserve"> </w:t>
            </w:r>
            <w:r>
              <w:rPr>
                <w:rFonts w:hint="eastAsia" w:ascii="宋体" w:hAnsi="宋体" w:cs="Times New Roman"/>
                <w:color w:val="auto"/>
                <w:szCs w:val="21"/>
                <w:u w:val="single"/>
                <w:lang w:val="en-US" w:eastAsia="zh-CN"/>
              </w:rPr>
              <w:t>7</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rPr>
              <w:t>月</w:t>
            </w:r>
            <w:r>
              <w:rPr>
                <w:rFonts w:hint="eastAsia" w:ascii="宋体" w:hAnsi="宋体" w:eastAsia="宋体" w:cs="Times New Roman"/>
                <w:color w:val="auto"/>
                <w:szCs w:val="21"/>
                <w:u w:val="single"/>
                <w:lang w:val="en-US" w:eastAsia="zh-CN"/>
              </w:rPr>
              <w:t xml:space="preserve"> </w:t>
            </w:r>
            <w:r>
              <w:rPr>
                <w:rFonts w:hint="eastAsia" w:ascii="宋体" w:hAnsi="宋体" w:cs="Times New Roman"/>
                <w:color w:val="auto"/>
                <w:szCs w:val="21"/>
                <w:u w:val="single"/>
                <w:lang w:val="en-US" w:eastAsia="zh-CN"/>
              </w:rPr>
              <w:t>11</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rPr>
              <w:t>日</w:t>
            </w:r>
            <w:r>
              <w:rPr>
                <w:rFonts w:hint="eastAsia" w:ascii="宋体" w:hAnsi="宋体" w:eastAsia="宋体" w:cs="Times New Roman"/>
                <w:color w:val="auto"/>
                <w:szCs w:val="21"/>
                <w:u w:val="single"/>
                <w:lang w:val="en-US" w:eastAsia="zh-CN"/>
              </w:rPr>
              <w:t xml:space="preserve"> 14</w:t>
            </w:r>
            <w:r>
              <w:rPr>
                <w:rFonts w:hint="eastAsia" w:ascii="宋体" w:hAnsi="宋体" w:eastAsia="宋体" w:cs="Times New Roman"/>
                <w:color w:val="auto"/>
                <w:szCs w:val="21"/>
              </w:rPr>
              <w:t>时</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u w:val="single"/>
                <w:lang w:val="en-US" w:eastAsia="zh-CN"/>
              </w:rPr>
              <w:t xml:space="preserve">00 </w:t>
            </w:r>
            <w:r>
              <w:rPr>
                <w:rFonts w:hint="eastAsia" w:ascii="宋体" w:hAnsi="宋体" w:eastAsia="宋体" w:cs="Times New Roman"/>
                <w:color w:val="auto"/>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 w:hRule="atLeast"/>
        </w:trPr>
        <w:tc>
          <w:tcPr>
            <w:tcW w:w="9122" w:type="dxa"/>
            <w:gridSpan w:val="3"/>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b/>
                <w:color w:val="auto"/>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第二章第15.5款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 w:val="0"/>
                <w:bCs w:val="0"/>
                <w:color w:val="auto"/>
                <w:szCs w:val="21"/>
              </w:rPr>
            </w:pPr>
            <w:r>
              <w:rPr>
                <w:rFonts w:hint="eastAsia" w:ascii="宋体" w:hAnsi="宋体" w:eastAsia="宋体" w:cs="Times New Roman"/>
                <w:b w:val="0"/>
                <w:bCs w:val="0"/>
                <w:color w:val="auto"/>
                <w:szCs w:val="21"/>
              </w:rPr>
              <w:t>采购项目预算（招标控制价）</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 w:val="0"/>
                <w:bCs w:val="0"/>
                <w:color w:val="auto"/>
                <w:szCs w:val="21"/>
              </w:rPr>
            </w:pPr>
            <w:r>
              <w:rPr>
                <w:rFonts w:hint="eastAsia" w:ascii="宋体" w:hAnsi="宋体" w:cs="Times New Roman"/>
                <w:b/>
                <w:bCs/>
                <w:color w:val="auto"/>
                <w:szCs w:val="21"/>
                <w:lang w:val="en-US" w:eastAsia="zh-CN"/>
              </w:rPr>
              <w:t>264852.95</w:t>
            </w:r>
            <w:r>
              <w:rPr>
                <w:rFonts w:hint="eastAsia" w:ascii="宋体" w:hAnsi="宋体" w:eastAsia="宋体" w:cs="Times New Roman"/>
                <w:b/>
                <w:bCs/>
                <w:color w:val="auto"/>
                <w:szCs w:val="21"/>
                <w:lang w:val="en-US" w:eastAsia="zh-CN"/>
              </w:rPr>
              <w:t>元</w:t>
            </w:r>
            <w:r>
              <w:rPr>
                <w:rFonts w:hint="eastAsia" w:ascii="宋体" w:hAnsi="宋体" w:eastAsia="宋体" w:cs="Times New Roman"/>
                <w:b w:val="0"/>
                <w:bCs w:val="0"/>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1"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第二章第17.1款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533" w:leftChars="-254" w:right="23" w:rightChars="11" w:firstLine="533" w:firstLineChars="254"/>
              <w:rPr>
                <w:rFonts w:hint="eastAsia" w:ascii="宋体" w:hAnsi="宋体" w:eastAsia="宋体" w:cs="Times New Roman"/>
                <w:color w:val="auto"/>
                <w:szCs w:val="21"/>
              </w:rPr>
            </w:pPr>
            <w:r>
              <w:rPr>
                <w:rFonts w:hint="eastAsia" w:ascii="宋体" w:hAnsi="宋体" w:eastAsia="宋体" w:cs="Times New Roman"/>
                <w:color w:val="auto"/>
                <w:szCs w:val="21"/>
              </w:rPr>
              <w:t>保证金</w:t>
            </w:r>
          </w:p>
        </w:tc>
        <w:tc>
          <w:tcPr>
            <w:tcW w:w="6167" w:type="dxa"/>
            <w:noWrap w:val="0"/>
            <w:vAlign w:val="center"/>
          </w:tcPr>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 不要求提供</w:t>
            </w:r>
          </w:p>
          <w:p>
            <w:pPr>
              <w:keepNext w:val="0"/>
              <w:keepLines w:val="0"/>
              <w:suppressLineNumbers w:val="0"/>
              <w:spacing w:before="0" w:beforeAutospacing="0" w:after="0" w:afterAutospacing="0" w:line="400" w:lineRule="exact"/>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 要求提供：</w:t>
            </w:r>
            <w:r>
              <w:rPr>
                <w:rFonts w:hint="eastAsia" w:ascii="宋体" w:hAnsi="宋体" w:eastAsia="宋体" w:cs="Times New Roman"/>
                <w:color w:val="auto"/>
                <w:szCs w:val="21"/>
                <w:lang w:eastAsia="zh-CN"/>
              </w:rPr>
              <w:t>金</w:t>
            </w:r>
            <w:r>
              <w:rPr>
                <w:rFonts w:hint="eastAsia" w:ascii="宋体" w:hAnsi="宋体" w:eastAsia="宋体" w:cs="Times New Roman"/>
                <w:color w:val="auto"/>
                <w:szCs w:val="21"/>
              </w:rPr>
              <w:t>额：</w:t>
            </w:r>
            <w:r>
              <w:rPr>
                <w:rFonts w:hint="eastAsia" w:ascii="宋体" w:hAnsi="宋体" w:eastAsia="宋体" w:cs="Times New Roman"/>
                <w:color w:val="auto"/>
                <w:szCs w:val="21"/>
                <w:u w:val="single"/>
                <w:lang w:eastAsia="zh-CN"/>
              </w:rPr>
              <w:t>伍仟元整</w:t>
            </w:r>
            <w:r>
              <w:rPr>
                <w:rFonts w:hint="eastAsia" w:ascii="宋体" w:hAnsi="宋体" w:eastAsia="宋体" w:cs="Times New Roman"/>
                <w:color w:val="auto"/>
                <w:szCs w:val="21"/>
                <w:u w:val="single"/>
              </w:rPr>
              <w:t>(</w:t>
            </w:r>
            <w:r>
              <w:rPr>
                <w:rFonts w:hint="eastAsia" w:ascii="宋体" w:hAnsi="宋体" w:eastAsia="宋体" w:cs="Times New Roman"/>
                <w:color w:val="auto"/>
                <w:szCs w:val="21"/>
              </w:rPr>
              <w:t>人民币)</w:t>
            </w:r>
          </w:p>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2、缴纳</w:t>
            </w:r>
          </w:p>
          <w:p>
            <w:pPr>
              <w:keepNext w:val="0"/>
              <w:keepLines w:val="0"/>
              <w:suppressLineNumbers w:val="0"/>
              <w:spacing w:before="0" w:beforeAutospacing="0" w:after="0" w:afterAutospacing="0" w:line="400" w:lineRule="exact"/>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保证金</w:t>
            </w:r>
            <w:r>
              <w:rPr>
                <w:rFonts w:hint="eastAsia" w:ascii="宋体" w:hAnsi="宋体" w:cs="Times New Roman"/>
                <w:color w:val="auto"/>
                <w:szCs w:val="21"/>
                <w:lang w:eastAsia="zh-CN"/>
              </w:rPr>
              <w:t>缴纳</w:t>
            </w:r>
            <w:r>
              <w:rPr>
                <w:rFonts w:hint="eastAsia" w:ascii="宋体" w:hAnsi="宋体" w:eastAsia="宋体" w:cs="Times New Roman"/>
                <w:color w:val="auto"/>
                <w:szCs w:val="21"/>
              </w:rPr>
              <w:t>方式：以支票、汇票、本票等形式缴入如下账户，查询已经到账，视为已缴纳。</w:t>
            </w:r>
          </w:p>
          <w:p>
            <w:pPr>
              <w:keepNext w:val="0"/>
              <w:keepLines w:val="0"/>
              <w:suppressLineNumbers w:val="0"/>
              <w:spacing w:before="0" w:beforeAutospacing="0" w:after="0" w:afterAutospacing="0" w:line="400" w:lineRule="exact"/>
              <w:ind w:left="0" w:right="0"/>
              <w:rPr>
                <w:rFonts w:hint="eastAsia" w:ascii="宋体" w:hAnsi="宋体" w:eastAsia="宋体" w:cs="Times New Roman"/>
                <w:color w:val="auto"/>
                <w:szCs w:val="21"/>
              </w:rPr>
            </w:pPr>
            <w:r>
              <w:rPr>
                <w:rFonts w:hint="eastAsia" w:ascii="宋体" w:hAnsi="宋体" w:eastAsia="宋体" w:cs="Times New Roman"/>
                <w:color w:val="auto"/>
                <w:szCs w:val="21"/>
              </w:rPr>
              <w:t>账户名：</w:t>
            </w:r>
            <w:r>
              <w:rPr>
                <w:rFonts w:hint="eastAsia" w:ascii="宋体" w:hAnsi="宋体" w:eastAsia="宋体" w:cs="Times New Roman"/>
                <w:b/>
                <w:bCs/>
                <w:color w:val="auto"/>
                <w:szCs w:val="21"/>
                <w:lang w:eastAsia="zh-CN"/>
              </w:rPr>
              <w:t>湖南志方项目管理有限公司政府采购保证金专户</w:t>
            </w:r>
          </w:p>
          <w:p>
            <w:pPr>
              <w:keepNext w:val="0"/>
              <w:keepLines w:val="0"/>
              <w:suppressLineNumbers w:val="0"/>
              <w:spacing w:before="0" w:beforeAutospacing="0" w:after="0" w:afterAutospacing="0" w:line="400" w:lineRule="exact"/>
              <w:ind w:left="0" w:right="0"/>
              <w:rPr>
                <w:rFonts w:hint="eastAsia" w:ascii="宋体" w:hAnsi="宋体" w:eastAsia="宋体" w:cs="Times New Roman"/>
                <w:color w:val="auto"/>
                <w:szCs w:val="21"/>
              </w:rPr>
            </w:pPr>
            <w:r>
              <w:rPr>
                <w:rFonts w:hint="eastAsia" w:ascii="宋体" w:hAnsi="宋体" w:eastAsia="宋体" w:cs="Times New Roman"/>
                <w:color w:val="auto"/>
                <w:szCs w:val="21"/>
              </w:rPr>
              <w:t>开户行：</w:t>
            </w:r>
            <w:r>
              <w:rPr>
                <w:rFonts w:hint="eastAsia" w:ascii="宋体" w:hAnsi="宋体" w:eastAsia="宋体" w:cs="Times New Roman"/>
                <w:b/>
                <w:bCs/>
                <w:color w:val="auto"/>
                <w:szCs w:val="21"/>
                <w:lang w:eastAsia="zh-CN"/>
              </w:rPr>
              <w:t>兴业银行宁乡支行</w:t>
            </w:r>
          </w:p>
          <w:p>
            <w:pPr>
              <w:keepNext w:val="0"/>
              <w:keepLines w:val="0"/>
              <w:suppressLineNumbers w:val="0"/>
              <w:spacing w:before="0" w:beforeAutospacing="0" w:after="0" w:afterAutospacing="0" w:line="400" w:lineRule="exact"/>
              <w:ind w:left="0" w:right="23" w:rightChars="11"/>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账  号：</w:t>
            </w:r>
            <w:r>
              <w:rPr>
                <w:rFonts w:hint="eastAsia" w:ascii="宋体" w:hAnsi="宋体" w:eastAsia="宋体" w:cs="Times New Roman"/>
                <w:b/>
                <w:bCs/>
                <w:color w:val="auto"/>
                <w:szCs w:val="21"/>
                <w:lang w:val="en-US" w:eastAsia="zh-CN"/>
              </w:rPr>
              <w:t>3683 7010 0100 0164 20</w:t>
            </w:r>
          </w:p>
          <w:p>
            <w:pPr>
              <w:keepNext w:val="0"/>
              <w:keepLines w:val="0"/>
              <w:suppressLineNumbers w:val="0"/>
              <w:adjustRightInd w:val="0"/>
              <w:snapToGrid w:val="0"/>
              <w:spacing w:before="0" w:beforeAutospacing="0" w:after="0" w:afterAutospacing="0" w:line="360" w:lineRule="exact"/>
              <w:ind w:left="0" w:right="0"/>
              <w:rPr>
                <w:rFonts w:hint="eastAsia" w:ascii="宋体" w:hAnsi="宋体" w:eastAsia="宋体" w:cs="宋体"/>
                <w:color w:val="000000"/>
                <w:szCs w:val="21"/>
              </w:rPr>
            </w:pPr>
            <w:r>
              <w:rPr>
                <w:rFonts w:hint="eastAsia" w:ascii="宋体" w:hAnsi="宋体" w:eastAsia="宋体" w:cs="宋体"/>
                <w:bCs/>
                <w:color w:val="000000"/>
                <w:szCs w:val="21"/>
                <w:lang w:val="en-US" w:eastAsia="zh-CN"/>
              </w:rPr>
              <w:t>3</w:t>
            </w:r>
            <w:r>
              <w:rPr>
                <w:rFonts w:hint="eastAsia" w:ascii="宋体" w:hAnsi="宋体" w:eastAsia="宋体" w:cs="宋体"/>
                <w:bCs/>
                <w:color w:val="000000"/>
                <w:szCs w:val="21"/>
              </w:rPr>
              <w:t>、</w:t>
            </w:r>
            <w:r>
              <w:rPr>
                <w:rFonts w:hint="eastAsia" w:ascii="宋体" w:hAnsi="宋体" w:eastAsia="宋体" w:cs="宋体"/>
                <w:color w:val="000000"/>
                <w:szCs w:val="21"/>
              </w:rPr>
              <w:t>投标保证金应以投标人自身名义缴纳，其名称应与投标单位名称一致，不得以分支机构等其他名义缴纳。联合体投标的，其投标保证金由牵头方缴纳。</w:t>
            </w:r>
          </w:p>
          <w:p>
            <w:pPr>
              <w:keepNext w:val="0"/>
              <w:keepLines w:val="0"/>
              <w:suppressLineNumbers w:val="0"/>
              <w:adjustRightInd w:val="0"/>
              <w:snapToGrid w:val="0"/>
              <w:spacing w:before="0" w:beforeAutospacing="0" w:after="0" w:afterAutospacing="0" w:line="360" w:lineRule="exact"/>
              <w:ind w:left="0" w:right="0"/>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、对项目本次招标出现招标失败（流标或废标）情况的，投标保证金将即时退还原缴纳账户。重新组织招标采购时，投标人应当重新缴纳投标保证金。</w:t>
            </w:r>
          </w:p>
          <w:p>
            <w:pPr>
              <w:keepNext w:val="0"/>
              <w:keepLines w:val="0"/>
              <w:suppressLineNumbers w:val="0"/>
              <w:spacing w:before="0" w:beforeAutospacing="0" w:after="0" w:afterAutospacing="0" w:line="400" w:lineRule="exact"/>
              <w:ind w:left="0" w:right="23" w:rightChars="11"/>
              <w:rPr>
                <w:rFonts w:hint="eastAsia" w:ascii="宋体" w:hAnsi="宋体" w:eastAsia="宋体" w:cs="Times New Roman"/>
                <w:color w:val="auto"/>
                <w:szCs w:val="21"/>
                <w:lang w:val="en-US" w:eastAsia="zh-CN"/>
              </w:rPr>
            </w:pPr>
            <w:r>
              <w:rPr>
                <w:rFonts w:hint="eastAsia" w:ascii="宋体" w:hAnsi="宋体" w:eastAsia="宋体" w:cs="宋体"/>
                <w:bCs/>
                <w:color w:val="000000"/>
                <w:szCs w:val="21"/>
                <w:lang w:val="en-US" w:eastAsia="zh-CN"/>
              </w:rPr>
              <w:t>5</w:t>
            </w:r>
            <w:r>
              <w:rPr>
                <w:rFonts w:hint="eastAsia" w:ascii="宋体" w:hAnsi="宋体" w:eastAsia="宋体" w:cs="宋体"/>
                <w:bCs/>
                <w:color w:val="000000"/>
                <w:szCs w:val="21"/>
              </w:rPr>
              <w:t>、未按时足额缴纳投标保证金的，其投标将被拒绝</w:t>
            </w:r>
            <w:r>
              <w:rPr>
                <w:rFonts w:hint="eastAsia" w:ascii="宋体" w:hAnsi="宋体" w:eastAsia="宋体" w:cs="宋体"/>
                <w:color w:val="000000"/>
                <w:szCs w:val="21"/>
              </w:rPr>
              <w:t>（★）</w:t>
            </w:r>
            <w:r>
              <w:rPr>
                <w:rFonts w:hint="eastAsia" w:ascii="宋体" w:hAnsi="宋体" w:eastAsia="宋体" w:cs="宋体"/>
                <w:bCs/>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第二章第18.1款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Cs/>
                <w:color w:val="auto"/>
                <w:szCs w:val="21"/>
              </w:rPr>
            </w:pPr>
            <w:r>
              <w:rPr>
                <w:rFonts w:hint="eastAsia" w:ascii="宋体" w:hAnsi="宋体" w:eastAsia="宋体" w:cs="Times New Roman"/>
                <w:bCs/>
                <w:color w:val="auto"/>
                <w:szCs w:val="21"/>
              </w:rPr>
              <w:t>响应文件有效期</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Cs/>
                <w:color w:val="auto"/>
                <w:szCs w:val="21"/>
              </w:rPr>
            </w:pPr>
            <w:r>
              <w:rPr>
                <w:rFonts w:hint="eastAsia" w:ascii="宋体" w:hAnsi="宋体" w:eastAsia="宋体" w:cs="Times New Roman"/>
                <w:color w:val="auto"/>
                <w:szCs w:val="21"/>
                <w:u w:val="single"/>
                <w:lang w:val="en-US" w:eastAsia="zh-CN"/>
              </w:rPr>
              <w:t>6</w:t>
            </w:r>
            <w:r>
              <w:rPr>
                <w:rFonts w:hint="eastAsia" w:ascii="宋体" w:hAnsi="宋体" w:eastAsia="宋体" w:cs="Times New Roman"/>
                <w:color w:val="auto"/>
                <w:szCs w:val="21"/>
                <w:u w:val="single"/>
              </w:rPr>
              <w:t xml:space="preserve">0 </w:t>
            </w:r>
            <w:r>
              <w:rPr>
                <w:rFonts w:hint="eastAsia" w:ascii="宋体" w:hAnsi="宋体" w:eastAsia="宋体" w:cs="Times New Roman"/>
                <w:color w:val="auto"/>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2"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第二章第19.1款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bCs/>
                <w:color w:val="auto"/>
                <w:szCs w:val="21"/>
              </w:rPr>
              <w:t>响应</w:t>
            </w:r>
            <w:r>
              <w:rPr>
                <w:rFonts w:hint="eastAsia" w:ascii="宋体" w:hAnsi="宋体" w:eastAsia="宋体" w:cs="Times New Roman"/>
                <w:color w:val="auto"/>
                <w:szCs w:val="21"/>
              </w:rPr>
              <w:t>文件副本份数</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u w:val="single"/>
              </w:rPr>
            </w:pPr>
            <w:r>
              <w:rPr>
                <w:rFonts w:hint="eastAsia" w:ascii="宋体" w:hAnsi="宋体" w:eastAsia="宋体" w:cs="Times New Roman"/>
                <w:color w:val="auto"/>
                <w:szCs w:val="21"/>
                <w:u w:val="single"/>
                <w:lang w:eastAsia="zh-CN"/>
              </w:rPr>
              <w:t>共三份，一正二副（另附响应性文件</w:t>
            </w:r>
            <w:r>
              <w:rPr>
                <w:rFonts w:hint="eastAsia" w:ascii="宋体" w:hAnsi="宋体" w:eastAsia="宋体" w:cs="Times New Roman"/>
                <w:szCs w:val="21"/>
                <w:u w:val="single"/>
              </w:rPr>
              <w:t>电子U盘一个</w:t>
            </w:r>
            <w:r>
              <w:rPr>
                <w:rFonts w:hint="eastAsia" w:ascii="宋体" w:hAnsi="宋体" w:eastAsia="宋体" w:cs="Times New Roman"/>
                <w:szCs w:val="21"/>
                <w:u w:val="single"/>
                <w:lang w:eastAsia="zh-CN"/>
              </w:rPr>
              <w:t>，副本可为正本复印件）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3" w:hRule="atLeast"/>
        </w:trPr>
        <w:tc>
          <w:tcPr>
            <w:tcW w:w="9122" w:type="dxa"/>
            <w:gridSpan w:val="3"/>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
                <w:bCs/>
                <w:color w:val="auto"/>
                <w:szCs w:val="21"/>
              </w:rPr>
            </w:pPr>
            <w:r>
              <w:rPr>
                <w:rFonts w:hint="eastAsia" w:ascii="宋体" w:hAnsi="宋体" w:eastAsia="宋体" w:cs="Times New Roman"/>
                <w:b/>
                <w:color w:val="auto"/>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第二章第20.2款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封套上应载明的信息</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rPr>
              <w:t xml:space="preserve">(项目名称) 响应文件  </w:t>
            </w:r>
          </w:p>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政府采购编号：</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 xml:space="preserve"> </w:t>
            </w:r>
          </w:p>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委托代理编号</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 xml:space="preserve"> </w:t>
            </w:r>
            <w:r>
              <w:rPr>
                <w:rFonts w:hint="eastAsia" w:ascii="宋体" w:hAnsi="宋体" w:eastAsia="宋体" w:cs="Times New Roman"/>
                <w:color w:val="auto"/>
                <w:szCs w:val="21"/>
              </w:rPr>
              <w:t xml:space="preserve">  </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在</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rPr>
              <w:t>年</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rPr>
              <w:t>月</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rPr>
              <w:t>日</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rPr>
              <w:t xml:space="preserve"> 时</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第二章第22.1款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响应文件的递交地点</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
                <w:bCs/>
                <w:color w:val="auto"/>
                <w:szCs w:val="21"/>
                <w:lang w:eastAsia="zh-CN"/>
              </w:rPr>
            </w:pPr>
            <w:r>
              <w:rPr>
                <w:rFonts w:hint="eastAsia" w:ascii="宋体" w:hAnsi="宋体" w:eastAsia="宋体" w:cs="Times New Roman"/>
                <w:bCs/>
                <w:color w:val="auto"/>
                <w:szCs w:val="21"/>
                <w:lang w:eastAsia="zh-CN"/>
              </w:rPr>
              <w:t>湖南志方项目管理有限公司宁乡分公司</w:t>
            </w:r>
            <w:r>
              <w:rPr>
                <w:rFonts w:hint="eastAsia" w:ascii="宋体" w:hAnsi="宋体" w:eastAsia="宋体" w:cs="Times New Roman"/>
                <w:bCs/>
                <w:color w:val="auto"/>
                <w:szCs w:val="21"/>
              </w:rPr>
              <w:t>（</w:t>
            </w:r>
            <w:r>
              <w:rPr>
                <w:rFonts w:hint="eastAsia" w:ascii="宋体" w:hAnsi="宋体" w:eastAsia="宋体" w:cs="Times New Roman"/>
                <w:bCs/>
                <w:color w:val="auto"/>
                <w:szCs w:val="21"/>
                <w:lang w:eastAsia="zh-CN"/>
              </w:rPr>
              <w:t>宁乡市花明北路财汇立方</w:t>
            </w:r>
            <w:r>
              <w:rPr>
                <w:rFonts w:hint="eastAsia" w:ascii="宋体" w:hAnsi="宋体" w:eastAsia="宋体" w:cs="Times New Roman"/>
                <w:bCs/>
                <w:color w:val="auto"/>
                <w:szCs w:val="21"/>
                <w:lang w:val="en-US" w:eastAsia="zh-CN"/>
              </w:rPr>
              <w:t>14楼</w:t>
            </w:r>
            <w:r>
              <w:rPr>
                <w:rFonts w:hint="eastAsia" w:ascii="宋体" w:hAnsi="宋体" w:eastAsia="宋体" w:cs="Times New Roman"/>
                <w:bCs/>
                <w:color w:val="auto"/>
                <w:szCs w:val="21"/>
              </w:rPr>
              <w:t>）。</w:t>
            </w:r>
            <w:r>
              <w:rPr>
                <w:rFonts w:hint="eastAsia" w:ascii="宋体" w:hAnsi="宋体" w:eastAsia="宋体" w:cs="Times New Roman"/>
                <w:bCs/>
                <w:color w:val="auto"/>
                <w:szCs w:val="21"/>
                <w:lang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trPr>
        <w:tc>
          <w:tcPr>
            <w:tcW w:w="9122" w:type="dxa"/>
            <w:gridSpan w:val="3"/>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b/>
                <w:color w:val="auto"/>
                <w:szCs w:val="21"/>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第二章第35.1款、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财政部门指定的媒体</w:t>
            </w:r>
          </w:p>
        </w:tc>
        <w:tc>
          <w:tcPr>
            <w:tcW w:w="6167" w:type="dxa"/>
            <w:noWrap w:val="0"/>
            <w:vAlign w:val="center"/>
          </w:tcPr>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宋体" w:cs="Times New Roman"/>
                <w:color w:val="000000"/>
                <w:szCs w:val="21"/>
              </w:rPr>
            </w:pPr>
            <w:r>
              <w:rPr>
                <w:rFonts w:hint="eastAsia" w:ascii="宋体" w:hAnsi="宋体" w:eastAsia="宋体" w:cs="Times New Roman"/>
                <w:color w:val="000000"/>
                <w:szCs w:val="21"/>
              </w:rPr>
              <w:t>中国湖南长沙市政府采购网</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u w:val="single"/>
              </w:rPr>
            </w:pPr>
            <w:r>
              <w:rPr>
                <w:rFonts w:ascii="宋体" w:hAnsi="宋体" w:eastAsia="宋体" w:cs="Times New Roman"/>
                <w:szCs w:val="21"/>
                <w:u w:val="single"/>
              </w:rPr>
              <w:t>http://changs.ccgp-hunan.gov.cn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第二章第37.3款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履约担保</w:t>
            </w:r>
          </w:p>
        </w:tc>
        <w:tc>
          <w:tcPr>
            <w:tcW w:w="6167" w:type="dxa"/>
            <w:noWrap w:val="0"/>
            <w:vAlign w:val="center"/>
          </w:tcPr>
          <w:p>
            <w:pPr>
              <w:keepNext w:val="0"/>
              <w:keepLines w:val="0"/>
              <w:suppressLineNumbers w:val="0"/>
              <w:adjustRightInd w:val="0"/>
              <w:snapToGrid w:val="0"/>
              <w:spacing w:before="120" w:beforeLines="5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■不要求提供</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□要求提供，履约担保的金额为：</w:t>
            </w:r>
            <w:r>
              <w:rPr>
                <w:rFonts w:hint="eastAsia" w:ascii="宋体" w:hAnsi="宋体" w:eastAsia="宋体" w:cs="Times New Roman"/>
                <w:color w:val="auto"/>
                <w:szCs w:val="21"/>
                <w:u w:val="single"/>
              </w:rPr>
              <w:t xml:space="preserve"> </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9122" w:type="dxa"/>
            <w:gridSpan w:val="3"/>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b/>
                <w:color w:val="auto"/>
                <w:szCs w:val="21"/>
              </w:rPr>
            </w:pPr>
            <w:r>
              <w:rPr>
                <w:rFonts w:hint="eastAsia" w:ascii="宋体" w:hAnsi="宋体" w:eastAsia="宋体" w:cs="Times New Roman"/>
                <w:b/>
                <w:color w:val="auto"/>
                <w:szCs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第二章第39.1款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采购代理服务费</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u w:val="single"/>
              </w:rPr>
            </w:pPr>
            <w:r>
              <w:rPr>
                <w:rFonts w:hint="eastAsia" w:ascii="宋体" w:hAnsi="宋体" w:eastAsia="宋体" w:cs="Times New Roman"/>
                <w:b/>
                <w:bCs/>
                <w:color w:val="auto"/>
                <w:szCs w:val="21"/>
                <w:u w:val="none"/>
                <w:lang w:eastAsia="zh-CN"/>
              </w:rPr>
              <w:t>服务费</w:t>
            </w:r>
            <w:r>
              <w:rPr>
                <w:rFonts w:hint="eastAsia" w:ascii="宋体" w:hAnsi="宋体" w:cs="Times New Roman"/>
                <w:b/>
                <w:bCs/>
                <w:color w:val="auto"/>
                <w:szCs w:val="21"/>
                <w:u w:val="none"/>
                <w:lang w:eastAsia="zh-CN"/>
              </w:rPr>
              <w:t>捌</w:t>
            </w:r>
            <w:r>
              <w:rPr>
                <w:rFonts w:hint="eastAsia" w:ascii="宋体" w:hAnsi="宋体" w:eastAsia="宋体" w:cs="Times New Roman"/>
                <w:b/>
                <w:bCs/>
                <w:color w:val="auto"/>
                <w:szCs w:val="21"/>
                <w:u w:val="none"/>
                <w:lang w:eastAsia="zh-CN"/>
              </w:rPr>
              <w:t>仟元整（￥</w:t>
            </w:r>
            <w:r>
              <w:rPr>
                <w:rFonts w:hint="eastAsia" w:ascii="宋体" w:hAnsi="宋体" w:cs="Times New Roman"/>
                <w:b/>
                <w:bCs/>
                <w:color w:val="auto"/>
                <w:szCs w:val="21"/>
                <w:u w:val="none"/>
                <w:lang w:val="en-US" w:eastAsia="zh-CN"/>
              </w:rPr>
              <w:t>8</w:t>
            </w:r>
            <w:r>
              <w:rPr>
                <w:rFonts w:hint="eastAsia" w:ascii="宋体" w:hAnsi="宋体" w:eastAsia="宋体" w:cs="Times New Roman"/>
                <w:b/>
                <w:bCs/>
                <w:color w:val="auto"/>
                <w:szCs w:val="21"/>
                <w:u w:val="none"/>
                <w:lang w:val="en-US" w:eastAsia="zh-CN"/>
              </w:rPr>
              <w:t>000.00元</w:t>
            </w:r>
            <w:r>
              <w:rPr>
                <w:rFonts w:hint="eastAsia" w:ascii="宋体" w:hAnsi="宋体" w:eastAsia="宋体" w:cs="Times New Roman"/>
                <w:b/>
                <w:bCs/>
                <w:color w:val="auto"/>
                <w:szCs w:val="21"/>
                <w:u w:val="none"/>
                <w:lang w:eastAsia="zh-CN"/>
              </w:rPr>
              <w:t>），成交供应商领取成交通知书时一次性付清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rPr>
        <w:tc>
          <w:tcPr>
            <w:tcW w:w="1123"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第二章第40.1款</w:t>
            </w:r>
          </w:p>
        </w:tc>
        <w:tc>
          <w:tcPr>
            <w:tcW w:w="1832" w:type="dxa"/>
            <w:noWrap w:val="0"/>
            <w:vAlign w:val="center"/>
          </w:tcPr>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rPr>
            </w:pPr>
            <w:r>
              <w:rPr>
                <w:rFonts w:hint="eastAsia" w:ascii="宋体" w:hAnsi="宋体" w:eastAsia="宋体" w:cs="Times New Roman"/>
                <w:color w:val="auto"/>
                <w:szCs w:val="21"/>
              </w:rPr>
              <w:t>其他规定</w:t>
            </w:r>
          </w:p>
        </w:tc>
        <w:tc>
          <w:tcPr>
            <w:tcW w:w="6167" w:type="dxa"/>
            <w:noWrap w:val="0"/>
            <w:vAlign w:val="center"/>
          </w:tcPr>
          <w:p>
            <w:pPr>
              <w:keepNext w:val="0"/>
              <w:keepLines w:val="0"/>
              <w:suppressLineNumbers w:val="0"/>
              <w:adjustRightInd w:val="0"/>
              <w:snapToGrid w:val="0"/>
              <w:spacing w:before="0" w:beforeAutospacing="0" w:after="0" w:afterAutospacing="0" w:line="360" w:lineRule="auto"/>
              <w:ind w:left="0" w:right="0"/>
              <w:rPr>
                <w:rFonts w:ascii="宋体" w:hAnsi="宋体" w:eastAsia="宋体" w:cs="Times New Roman"/>
                <w:szCs w:val="21"/>
              </w:rPr>
            </w:pPr>
            <w:r>
              <w:rPr>
                <w:rFonts w:hint="eastAsia" w:ascii="宋体" w:hAnsi="宋体" w:eastAsia="宋体" w:cs="Times New Roman"/>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Times New Roman"/>
                <w:szCs w:val="21"/>
              </w:rPr>
              <w:br w:type="textWrapping"/>
            </w:r>
            <w:r>
              <w:rPr>
                <w:rFonts w:hint="eastAsia" w:ascii="宋体" w:hAnsi="宋体" w:eastAsia="宋体" w:cs="Times New Roman"/>
                <w:szCs w:val="21"/>
              </w:rPr>
              <w:t>1、信用信息查询的查询渠道：“信用中国”网站（www.creditchina.gov.cn）、中国政府采购网（www.ccgp.gov.cn）、</w:t>
            </w:r>
          </w:p>
          <w:p>
            <w:pPr>
              <w:keepNext w:val="0"/>
              <w:keepLines w:val="0"/>
              <w:suppressLineNumbers w:val="0"/>
              <w:adjustRightInd w:val="0"/>
              <w:snapToGrid w:val="0"/>
              <w:spacing w:before="0" w:beforeAutospacing="0" w:after="0" w:afterAutospacing="0" w:line="360" w:lineRule="auto"/>
              <w:ind w:left="0" w:right="23" w:rightChars="11"/>
              <w:rPr>
                <w:rFonts w:hint="eastAsia" w:ascii="宋体" w:hAnsi="宋体" w:eastAsia="宋体" w:cs="Times New Roman"/>
                <w:color w:val="auto"/>
                <w:szCs w:val="21"/>
                <w:lang w:eastAsia="zh-CN"/>
              </w:rPr>
            </w:pPr>
            <w:r>
              <w:rPr>
                <w:rFonts w:hint="eastAsia" w:ascii="宋体" w:hAnsi="宋体" w:eastAsia="宋体" w:cs="Times New Roman"/>
                <w:szCs w:val="21"/>
              </w:rPr>
              <w:t>2、信用信息查询的截止时点：至本项目投标截止时间止。</w:t>
            </w:r>
            <w:r>
              <w:rPr>
                <w:rFonts w:hint="eastAsia" w:ascii="宋体" w:hAnsi="宋体" w:eastAsia="宋体" w:cs="Times New Roman"/>
                <w:szCs w:val="21"/>
              </w:rPr>
              <w:br w:type="textWrapping"/>
            </w:r>
            <w:r>
              <w:rPr>
                <w:rFonts w:hint="eastAsia" w:ascii="宋体" w:hAnsi="宋体" w:eastAsia="宋体" w:cs="Times New Roman"/>
                <w:szCs w:val="21"/>
              </w:rPr>
              <w:t>3、信用信息查询记录的具体方式：采购人或采购代理机构在开标后在规定的查询渠道进行查询。</w:t>
            </w:r>
            <w:r>
              <w:rPr>
                <w:rFonts w:hint="eastAsia" w:ascii="宋体" w:hAnsi="宋体" w:eastAsia="宋体" w:cs="Times New Roman"/>
                <w:szCs w:val="21"/>
              </w:rPr>
              <w:br w:type="textWrapping"/>
            </w:r>
            <w:r>
              <w:rPr>
                <w:rFonts w:hint="eastAsia" w:ascii="宋体" w:hAnsi="宋体" w:eastAsia="宋体" w:cs="Times New Roman"/>
                <w:szCs w:val="21"/>
              </w:rPr>
              <w:t>4、信用信息查询记录证据留存的具体方式：查询记录的网上打印件。</w:t>
            </w:r>
            <w:r>
              <w:rPr>
                <w:rFonts w:hint="eastAsia" w:ascii="宋体" w:hAnsi="宋体" w:eastAsia="宋体" w:cs="Times New Roman"/>
                <w:szCs w:val="21"/>
              </w:rPr>
              <w:br w:type="textWrapping"/>
            </w:r>
            <w:r>
              <w:rPr>
                <w:rFonts w:hint="eastAsia" w:ascii="宋体" w:hAnsi="宋体" w:eastAsia="宋体" w:cs="Times New Roman"/>
                <w:szCs w:val="21"/>
              </w:rPr>
              <w:t>5、信用信息的使用规则：查询后交由评标委员会评定。</w:t>
            </w:r>
          </w:p>
        </w:tc>
      </w:tr>
    </w:tbl>
    <w:p>
      <w:pPr>
        <w:adjustRightInd w:val="0"/>
        <w:snapToGrid w:val="0"/>
        <w:spacing w:line="360" w:lineRule="auto"/>
        <w:ind w:right="23" w:rightChars="11"/>
        <w:rPr>
          <w:rStyle w:val="232"/>
          <w:rFonts w:hint="eastAsia"/>
          <w:color w:val="auto"/>
        </w:rPr>
      </w:pPr>
      <w:bookmarkStart w:id="3" w:name="_Toc7796"/>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rPr>
          <w:rStyle w:val="232"/>
          <w:rFonts w:hint="eastAsia"/>
          <w:color w:val="auto"/>
        </w:rPr>
      </w:pPr>
    </w:p>
    <w:p>
      <w:pPr>
        <w:adjustRightInd w:val="0"/>
        <w:snapToGrid w:val="0"/>
        <w:spacing w:line="360" w:lineRule="auto"/>
        <w:ind w:right="23" w:rightChars="11"/>
        <w:jc w:val="center"/>
        <w:rPr>
          <w:rFonts w:hint="eastAsia" w:ascii="黑体" w:hAnsi="宋体" w:eastAsia="黑体"/>
          <w:b/>
          <w:color w:val="auto"/>
          <w:sz w:val="24"/>
        </w:rPr>
      </w:pPr>
      <w:r>
        <w:rPr>
          <w:rStyle w:val="232"/>
          <w:rFonts w:hint="eastAsia"/>
          <w:color w:val="auto"/>
        </w:rPr>
        <w:t>谈判须知正文</w:t>
      </w:r>
      <w:bookmarkEnd w:id="3"/>
    </w:p>
    <w:p>
      <w:pPr>
        <w:adjustRightInd w:val="0"/>
        <w:snapToGrid w:val="0"/>
        <w:spacing w:line="360" w:lineRule="auto"/>
        <w:ind w:right="23" w:rightChars="11"/>
        <w:rPr>
          <w:rFonts w:hint="eastAsia" w:ascii="黑体" w:hAnsi="宋体" w:eastAsia="黑体"/>
          <w:b/>
          <w:color w:val="auto"/>
          <w:sz w:val="24"/>
        </w:rPr>
      </w:pPr>
      <w:r>
        <w:rPr>
          <w:rFonts w:hint="eastAsia" w:ascii="黑体" w:hAnsi="宋体" w:eastAsia="黑体"/>
          <w:b/>
          <w:color w:val="auto"/>
          <w:sz w:val="24"/>
        </w:rPr>
        <w:t>一、说明</w:t>
      </w:r>
    </w:p>
    <w:p>
      <w:pPr>
        <w:adjustRightInd w:val="0"/>
        <w:snapToGrid w:val="0"/>
        <w:spacing w:line="360" w:lineRule="auto"/>
        <w:ind w:right="23" w:rightChars="11"/>
        <w:rPr>
          <w:rFonts w:hint="eastAsia" w:ascii="宋体" w:hAnsi="宋体"/>
          <w:b/>
          <w:bCs/>
          <w:color w:val="auto"/>
          <w:szCs w:val="21"/>
        </w:rPr>
      </w:pPr>
      <w:r>
        <w:rPr>
          <w:rFonts w:hint="eastAsia" w:ascii="宋体" w:hAnsi="宋体"/>
          <w:b/>
          <w:bCs/>
          <w:color w:val="auto"/>
          <w:szCs w:val="21"/>
        </w:rPr>
        <w:t>1.适用范围</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1.1 本谈判文件仅适用于谈判须知前附表(以下简称</w:t>
      </w:r>
      <w:r>
        <w:rPr>
          <w:rFonts w:hint="eastAsia" w:ascii="宋体" w:hAnsi="宋体"/>
          <w:b/>
          <w:color w:val="auto"/>
          <w:szCs w:val="21"/>
        </w:rPr>
        <w:t>谈判须知前附表)</w:t>
      </w:r>
      <w:r>
        <w:rPr>
          <w:rFonts w:hint="eastAsia" w:ascii="宋体" w:hAnsi="宋体"/>
          <w:color w:val="auto"/>
          <w:szCs w:val="21"/>
        </w:rPr>
        <w:t>中所叙述的采购项目。</w:t>
      </w:r>
    </w:p>
    <w:p>
      <w:pPr>
        <w:adjustRightInd w:val="0"/>
        <w:snapToGrid w:val="0"/>
        <w:spacing w:line="360" w:lineRule="auto"/>
        <w:ind w:right="23" w:rightChars="11"/>
        <w:rPr>
          <w:rFonts w:hint="eastAsia" w:ascii="宋体" w:hAnsi="宋体"/>
          <w:b/>
          <w:bCs/>
          <w:color w:val="auto"/>
          <w:szCs w:val="21"/>
        </w:rPr>
      </w:pPr>
      <w:r>
        <w:rPr>
          <w:rFonts w:hint="eastAsia" w:ascii="宋体" w:hAnsi="宋体"/>
          <w:b/>
          <w:bCs/>
          <w:color w:val="auto"/>
          <w:szCs w:val="21"/>
        </w:rPr>
        <w:t>2.定义</w:t>
      </w:r>
    </w:p>
    <w:p>
      <w:pPr>
        <w:adjustRightInd w:val="0"/>
        <w:snapToGrid w:val="0"/>
        <w:spacing w:line="360" w:lineRule="auto"/>
        <w:ind w:right="23" w:rightChars="11" w:firstLine="420" w:firstLineChars="200"/>
        <w:rPr>
          <w:rFonts w:hint="eastAsia" w:ascii="宋体" w:hAnsi="宋体"/>
          <w:b/>
          <w:color w:val="auto"/>
          <w:szCs w:val="21"/>
        </w:rPr>
      </w:pPr>
      <w:r>
        <w:rPr>
          <w:rFonts w:hint="eastAsia" w:ascii="宋体" w:hAnsi="宋体"/>
          <w:color w:val="auto"/>
          <w:szCs w:val="21"/>
        </w:rPr>
        <w:t>2.1 “采购人”是指依法进行政府采购的国家机关、事业单位、团体组织。本次政府采购的采购人名称、地址、电话、联系人见</w:t>
      </w:r>
      <w:r>
        <w:rPr>
          <w:rFonts w:hint="eastAsia" w:ascii="宋体" w:hAnsi="宋体"/>
          <w:b/>
          <w:color w:val="auto"/>
          <w:szCs w:val="21"/>
        </w:rPr>
        <w:t>谈判须知前附表</w:t>
      </w:r>
      <w:r>
        <w:rPr>
          <w:rFonts w:hint="eastAsia" w:ascii="宋体" w:hAnsi="宋体"/>
          <w:color w:val="auto"/>
          <w:szCs w:val="21"/>
        </w:rPr>
        <w:t>。</w:t>
      </w:r>
    </w:p>
    <w:p>
      <w:pPr>
        <w:adjustRightInd w:val="0"/>
        <w:snapToGrid w:val="0"/>
        <w:spacing w:line="360" w:lineRule="auto"/>
        <w:ind w:right="23" w:rightChars="11" w:firstLine="420" w:firstLineChars="200"/>
        <w:rPr>
          <w:rFonts w:hint="eastAsia" w:ascii="宋体" w:hAnsi="宋体"/>
          <w:b/>
          <w:color w:val="auto"/>
          <w:szCs w:val="21"/>
        </w:rPr>
      </w:pPr>
      <w:r>
        <w:rPr>
          <w:rFonts w:hint="eastAsia" w:ascii="宋体" w:hAnsi="宋体"/>
          <w:color w:val="auto"/>
          <w:szCs w:val="21"/>
        </w:rPr>
        <w:t>2.2 “采购代理机构”是指接受采购人委托，代理采购项目的集中采购机构和其他采购代理机构。本次政府采购的采购代理机构名称、地址、电话、联系人见</w:t>
      </w:r>
      <w:r>
        <w:rPr>
          <w:rFonts w:hint="eastAsia" w:ascii="宋体" w:hAnsi="宋体"/>
          <w:b/>
          <w:color w:val="auto"/>
          <w:szCs w:val="21"/>
        </w:rPr>
        <w:t>谈判须知前附表。</w:t>
      </w:r>
    </w:p>
    <w:p>
      <w:pPr>
        <w:adjustRightInd w:val="0"/>
        <w:snapToGrid w:val="0"/>
        <w:spacing w:line="360" w:lineRule="auto"/>
        <w:ind w:right="23" w:rightChars="11" w:firstLine="420" w:firstLineChars="200"/>
        <w:rPr>
          <w:rFonts w:hint="eastAsia" w:ascii="宋体" w:hAnsi="宋体" w:cs="宋体"/>
          <w:bCs/>
          <w:color w:val="auto"/>
          <w:kern w:val="36"/>
          <w:szCs w:val="21"/>
        </w:rPr>
      </w:pPr>
      <w:r>
        <w:rPr>
          <w:rFonts w:hint="eastAsia" w:ascii="宋体" w:hAnsi="宋体"/>
          <w:color w:val="auto"/>
          <w:szCs w:val="21"/>
        </w:rPr>
        <w:t>2.3 “供应商”是指响应谈判文件要求、参加竞争性谈判采购的法人、其他组织或者自然人。本次政府采购项目</w:t>
      </w:r>
      <w:r>
        <w:rPr>
          <w:rFonts w:hint="eastAsia" w:ascii="宋体" w:hAnsi="宋体" w:cs="宋体"/>
          <w:color w:val="auto"/>
          <w:kern w:val="0"/>
          <w:szCs w:val="21"/>
        </w:rPr>
        <w:t>邀请</w:t>
      </w:r>
      <w:r>
        <w:rPr>
          <w:rFonts w:hint="eastAsia" w:ascii="宋体" w:hAnsi="宋体"/>
          <w:color w:val="auto"/>
          <w:szCs w:val="21"/>
        </w:rPr>
        <w:t>的</w:t>
      </w:r>
      <w:r>
        <w:rPr>
          <w:rFonts w:hint="eastAsia" w:ascii="宋体" w:hAnsi="宋体" w:cs="宋体"/>
          <w:color w:val="auto"/>
          <w:kern w:val="0"/>
          <w:szCs w:val="21"/>
        </w:rPr>
        <w:t>供应商通过</w:t>
      </w:r>
      <w:r>
        <w:rPr>
          <w:rFonts w:hint="eastAsia" w:ascii="宋体" w:hAnsi="宋体"/>
          <w:b/>
          <w:color w:val="auto"/>
          <w:szCs w:val="21"/>
        </w:rPr>
        <w:t>谈判须知前附表</w:t>
      </w:r>
      <w:r>
        <w:rPr>
          <w:rFonts w:hint="eastAsia" w:ascii="宋体" w:hAnsi="宋体"/>
          <w:color w:val="auto"/>
          <w:szCs w:val="21"/>
        </w:rPr>
        <w:t>所述方式</w:t>
      </w:r>
      <w:r>
        <w:rPr>
          <w:rFonts w:hint="eastAsia" w:ascii="宋体" w:hAnsi="宋体" w:cs="宋体"/>
          <w:color w:val="auto"/>
          <w:kern w:val="0"/>
          <w:szCs w:val="21"/>
        </w:rPr>
        <w:t>，经</w:t>
      </w:r>
      <w:r>
        <w:rPr>
          <w:rFonts w:hint="eastAsia" w:ascii="宋体" w:hAnsi="宋体" w:cs="宋体"/>
          <w:bCs/>
          <w:color w:val="auto"/>
          <w:kern w:val="36"/>
          <w:szCs w:val="21"/>
        </w:rPr>
        <w:t>谈判小组确定。</w:t>
      </w:r>
      <w:r>
        <w:rPr>
          <w:rFonts w:hint="eastAsia" w:ascii="宋体" w:hAnsi="宋体"/>
          <w:color w:val="auto"/>
          <w:szCs w:val="21"/>
        </w:rPr>
        <w:t>据此，采购人或采购代理机构</w:t>
      </w:r>
      <w:r>
        <w:rPr>
          <w:rFonts w:hint="eastAsia" w:ascii="宋体" w:hAnsi="宋体" w:cs="宋体"/>
          <w:bCs/>
          <w:color w:val="auto"/>
          <w:kern w:val="36"/>
          <w:szCs w:val="21"/>
        </w:rPr>
        <w:t>己向其</w:t>
      </w:r>
      <w:r>
        <w:rPr>
          <w:rFonts w:hint="eastAsia" w:ascii="宋体" w:hAnsi="宋体"/>
          <w:color w:val="auto"/>
          <w:szCs w:val="21"/>
        </w:rPr>
        <w:t>发出谈判通知，</w:t>
      </w:r>
      <w:r>
        <w:rPr>
          <w:rFonts w:hint="eastAsia" w:hAnsi="宋体"/>
          <w:color w:val="auto"/>
        </w:rPr>
        <w:t>供应商应持</w:t>
      </w:r>
      <w:r>
        <w:rPr>
          <w:rFonts w:hint="eastAsia" w:hAnsi="宋体"/>
          <w:b/>
          <w:color w:val="auto"/>
        </w:rPr>
        <w:t>谈判须知前附表</w:t>
      </w:r>
      <w:r>
        <w:rPr>
          <w:rFonts w:hint="eastAsia" w:hAnsi="宋体"/>
          <w:color w:val="auto"/>
        </w:rPr>
        <w:t>规定的资料领取或购买谈判文件。</w:t>
      </w:r>
    </w:p>
    <w:p>
      <w:pPr>
        <w:adjustRightInd w:val="0"/>
        <w:snapToGrid w:val="0"/>
        <w:spacing w:line="360" w:lineRule="auto"/>
        <w:ind w:right="23" w:rightChars="11" w:firstLine="420" w:firstLineChars="200"/>
        <w:rPr>
          <w:rFonts w:hint="eastAsia" w:ascii="宋体" w:hAnsi="宋体" w:cs="宋体"/>
          <w:color w:val="auto"/>
          <w:kern w:val="0"/>
          <w:szCs w:val="21"/>
        </w:rPr>
      </w:pPr>
      <w:r>
        <w:rPr>
          <w:rFonts w:hint="eastAsia" w:ascii="宋体" w:hAnsi="宋体"/>
          <w:color w:val="auto"/>
          <w:szCs w:val="21"/>
        </w:rPr>
        <w:t>2.4 “谈判小组”是指</w:t>
      </w:r>
      <w:r>
        <w:rPr>
          <w:rFonts w:hint="eastAsia" w:ascii="宋体" w:hAnsi="宋体" w:cs="宋体"/>
          <w:color w:val="auto"/>
          <w:kern w:val="0"/>
          <w:szCs w:val="21"/>
        </w:rPr>
        <w:t>依据《中华人民共和国政府采购法》和财政部</w:t>
      </w:r>
      <w:r>
        <w:rPr>
          <w:rFonts w:ascii="宋体" w:hAnsi="宋体" w:cs="宋体"/>
          <w:bCs/>
          <w:color w:val="auto"/>
          <w:kern w:val="36"/>
          <w:szCs w:val="21"/>
        </w:rPr>
        <w:t>《政府采购非招标采购方式管理办法》</w:t>
      </w:r>
      <w:r>
        <w:rPr>
          <w:rFonts w:hint="eastAsia" w:ascii="宋体" w:hAnsi="宋体" w:cs="宋体"/>
          <w:bCs/>
          <w:color w:val="auto"/>
          <w:kern w:val="36"/>
          <w:szCs w:val="21"/>
        </w:rPr>
        <w:t>有关规定组建，依法依规</w:t>
      </w:r>
      <w:r>
        <w:rPr>
          <w:rFonts w:hint="eastAsia" w:ascii="宋体" w:hAnsi="宋体" w:cs="宋体"/>
          <w:color w:val="auto"/>
          <w:kern w:val="0"/>
          <w:szCs w:val="21"/>
        </w:rPr>
        <w:t>履行其职责和义务的机构。</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2.5 “货物”是指各种形态和种类的物品，包括原材料、燃料、设备、产品等，详见《政府采购品目分类目录》(</w:t>
      </w:r>
      <w:r>
        <w:rPr>
          <w:rStyle w:val="44"/>
          <w:rFonts w:ascii="宋体" w:hAnsi="宋体"/>
          <w:b w:val="0"/>
          <w:color w:val="auto"/>
        </w:rPr>
        <w:t>财库</w:t>
      </w:r>
      <w:r>
        <w:rPr>
          <w:rStyle w:val="44"/>
          <w:rFonts w:hint="eastAsia" w:ascii="宋体" w:hAnsi="宋体"/>
          <w:b w:val="0"/>
          <w:color w:val="auto"/>
        </w:rPr>
        <w:t>[</w:t>
      </w:r>
      <w:r>
        <w:rPr>
          <w:rStyle w:val="44"/>
          <w:rFonts w:ascii="宋体" w:hAnsi="宋体"/>
          <w:b w:val="0"/>
          <w:color w:val="auto"/>
        </w:rPr>
        <w:t>2013</w:t>
      </w:r>
      <w:r>
        <w:rPr>
          <w:rStyle w:val="44"/>
          <w:rFonts w:hint="eastAsia" w:ascii="宋体" w:hAnsi="宋体"/>
          <w:b w:val="0"/>
          <w:color w:val="auto"/>
        </w:rPr>
        <w:t>]</w:t>
      </w:r>
      <w:r>
        <w:rPr>
          <w:rStyle w:val="44"/>
          <w:rFonts w:ascii="宋体" w:hAnsi="宋体"/>
          <w:b w:val="0"/>
          <w:color w:val="auto"/>
        </w:rPr>
        <w:t>189号</w:t>
      </w:r>
      <w:r>
        <w:rPr>
          <w:rFonts w:hint="eastAsia" w:ascii="宋体" w:hAnsi="宋体"/>
          <w:color w:val="auto"/>
          <w:szCs w:val="21"/>
        </w:rPr>
        <w:t>)。</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2.6 “工程”是指建设工程，包括建筑物和构筑物的新建、改建、扩建、装修、拆除、修缮等，详见《政府采购品目分类目录》(</w:t>
      </w:r>
      <w:r>
        <w:rPr>
          <w:rStyle w:val="44"/>
          <w:rFonts w:ascii="宋体" w:hAnsi="宋体"/>
          <w:b w:val="0"/>
          <w:color w:val="auto"/>
        </w:rPr>
        <w:t>财库</w:t>
      </w:r>
      <w:r>
        <w:rPr>
          <w:rStyle w:val="44"/>
          <w:rFonts w:hint="eastAsia" w:ascii="宋体" w:hAnsi="宋体"/>
          <w:b w:val="0"/>
          <w:color w:val="auto"/>
        </w:rPr>
        <w:t>[</w:t>
      </w:r>
      <w:r>
        <w:rPr>
          <w:rStyle w:val="44"/>
          <w:rFonts w:ascii="宋体" w:hAnsi="宋体"/>
          <w:b w:val="0"/>
          <w:color w:val="auto"/>
        </w:rPr>
        <w:t>2013</w:t>
      </w:r>
      <w:r>
        <w:rPr>
          <w:rStyle w:val="44"/>
          <w:rFonts w:hint="eastAsia" w:ascii="宋体" w:hAnsi="宋体"/>
          <w:b w:val="0"/>
          <w:color w:val="auto"/>
        </w:rPr>
        <w:t>]</w:t>
      </w:r>
      <w:r>
        <w:rPr>
          <w:rStyle w:val="44"/>
          <w:rFonts w:ascii="宋体" w:hAnsi="宋体"/>
          <w:b w:val="0"/>
          <w:color w:val="auto"/>
        </w:rPr>
        <w:t>189号</w:t>
      </w:r>
      <w:r>
        <w:rPr>
          <w:rFonts w:hint="eastAsia" w:ascii="宋体" w:hAnsi="宋体"/>
          <w:color w:val="auto"/>
          <w:szCs w:val="21"/>
        </w:rPr>
        <w:t>)。</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2.7 “服务”是指除货物和工程以外的其他政府采购对象，详见《政府采购品目分类目录》(</w:t>
      </w:r>
      <w:r>
        <w:rPr>
          <w:rStyle w:val="44"/>
          <w:rFonts w:ascii="宋体" w:hAnsi="宋体"/>
          <w:b w:val="0"/>
          <w:color w:val="auto"/>
        </w:rPr>
        <w:t>财库</w:t>
      </w:r>
      <w:r>
        <w:rPr>
          <w:rStyle w:val="44"/>
          <w:rFonts w:hint="eastAsia" w:ascii="宋体" w:hAnsi="宋体"/>
          <w:b w:val="0"/>
          <w:color w:val="auto"/>
        </w:rPr>
        <w:t>[</w:t>
      </w:r>
      <w:r>
        <w:rPr>
          <w:rStyle w:val="44"/>
          <w:rFonts w:ascii="宋体" w:hAnsi="宋体"/>
          <w:b w:val="0"/>
          <w:color w:val="auto"/>
        </w:rPr>
        <w:t>2013</w:t>
      </w:r>
      <w:r>
        <w:rPr>
          <w:rStyle w:val="44"/>
          <w:rFonts w:hint="eastAsia" w:ascii="宋体" w:hAnsi="宋体"/>
          <w:b w:val="0"/>
          <w:color w:val="auto"/>
        </w:rPr>
        <w:t>]</w:t>
      </w:r>
      <w:r>
        <w:rPr>
          <w:rStyle w:val="44"/>
          <w:rFonts w:ascii="宋体" w:hAnsi="宋体"/>
          <w:b w:val="0"/>
          <w:color w:val="auto"/>
        </w:rPr>
        <w:t>189号</w:t>
      </w:r>
      <w:r>
        <w:rPr>
          <w:rFonts w:hint="eastAsia" w:ascii="宋体" w:hAnsi="宋体"/>
          <w:color w:val="auto"/>
          <w:szCs w:val="21"/>
        </w:rPr>
        <w:t>)。</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2.8 “节能产品”或者“环保产品”是指财政部发布的《节能产品政府采购清单》或者《环境标志产品政府采购清单》的产品，“两型产品”是指湖南省财政厅发布的</w:t>
      </w:r>
      <w:r>
        <w:rPr>
          <w:rFonts w:ascii="宋体" w:hAnsi="宋体"/>
          <w:color w:val="auto"/>
          <w:szCs w:val="21"/>
        </w:rPr>
        <w:t>《湖南省两型产品政府采购目录》</w:t>
      </w:r>
      <w:r>
        <w:rPr>
          <w:rFonts w:hint="eastAsia" w:ascii="宋体" w:hAnsi="宋体"/>
          <w:color w:val="auto"/>
          <w:szCs w:val="21"/>
        </w:rPr>
        <w:t>或《长沙市两型产品目录》的产品。</w:t>
      </w:r>
    </w:p>
    <w:p>
      <w:pPr>
        <w:adjustRightInd w:val="0"/>
        <w:snapToGrid w:val="0"/>
        <w:spacing w:line="360" w:lineRule="auto"/>
        <w:ind w:right="23" w:rightChars="11" w:firstLine="420" w:firstLineChars="200"/>
        <w:rPr>
          <w:rFonts w:hint="eastAsia" w:ascii="宋体" w:hAnsi="宋体" w:cs="宋体"/>
          <w:color w:val="auto"/>
          <w:kern w:val="0"/>
          <w:szCs w:val="21"/>
        </w:rPr>
      </w:pPr>
      <w:r>
        <w:rPr>
          <w:rFonts w:hint="eastAsia" w:ascii="宋体" w:hAnsi="宋体" w:cs="宋体"/>
          <w:color w:val="auto"/>
          <w:kern w:val="0"/>
          <w:szCs w:val="21"/>
        </w:rPr>
        <w:t>2.9 “进口产品”是指通过中国海关报关验放进入中国境内且产自关境外的产品，详见《</w:t>
      </w:r>
      <w:r>
        <w:rPr>
          <w:rFonts w:ascii="宋体" w:hAnsi="宋体" w:cs="宋体"/>
          <w:color w:val="auto"/>
          <w:kern w:val="0"/>
          <w:szCs w:val="21"/>
        </w:rPr>
        <w:t>关于政府采购进口产品管理有关问题的通知</w:t>
      </w:r>
      <w:r>
        <w:rPr>
          <w:rFonts w:hint="eastAsia" w:ascii="宋体" w:hAnsi="宋体" w:cs="宋体"/>
          <w:color w:val="auto"/>
          <w:kern w:val="0"/>
          <w:szCs w:val="21"/>
        </w:rPr>
        <w:t>》(财库[2007]119号)。</w:t>
      </w:r>
    </w:p>
    <w:p>
      <w:pPr>
        <w:adjustRightInd w:val="0"/>
        <w:snapToGrid w:val="0"/>
        <w:spacing w:line="360" w:lineRule="auto"/>
        <w:ind w:right="23" w:rightChars="11"/>
        <w:rPr>
          <w:rFonts w:hint="eastAsia" w:ascii="宋体" w:hAnsi="宋体"/>
          <w:b/>
          <w:bCs/>
          <w:color w:val="auto"/>
          <w:szCs w:val="21"/>
        </w:rPr>
      </w:pPr>
      <w:r>
        <w:rPr>
          <w:rFonts w:hint="eastAsia" w:ascii="宋体" w:hAnsi="宋体"/>
          <w:b/>
          <w:bCs/>
          <w:color w:val="auto"/>
          <w:szCs w:val="21"/>
        </w:rPr>
        <w:t>3.供应商的资格要求</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3.1 供应商应当符合</w:t>
      </w:r>
      <w:r>
        <w:rPr>
          <w:rFonts w:hint="eastAsia" w:ascii="宋体" w:hAnsi="宋体"/>
          <w:b/>
          <w:color w:val="auto"/>
          <w:szCs w:val="21"/>
        </w:rPr>
        <w:t>谈判须知前附表</w:t>
      </w:r>
      <w:r>
        <w:rPr>
          <w:rFonts w:hint="eastAsia" w:ascii="宋体" w:hAnsi="宋体"/>
          <w:color w:val="auto"/>
          <w:szCs w:val="21"/>
        </w:rPr>
        <w:t>中规定的下列资格条件要求；</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（l）</w:t>
      </w:r>
      <w:r>
        <w:rPr>
          <w:rFonts w:hint="eastAsia" w:ascii="宋体" w:hAnsi="宋体" w:cs="宋体"/>
          <w:color w:val="auto"/>
          <w:kern w:val="0"/>
          <w:szCs w:val="21"/>
          <w:lang w:val="zh-CN"/>
        </w:rPr>
        <w:t>《政府采购法》第二十二条第一款规定的</w:t>
      </w:r>
      <w:r>
        <w:rPr>
          <w:rFonts w:hint="eastAsia" w:ascii="宋体" w:hAnsi="宋体"/>
          <w:color w:val="auto"/>
          <w:szCs w:val="21"/>
        </w:rPr>
        <w:t>供应商基本资格条件</w:t>
      </w:r>
      <w:r>
        <w:rPr>
          <w:rFonts w:hint="eastAsia" w:ascii="宋体" w:hAnsi="宋体" w:cs="宋体"/>
          <w:color w:val="auto"/>
          <w:kern w:val="0"/>
          <w:szCs w:val="21"/>
          <w:lang w:val="zh-CN"/>
        </w:rPr>
        <w:t>；</w:t>
      </w:r>
    </w:p>
    <w:p>
      <w:pPr>
        <w:adjustRightInd w:val="0"/>
        <w:snapToGrid w:val="0"/>
        <w:spacing w:line="360" w:lineRule="auto"/>
        <w:ind w:right="23" w:rightChars="11" w:firstLine="420" w:firstLineChars="200"/>
        <w:rPr>
          <w:rFonts w:ascii="宋体" w:hAnsi="宋体"/>
          <w:color w:val="auto"/>
          <w:szCs w:val="21"/>
        </w:rPr>
      </w:pPr>
      <w:r>
        <w:rPr>
          <w:rFonts w:hint="eastAsia" w:ascii="宋体" w:hAnsi="宋体"/>
          <w:color w:val="auto"/>
          <w:szCs w:val="21"/>
        </w:rPr>
        <w:t>（2） 谈判文件</w:t>
      </w:r>
      <w:r>
        <w:rPr>
          <w:rFonts w:hint="eastAsia" w:ascii="宋体" w:hAnsi="宋体" w:cs="宋体"/>
          <w:color w:val="auto"/>
          <w:kern w:val="0"/>
          <w:szCs w:val="21"/>
          <w:lang w:val="zh-CN"/>
        </w:rPr>
        <w:t>规定的</w:t>
      </w:r>
      <w:r>
        <w:rPr>
          <w:rFonts w:hint="eastAsia" w:ascii="宋体" w:hAnsi="宋体"/>
          <w:color w:val="auto"/>
          <w:szCs w:val="21"/>
        </w:rPr>
        <w:t xml:space="preserve">供应商特定资格条件。 </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3.2 供应商不得存在下列情形之一：</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（l）与采购人、采购代理机构存在</w:t>
      </w:r>
      <w:r>
        <w:rPr>
          <w:rFonts w:hint="eastAsia" w:ascii="宋体" w:hAnsi="宋体"/>
          <w:bCs/>
          <w:color w:val="auto"/>
          <w:szCs w:val="21"/>
        </w:rPr>
        <w:t>隶属关系或者其他利害关系</w:t>
      </w:r>
      <w:r>
        <w:rPr>
          <w:rFonts w:hint="eastAsia" w:ascii="宋体" w:hAnsi="宋体"/>
          <w:color w:val="auto"/>
          <w:szCs w:val="21"/>
        </w:rPr>
        <w:t>。</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（2）与其他供应商的法定代表人（或者负责人）为同一人，或者与其他供应商存在直接控股、管理关系。</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（3）</w:t>
      </w:r>
      <w:r>
        <w:rPr>
          <w:rFonts w:hint="eastAsia" w:ascii="宋体" w:hAnsi="宋体"/>
          <w:bCs/>
          <w:color w:val="auto"/>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auto"/>
          <w:szCs w:val="21"/>
        </w:rPr>
        <w:t>财政部门认定的其他重大违法记录。</w:t>
      </w:r>
    </w:p>
    <w:p>
      <w:pPr>
        <w:adjustRightInd w:val="0"/>
        <w:snapToGrid w:val="0"/>
        <w:spacing w:line="360" w:lineRule="auto"/>
        <w:ind w:right="23" w:rightChars="11"/>
        <w:rPr>
          <w:rFonts w:hint="eastAsia" w:ascii="宋体" w:hAnsi="宋体"/>
          <w:b/>
          <w:bCs/>
          <w:color w:val="auto"/>
          <w:szCs w:val="21"/>
        </w:rPr>
      </w:pPr>
      <w:r>
        <w:rPr>
          <w:rFonts w:hint="eastAsia" w:ascii="宋体" w:hAnsi="宋体"/>
          <w:b/>
          <w:bCs/>
          <w:color w:val="auto"/>
          <w:szCs w:val="21"/>
        </w:rPr>
        <w:t xml:space="preserve">4.参与谈判的费用 </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4.1 无论谈判的结果如何，供应商应自行承担所有与竞争性谈判采购活动有关的全部费用。</w:t>
      </w:r>
    </w:p>
    <w:p>
      <w:pPr>
        <w:pStyle w:val="22"/>
        <w:adjustRightInd w:val="0"/>
        <w:snapToGrid w:val="0"/>
        <w:spacing w:line="360" w:lineRule="auto"/>
        <w:ind w:right="23" w:rightChars="11"/>
        <w:rPr>
          <w:rFonts w:hint="eastAsia" w:hAnsi="宋体"/>
          <w:b/>
          <w:bCs/>
          <w:color w:val="auto"/>
        </w:rPr>
      </w:pPr>
      <w:r>
        <w:rPr>
          <w:rFonts w:hint="eastAsia" w:hAnsi="宋体"/>
          <w:b/>
          <w:color w:val="auto"/>
        </w:rPr>
        <w:t>5．</w:t>
      </w:r>
      <w:r>
        <w:rPr>
          <w:rFonts w:hint="eastAsia" w:hAnsi="宋体"/>
          <w:b/>
          <w:bCs/>
          <w:color w:val="auto"/>
        </w:rPr>
        <w:t>授权委托</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5.1供应商代表为供应商法定代表人的，应具备法定代表人身份证明。供应商代表不是供应商法定代表人的，应具备法定代表人授权书，并附法定代表人身份证明。</w:t>
      </w:r>
    </w:p>
    <w:p>
      <w:pPr>
        <w:pStyle w:val="22"/>
        <w:adjustRightInd w:val="0"/>
        <w:snapToGrid w:val="0"/>
        <w:spacing w:line="360" w:lineRule="auto"/>
        <w:ind w:right="23" w:rightChars="11"/>
        <w:rPr>
          <w:rFonts w:hint="eastAsia" w:hAnsi="宋体"/>
          <w:b/>
          <w:color w:val="auto"/>
        </w:rPr>
      </w:pPr>
      <w:r>
        <w:rPr>
          <w:rFonts w:hint="eastAsia" w:hAnsi="宋体"/>
          <w:b/>
          <w:color w:val="auto"/>
        </w:rPr>
        <w:t>6．联合体形式</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6.1除</w:t>
      </w:r>
      <w:r>
        <w:rPr>
          <w:rFonts w:hint="eastAsia" w:hAnsi="宋体"/>
          <w:b/>
          <w:color w:val="auto"/>
        </w:rPr>
        <w:t>谈判须知前附表</w:t>
      </w:r>
      <w:r>
        <w:rPr>
          <w:rFonts w:hint="eastAsia" w:hAnsi="宋体"/>
          <w:color w:val="auto"/>
        </w:rPr>
        <w:t>中另有规定，本次谈判采购不接受为联合体形式的供应商。</w:t>
      </w:r>
    </w:p>
    <w:p>
      <w:pPr>
        <w:adjustRightInd w:val="0"/>
        <w:snapToGrid w:val="0"/>
        <w:spacing w:line="360" w:lineRule="auto"/>
        <w:ind w:right="23" w:rightChars="11" w:firstLine="420" w:firstLineChars="200"/>
        <w:jc w:val="left"/>
        <w:rPr>
          <w:rFonts w:hint="eastAsia" w:ascii="宋体" w:hAnsi="宋体"/>
          <w:color w:val="auto"/>
          <w:szCs w:val="21"/>
        </w:rPr>
      </w:pPr>
      <w:r>
        <w:rPr>
          <w:rFonts w:hint="eastAsia" w:ascii="宋体" w:hAnsi="宋体"/>
          <w:color w:val="auto"/>
          <w:szCs w:val="21"/>
        </w:rPr>
        <w:t>6.2供应商</w:t>
      </w:r>
      <w:r>
        <w:rPr>
          <w:rFonts w:hint="eastAsia" w:hAnsi="宋体"/>
          <w:color w:val="auto"/>
        </w:rPr>
        <w:t>为联合体形式的</w:t>
      </w:r>
      <w:r>
        <w:rPr>
          <w:rFonts w:hint="eastAsia" w:ascii="宋体" w:hAnsi="宋体"/>
          <w:color w:val="auto"/>
          <w:szCs w:val="21"/>
        </w:rPr>
        <w:t>，除应符合本章第3条规定外，还应遵守以下规定：</w:t>
      </w:r>
    </w:p>
    <w:p>
      <w:pPr>
        <w:adjustRightInd w:val="0"/>
        <w:snapToGrid w:val="0"/>
        <w:spacing w:line="360" w:lineRule="auto"/>
        <w:ind w:right="23" w:rightChars="11" w:firstLine="420" w:firstLineChars="200"/>
        <w:jc w:val="left"/>
        <w:rPr>
          <w:rFonts w:hint="eastAsia" w:ascii="宋体" w:hAnsi="宋体"/>
          <w:color w:val="auto"/>
          <w:szCs w:val="21"/>
        </w:rPr>
      </w:pPr>
      <w:r>
        <w:rPr>
          <w:rFonts w:hint="eastAsia" w:ascii="宋体" w:hAnsi="宋体"/>
          <w:color w:val="auto"/>
          <w:szCs w:val="21"/>
        </w:rPr>
        <w:t>（l）联合体各方必须签订联合体协议书，明确联合体牵头人和各方的义务、工作、合同工作量比例；</w:t>
      </w:r>
    </w:p>
    <w:p>
      <w:pPr>
        <w:adjustRightInd w:val="0"/>
        <w:snapToGrid w:val="0"/>
        <w:spacing w:line="360" w:lineRule="auto"/>
        <w:ind w:right="23" w:rightChars="11" w:firstLine="420" w:firstLineChars="200"/>
        <w:jc w:val="left"/>
        <w:rPr>
          <w:rFonts w:hint="eastAsia" w:ascii="宋体" w:hAnsi="宋体"/>
          <w:color w:val="auto"/>
          <w:szCs w:val="21"/>
        </w:rPr>
      </w:pPr>
      <w:r>
        <w:rPr>
          <w:rFonts w:hint="eastAsia" w:ascii="宋体" w:hAnsi="宋体"/>
          <w:color w:val="auto"/>
          <w:szCs w:val="21"/>
        </w:rPr>
        <w:t>（2）联合体各方均应当符合本章第3.1</w:t>
      </w:r>
      <w:r>
        <w:rPr>
          <w:rFonts w:hint="eastAsia" w:ascii="宋体" w:hAnsi="宋体" w:cs="宋体"/>
          <w:color w:val="auto"/>
          <w:kern w:val="0"/>
          <w:szCs w:val="21"/>
          <w:lang w:val="zh-CN"/>
        </w:rPr>
        <w:t>款</w:t>
      </w:r>
      <w:r>
        <w:rPr>
          <w:rFonts w:hint="eastAsia" w:ascii="宋体" w:hAnsi="宋体"/>
          <w:color w:val="auto"/>
          <w:szCs w:val="21"/>
        </w:rPr>
        <w:t>规定的供应商基本资格条件；</w:t>
      </w:r>
    </w:p>
    <w:p>
      <w:pPr>
        <w:adjustRightInd w:val="0"/>
        <w:snapToGrid w:val="0"/>
        <w:spacing w:line="360" w:lineRule="auto"/>
        <w:ind w:right="23" w:rightChars="11" w:firstLine="420" w:firstLineChars="200"/>
        <w:jc w:val="left"/>
        <w:rPr>
          <w:rFonts w:hint="eastAsia" w:ascii="宋体" w:hAnsi="宋体"/>
          <w:color w:val="auto"/>
          <w:szCs w:val="21"/>
        </w:rPr>
      </w:pPr>
      <w:r>
        <w:rPr>
          <w:rFonts w:hint="eastAsia" w:ascii="宋体" w:hAnsi="宋体"/>
          <w:color w:val="auto"/>
          <w:szCs w:val="21"/>
        </w:rPr>
        <w:t>（3）</w:t>
      </w:r>
      <w:r>
        <w:rPr>
          <w:rFonts w:hint="eastAsia" w:ascii="宋体" w:hAnsi="宋体"/>
          <w:color w:val="auto"/>
        </w:rPr>
        <w:t>除</w:t>
      </w:r>
      <w:r>
        <w:rPr>
          <w:rFonts w:hint="eastAsia" w:ascii="宋体" w:hAnsi="宋体"/>
          <w:b/>
          <w:color w:val="auto"/>
        </w:rPr>
        <w:t>谈判须知前附表</w:t>
      </w:r>
      <w:r>
        <w:rPr>
          <w:rFonts w:hint="eastAsia" w:ascii="宋体" w:hAnsi="宋体"/>
          <w:color w:val="auto"/>
        </w:rPr>
        <w:t>中另有规定，</w:t>
      </w:r>
      <w:r>
        <w:rPr>
          <w:rFonts w:hint="eastAsia" w:ascii="宋体" w:hAnsi="宋体"/>
          <w:color w:val="auto"/>
          <w:szCs w:val="21"/>
        </w:rPr>
        <w:t>联合体各方中至少有一方应当符合本章第3.1</w:t>
      </w:r>
      <w:r>
        <w:rPr>
          <w:rFonts w:hint="eastAsia" w:ascii="宋体" w:hAnsi="宋体" w:cs="宋体"/>
          <w:color w:val="auto"/>
          <w:kern w:val="0"/>
          <w:szCs w:val="21"/>
          <w:lang w:val="zh-CN"/>
        </w:rPr>
        <w:t>款</w:t>
      </w:r>
      <w:r>
        <w:rPr>
          <w:rFonts w:hint="eastAsia" w:ascii="宋体" w:hAnsi="宋体"/>
          <w:color w:val="auto"/>
          <w:szCs w:val="21"/>
        </w:rPr>
        <w:t>规定的供应商特定资格条件；</w:t>
      </w:r>
    </w:p>
    <w:p>
      <w:pPr>
        <w:adjustRightInd w:val="0"/>
        <w:snapToGrid w:val="0"/>
        <w:spacing w:line="360" w:lineRule="auto"/>
        <w:ind w:right="23" w:rightChars="11" w:firstLine="420" w:firstLineChars="200"/>
        <w:jc w:val="left"/>
        <w:rPr>
          <w:rFonts w:hint="eastAsia" w:ascii="宋体" w:hAnsi="宋体" w:cs="宋体"/>
          <w:color w:val="auto"/>
          <w:kern w:val="0"/>
          <w:szCs w:val="21"/>
          <w:lang w:val="zh-CN"/>
        </w:rPr>
      </w:pPr>
      <w:r>
        <w:rPr>
          <w:rFonts w:hint="eastAsia" w:ascii="宋体" w:hAnsi="宋体"/>
          <w:color w:val="auto"/>
          <w:szCs w:val="21"/>
        </w:rPr>
        <w:t>（4）</w:t>
      </w:r>
      <w:r>
        <w:rPr>
          <w:rFonts w:hint="eastAsia" w:ascii="宋体" w:hAnsi="宋体" w:cs="宋体"/>
          <w:color w:val="auto"/>
          <w:kern w:val="0"/>
          <w:szCs w:val="21"/>
          <w:lang w:val="zh-CN"/>
        </w:rPr>
        <w:t>联合体各方不得再单独或与其他供应商组成新的联合体参加同一项目的采购活动。</w:t>
      </w:r>
    </w:p>
    <w:p>
      <w:pPr>
        <w:adjustRightInd w:val="0"/>
        <w:snapToGrid w:val="0"/>
        <w:spacing w:line="360" w:lineRule="auto"/>
        <w:ind w:right="23" w:rightChars="11"/>
        <w:rPr>
          <w:rFonts w:hint="eastAsia" w:ascii="宋体" w:hAnsi="宋体"/>
          <w:b/>
          <w:color w:val="auto"/>
          <w:szCs w:val="21"/>
        </w:rPr>
      </w:pPr>
      <w:r>
        <w:rPr>
          <w:rFonts w:hint="eastAsia" w:ascii="宋体" w:hAnsi="宋体"/>
          <w:b/>
          <w:color w:val="auto"/>
          <w:szCs w:val="21"/>
        </w:rPr>
        <w:t>7.现场勘察</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7.1供应商应按</w:t>
      </w:r>
      <w:r>
        <w:rPr>
          <w:rFonts w:hint="eastAsia" w:hAnsi="宋体"/>
          <w:b/>
          <w:color w:val="auto"/>
        </w:rPr>
        <w:t>谈判须知前附表</w:t>
      </w:r>
      <w:r>
        <w:rPr>
          <w:rFonts w:hint="eastAsia" w:hAnsi="宋体"/>
          <w:color w:val="auto"/>
        </w:rPr>
        <w:t>中规定</w:t>
      </w:r>
      <w:r>
        <w:rPr>
          <w:rFonts w:hint="eastAsia" w:ascii="宋体" w:hAnsi="宋体"/>
          <w:color w:val="auto"/>
          <w:szCs w:val="21"/>
        </w:rPr>
        <w:t>对采购项目现场和周围环境的现场考察。</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7.2勘察现场的费用由供应商自己承担，勘察期间所发生的人身伤害及财产损失由供应商自己负责。</w:t>
      </w:r>
    </w:p>
    <w:p>
      <w:pPr>
        <w:adjustRightInd w:val="0"/>
        <w:snapToGrid w:val="0"/>
        <w:spacing w:line="360" w:lineRule="auto"/>
        <w:ind w:right="23" w:rightChars="11" w:firstLine="420" w:firstLineChars="200"/>
        <w:jc w:val="left"/>
        <w:rPr>
          <w:rFonts w:hint="eastAsia" w:ascii="宋体" w:hAnsi="宋体"/>
          <w:color w:val="auto"/>
          <w:szCs w:val="21"/>
        </w:rPr>
      </w:pPr>
      <w:r>
        <w:rPr>
          <w:rFonts w:hint="eastAsia" w:ascii="宋体" w:hAnsi="宋体"/>
          <w:color w:val="auto"/>
          <w:szCs w:val="21"/>
        </w:rPr>
        <w:t>7.3采购人不对供应商据此而做出的推论、理解和结论负责。一旦成交，供应商不得以任何借口，而提出额外补偿，或延长合同期限的要求。</w:t>
      </w:r>
    </w:p>
    <w:p>
      <w:pPr>
        <w:adjustRightInd w:val="0"/>
        <w:snapToGrid w:val="0"/>
        <w:spacing w:line="360" w:lineRule="auto"/>
        <w:jc w:val="left"/>
        <w:rPr>
          <w:rFonts w:hint="eastAsia" w:ascii="宋体" w:hAnsi="宋体"/>
          <w:b/>
          <w:szCs w:val="21"/>
        </w:rPr>
      </w:pPr>
      <w:r>
        <w:rPr>
          <w:rFonts w:hint="eastAsia" w:ascii="宋体" w:hAnsi="宋体"/>
          <w:b/>
          <w:szCs w:val="21"/>
        </w:rPr>
        <w:t>8.采购进口产品</w:t>
      </w:r>
    </w:p>
    <w:p>
      <w:pPr>
        <w:adjustRightInd w:val="0"/>
        <w:snapToGrid w:val="0"/>
        <w:spacing w:line="360" w:lineRule="auto"/>
        <w:ind w:firstLine="420" w:firstLineChars="200"/>
        <w:jc w:val="left"/>
        <w:rPr>
          <w:rFonts w:hint="eastAsia" w:ascii="宋体" w:hAnsi="宋体" w:cs="宋体"/>
          <w:kern w:val="0"/>
          <w:szCs w:val="21"/>
        </w:rPr>
      </w:pPr>
      <w:r>
        <w:rPr>
          <w:rFonts w:hint="eastAsia" w:ascii="宋体" w:hAnsi="宋体"/>
          <w:szCs w:val="21"/>
        </w:rPr>
        <w:t>8.1除</w:t>
      </w:r>
      <w:r>
        <w:rPr>
          <w:rFonts w:hint="eastAsia" w:ascii="宋体" w:hAnsi="宋体"/>
          <w:b/>
          <w:szCs w:val="21"/>
        </w:rPr>
        <w:t>谈判文件前附表</w:t>
      </w:r>
      <w:r>
        <w:rPr>
          <w:rFonts w:hint="eastAsia" w:ascii="宋体" w:hAnsi="宋体"/>
          <w:szCs w:val="21"/>
        </w:rPr>
        <w:t>另有规定外，本项目</w:t>
      </w:r>
      <w:r>
        <w:rPr>
          <w:rFonts w:hint="eastAsia" w:ascii="宋体" w:hAnsi="宋体" w:cs="宋体"/>
          <w:kern w:val="0"/>
          <w:szCs w:val="21"/>
        </w:rPr>
        <w:t>拒绝进口产品参加</w:t>
      </w:r>
      <w:r>
        <w:rPr>
          <w:rFonts w:hint="eastAsia" w:ascii="宋体" w:hAnsi="宋体"/>
          <w:szCs w:val="21"/>
        </w:rPr>
        <w:t>竞争性谈判采购活动</w:t>
      </w:r>
      <w:r>
        <w:rPr>
          <w:rFonts w:hint="eastAsia" w:ascii="宋体" w:hAnsi="宋体" w:cs="宋体"/>
          <w:kern w:val="0"/>
          <w:szCs w:val="21"/>
        </w:rPr>
        <w:t>。</w:t>
      </w:r>
    </w:p>
    <w:p>
      <w:pPr>
        <w:adjustRightInd w:val="0"/>
        <w:snapToGrid w:val="0"/>
        <w:spacing w:line="360" w:lineRule="auto"/>
        <w:ind w:firstLine="420" w:firstLineChars="200"/>
        <w:jc w:val="left"/>
        <w:rPr>
          <w:rFonts w:hint="eastAsia" w:ascii="宋体" w:hAnsi="宋体"/>
          <w:color w:val="auto"/>
          <w:szCs w:val="21"/>
        </w:rPr>
      </w:pPr>
      <w:r>
        <w:rPr>
          <w:rFonts w:hint="eastAsia" w:ascii="宋体" w:hAnsi="宋体" w:cs="宋体"/>
          <w:kern w:val="0"/>
          <w:szCs w:val="21"/>
        </w:rPr>
        <w:t>8.2</w:t>
      </w:r>
      <w:r>
        <w:rPr>
          <w:rFonts w:hint="eastAsia" w:ascii="宋体" w:hAnsi="宋体"/>
          <w:szCs w:val="21"/>
        </w:rPr>
        <w:t>本章第8.1</w:t>
      </w:r>
      <w:r>
        <w:rPr>
          <w:rFonts w:hint="eastAsia" w:ascii="宋体" w:hAnsi="宋体" w:cs="宋体"/>
          <w:kern w:val="0"/>
          <w:szCs w:val="21"/>
          <w:lang w:val="zh-CN"/>
        </w:rPr>
        <w:t>款</w:t>
      </w:r>
      <w:r>
        <w:rPr>
          <w:rFonts w:hint="eastAsia" w:ascii="宋体" w:hAnsi="宋体"/>
          <w:szCs w:val="21"/>
        </w:rPr>
        <w:t>规定</w:t>
      </w:r>
      <w:r>
        <w:rPr>
          <w:rFonts w:ascii="宋体" w:hAnsi="宋体" w:cs="宋体"/>
          <w:kern w:val="0"/>
          <w:szCs w:val="21"/>
        </w:rPr>
        <w:t>同意购买进口产品的</w:t>
      </w:r>
      <w:r>
        <w:rPr>
          <w:rFonts w:hint="eastAsia" w:ascii="宋体" w:hAnsi="宋体" w:cs="宋体"/>
          <w:kern w:val="0"/>
          <w:szCs w:val="21"/>
        </w:rPr>
        <w:t>，</w:t>
      </w:r>
      <w:r>
        <w:rPr>
          <w:rFonts w:hint="eastAsia" w:ascii="宋体" w:hAnsi="宋体"/>
          <w:szCs w:val="21"/>
        </w:rPr>
        <w:t>本项目</w:t>
      </w:r>
      <w:r>
        <w:rPr>
          <w:rFonts w:hint="eastAsia" w:ascii="宋体" w:hAnsi="宋体" w:cs="宋体"/>
          <w:kern w:val="0"/>
          <w:szCs w:val="21"/>
          <w:lang w:val="zh-CN"/>
        </w:rPr>
        <w:t>采购活动</w:t>
      </w:r>
      <w:r>
        <w:rPr>
          <w:rFonts w:hint="eastAsia" w:ascii="宋体" w:hAnsi="宋体" w:cs="宋体"/>
          <w:kern w:val="0"/>
          <w:szCs w:val="21"/>
        </w:rPr>
        <w:t>不</w:t>
      </w:r>
      <w:r>
        <w:rPr>
          <w:rFonts w:ascii="宋体" w:hAnsi="宋体" w:cs="宋体"/>
          <w:kern w:val="0"/>
          <w:szCs w:val="21"/>
        </w:rPr>
        <w:t>限制满足</w:t>
      </w:r>
      <w:r>
        <w:rPr>
          <w:rFonts w:hint="eastAsia" w:ascii="宋体" w:hAnsi="宋体"/>
          <w:szCs w:val="21"/>
        </w:rPr>
        <w:t>谈判文件要求</w:t>
      </w:r>
      <w:r>
        <w:rPr>
          <w:rFonts w:ascii="宋体" w:hAnsi="宋体" w:cs="宋体"/>
          <w:kern w:val="0"/>
          <w:szCs w:val="21"/>
        </w:rPr>
        <w:t>的国内产品参与</w:t>
      </w:r>
      <w:r>
        <w:rPr>
          <w:rFonts w:hint="eastAsia" w:ascii="宋体" w:hAnsi="宋体"/>
          <w:szCs w:val="21"/>
        </w:rPr>
        <w:t>竞争性谈判</w:t>
      </w:r>
      <w:r>
        <w:rPr>
          <w:rFonts w:ascii="宋体" w:hAnsi="宋体" w:cs="宋体"/>
          <w:kern w:val="0"/>
          <w:szCs w:val="21"/>
        </w:rPr>
        <w:t>。</w:t>
      </w:r>
    </w:p>
    <w:p>
      <w:pPr>
        <w:adjustRightInd w:val="0"/>
        <w:snapToGrid w:val="0"/>
        <w:spacing w:line="360" w:lineRule="auto"/>
        <w:jc w:val="left"/>
        <w:rPr>
          <w:rFonts w:hint="eastAsia" w:ascii="宋体" w:hAnsi="宋体"/>
          <w:b/>
          <w:szCs w:val="21"/>
        </w:rPr>
      </w:pPr>
      <w:r>
        <w:rPr>
          <w:rFonts w:hint="eastAsia" w:ascii="宋体" w:hAnsi="宋体"/>
          <w:b/>
          <w:bCs/>
          <w:szCs w:val="21"/>
        </w:rPr>
        <w:t>9.</w:t>
      </w:r>
      <w:r>
        <w:rPr>
          <w:rFonts w:hint="eastAsia" w:ascii="宋体" w:hAnsi="宋体"/>
          <w:b/>
          <w:szCs w:val="21"/>
        </w:rPr>
        <w:t xml:space="preserve"> 政府采购政策支持</w:t>
      </w:r>
    </w:p>
    <w:p>
      <w:pPr>
        <w:pStyle w:val="22"/>
        <w:adjustRightInd w:val="0"/>
        <w:snapToGrid w:val="0"/>
        <w:spacing w:line="360" w:lineRule="auto"/>
        <w:ind w:firstLine="420" w:firstLineChars="200"/>
        <w:rPr>
          <w:rFonts w:hint="eastAsia"/>
          <w:color w:val="000000"/>
        </w:rPr>
      </w:pPr>
      <w:r>
        <w:rPr>
          <w:rFonts w:hint="eastAsia"/>
        </w:rPr>
        <w:t>9.1</w:t>
      </w:r>
      <w:r>
        <w:rPr>
          <w:rFonts w:hint="eastAsia" w:hAnsi="宋体" w:cs="宋体"/>
          <w:color w:val="000000"/>
          <w:kern w:val="0"/>
        </w:rPr>
        <w:t>对列入财政部、国家发展改革委发布的《节能产品政府采购清单》且属于应当“强制采购的节能产品”，按照规定实行强制采购。实行政府采购强制采购的节能产品见</w:t>
      </w:r>
      <w:r>
        <w:rPr>
          <w:rFonts w:hint="eastAsia"/>
          <w:b/>
        </w:rPr>
        <w:t>谈判须知前附表</w:t>
      </w:r>
      <w:r>
        <w:rPr>
          <w:rFonts w:hint="eastAsia"/>
        </w:rPr>
        <w:t>。</w:t>
      </w:r>
    </w:p>
    <w:p>
      <w:pPr>
        <w:pStyle w:val="22"/>
        <w:adjustRightInd w:val="0"/>
        <w:snapToGrid w:val="0"/>
        <w:spacing w:line="360" w:lineRule="auto"/>
        <w:ind w:firstLine="420" w:firstLineChars="200"/>
        <w:rPr>
          <w:rFonts w:hint="eastAsia"/>
          <w:color w:val="000000"/>
        </w:rPr>
      </w:pPr>
      <w:r>
        <w:rPr>
          <w:rFonts w:hint="eastAsia" w:hAnsi="宋体"/>
          <w:color w:val="000000"/>
        </w:rPr>
        <w:t>9.2</w:t>
      </w:r>
      <w:r>
        <w:rPr>
          <w:rFonts w:hint="eastAsia" w:hAnsi="宋体" w:cs="宋体"/>
          <w:color w:val="000000"/>
          <w:kern w:val="0"/>
        </w:rPr>
        <w:t>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w:t>
      </w:r>
      <w:r>
        <w:rPr>
          <w:rFonts w:hint="eastAsia" w:hAnsi="宋体"/>
        </w:rPr>
        <w:t>或《长沙市两型产品目录》</w:t>
      </w:r>
      <w:r>
        <w:rPr>
          <w:rFonts w:hint="eastAsia" w:hAnsi="宋体" w:cs="宋体"/>
          <w:color w:val="000000"/>
          <w:kern w:val="0"/>
        </w:rPr>
        <w:t>的“两型产品”，以及中小企业，实行优先采购，按照省级以上财政部门有关政策规定，评审时进行价格扣除。实行政府采购优先采购的优惠率见</w:t>
      </w:r>
      <w:r>
        <w:rPr>
          <w:rFonts w:hint="eastAsia" w:hAnsi="宋体" w:cs="宋体"/>
          <w:b/>
          <w:color w:val="000000"/>
          <w:kern w:val="0"/>
        </w:rPr>
        <w:t>谈判须知前附表。</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9.4同一项目中部分产品属于优先采购政策的，评审时只对该部分产品的报价实行价格扣除</w:t>
      </w:r>
      <w:r>
        <w:rPr>
          <w:rFonts w:hint="eastAsia" w:ascii="宋体" w:hAnsi="宋体"/>
          <w:szCs w:val="21"/>
        </w:rPr>
        <w:t>（按该部分产品的报价占总报价的百分比调整）。</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9.5符合本章第9.1</w:t>
      </w:r>
      <w:r>
        <w:rPr>
          <w:rFonts w:hint="eastAsia" w:ascii="宋体" w:hAnsi="宋体" w:cs="宋体"/>
          <w:color w:val="000000"/>
          <w:kern w:val="0"/>
          <w:szCs w:val="21"/>
          <w:lang w:val="zh-CN"/>
        </w:rPr>
        <w:t>款、</w:t>
      </w:r>
      <w:r>
        <w:rPr>
          <w:rFonts w:hint="eastAsia" w:ascii="宋体" w:hAnsi="宋体"/>
          <w:color w:val="000000"/>
          <w:szCs w:val="21"/>
        </w:rPr>
        <w:t>第9.2</w:t>
      </w:r>
      <w:r>
        <w:rPr>
          <w:rFonts w:hint="eastAsia" w:ascii="宋体" w:hAnsi="宋体" w:cs="宋体"/>
          <w:color w:val="000000"/>
          <w:kern w:val="0"/>
          <w:szCs w:val="21"/>
          <w:lang w:val="zh-CN"/>
        </w:rPr>
        <w:t>款</w:t>
      </w:r>
      <w:r>
        <w:rPr>
          <w:rFonts w:hint="eastAsia" w:ascii="宋体" w:hAnsi="宋体"/>
          <w:color w:val="000000"/>
          <w:szCs w:val="21"/>
        </w:rPr>
        <w:t>规定的，应提供相关证明资料。</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9.6供应商有融资、担保需求的，具体办理流程可向</w:t>
      </w:r>
      <w:r>
        <w:rPr>
          <w:rFonts w:hint="eastAsia" w:ascii="宋体" w:hAnsi="宋体"/>
          <w:b/>
          <w:color w:val="000000"/>
          <w:szCs w:val="21"/>
        </w:rPr>
        <w:t>谈判须知前附表</w:t>
      </w:r>
      <w:r>
        <w:rPr>
          <w:rFonts w:hint="eastAsia" w:ascii="宋体" w:hAnsi="宋体"/>
          <w:color w:val="000000"/>
          <w:szCs w:val="21"/>
        </w:rPr>
        <w:t>所列金融机构和担保机构询问。</w:t>
      </w:r>
    </w:p>
    <w:p>
      <w:pPr>
        <w:adjustRightInd w:val="0"/>
        <w:snapToGrid w:val="0"/>
        <w:spacing w:line="360" w:lineRule="auto"/>
        <w:ind w:left="906" w:hanging="906" w:hangingChars="376"/>
        <w:rPr>
          <w:rFonts w:hint="eastAsia" w:ascii="黑体" w:hAnsi="宋体" w:eastAsia="黑体"/>
          <w:b/>
          <w:sz w:val="24"/>
        </w:rPr>
      </w:pPr>
      <w:r>
        <w:rPr>
          <w:rFonts w:hint="eastAsia" w:ascii="黑体" w:hAnsi="宋体" w:eastAsia="黑体"/>
          <w:b/>
          <w:sz w:val="24"/>
        </w:rPr>
        <w:t>二、谈判文件</w:t>
      </w:r>
    </w:p>
    <w:p>
      <w:pPr>
        <w:adjustRightInd w:val="0"/>
        <w:snapToGrid w:val="0"/>
        <w:spacing w:line="360" w:lineRule="auto"/>
        <w:rPr>
          <w:rFonts w:hint="eastAsia" w:ascii="宋体" w:hAnsi="宋体"/>
          <w:b/>
          <w:bCs/>
          <w:szCs w:val="21"/>
        </w:rPr>
      </w:pPr>
      <w:r>
        <w:rPr>
          <w:rFonts w:hint="eastAsia" w:ascii="宋体" w:hAnsi="宋体"/>
          <w:b/>
          <w:bCs/>
          <w:szCs w:val="21"/>
        </w:rPr>
        <w:t>10．谈判文件的组成</w:t>
      </w:r>
    </w:p>
    <w:p>
      <w:pPr>
        <w:pStyle w:val="22"/>
        <w:adjustRightInd w:val="0"/>
        <w:snapToGrid w:val="0"/>
        <w:spacing w:line="360" w:lineRule="auto"/>
        <w:ind w:firstLine="420" w:firstLineChars="200"/>
        <w:rPr>
          <w:rFonts w:hint="eastAsia" w:hAnsi="宋体"/>
        </w:rPr>
      </w:pPr>
      <w:r>
        <w:rPr>
          <w:rFonts w:hint="eastAsia" w:hAnsi="宋体"/>
        </w:rPr>
        <w:t>10.1 谈判文件由下列文件组成：</w:t>
      </w:r>
    </w:p>
    <w:p>
      <w:pPr>
        <w:pStyle w:val="22"/>
        <w:adjustRightInd w:val="0"/>
        <w:snapToGrid w:val="0"/>
        <w:spacing w:line="360" w:lineRule="auto"/>
        <w:ind w:firstLine="420" w:firstLineChars="200"/>
        <w:rPr>
          <w:rFonts w:hint="eastAsia" w:hAnsi="宋体"/>
        </w:rPr>
      </w:pPr>
      <w:r>
        <w:rPr>
          <w:rFonts w:hint="eastAsia" w:hAnsi="宋体"/>
        </w:rPr>
        <w:t>第一章 谈判通知</w:t>
      </w:r>
    </w:p>
    <w:p>
      <w:pPr>
        <w:pStyle w:val="22"/>
        <w:adjustRightInd w:val="0"/>
        <w:snapToGrid w:val="0"/>
        <w:spacing w:line="360" w:lineRule="auto"/>
        <w:ind w:firstLine="420" w:firstLineChars="200"/>
        <w:rPr>
          <w:rFonts w:hint="eastAsia" w:hAnsi="宋体"/>
        </w:rPr>
      </w:pPr>
      <w:r>
        <w:rPr>
          <w:rFonts w:hint="eastAsia" w:hAnsi="宋体"/>
        </w:rPr>
        <w:t>第二章 谈判须知</w:t>
      </w:r>
    </w:p>
    <w:p>
      <w:pPr>
        <w:pStyle w:val="22"/>
        <w:adjustRightInd w:val="0"/>
        <w:snapToGrid w:val="0"/>
        <w:spacing w:line="360" w:lineRule="auto"/>
        <w:ind w:firstLine="420" w:firstLineChars="200"/>
        <w:rPr>
          <w:rFonts w:hint="eastAsia" w:hAnsi="宋体"/>
        </w:rPr>
      </w:pPr>
      <w:r>
        <w:rPr>
          <w:rFonts w:hint="eastAsia" w:hAnsi="宋体"/>
        </w:rPr>
        <w:t>第三章 政府采购合同格式条款</w:t>
      </w:r>
    </w:p>
    <w:p>
      <w:pPr>
        <w:pStyle w:val="22"/>
        <w:adjustRightInd w:val="0"/>
        <w:snapToGrid w:val="0"/>
        <w:spacing w:line="360" w:lineRule="auto"/>
        <w:ind w:firstLine="420" w:firstLineChars="200"/>
        <w:rPr>
          <w:rFonts w:hint="eastAsia" w:hAnsi="宋体"/>
        </w:rPr>
      </w:pPr>
      <w:r>
        <w:rPr>
          <w:rFonts w:hint="eastAsia" w:hAnsi="宋体"/>
        </w:rPr>
        <w:t>第四章 采购需求</w:t>
      </w:r>
    </w:p>
    <w:p>
      <w:pPr>
        <w:pStyle w:val="22"/>
        <w:adjustRightInd w:val="0"/>
        <w:snapToGrid w:val="0"/>
        <w:spacing w:line="360" w:lineRule="auto"/>
        <w:ind w:firstLine="420" w:firstLineChars="200"/>
        <w:rPr>
          <w:rFonts w:hint="eastAsia" w:hAnsi="宋体"/>
        </w:rPr>
      </w:pPr>
      <w:r>
        <w:rPr>
          <w:rFonts w:hint="eastAsia" w:hAnsi="宋体"/>
        </w:rPr>
        <w:t>第五章 响应文件组成</w:t>
      </w:r>
    </w:p>
    <w:p>
      <w:pPr>
        <w:pStyle w:val="22"/>
        <w:adjustRightInd w:val="0"/>
        <w:snapToGrid w:val="0"/>
        <w:spacing w:line="360" w:lineRule="auto"/>
        <w:ind w:firstLine="420" w:firstLineChars="200"/>
        <w:rPr>
          <w:rFonts w:hint="eastAsia"/>
        </w:rPr>
      </w:pPr>
      <w:r>
        <w:rPr>
          <w:rFonts w:hint="eastAsia"/>
        </w:rPr>
        <w:t>10.2</w:t>
      </w:r>
      <w:r>
        <w:rPr>
          <w:rFonts w:hint="eastAsia" w:hAnsi="宋体"/>
          <w:bCs/>
        </w:rPr>
        <w:t>本章第11.1</w:t>
      </w:r>
      <w:r>
        <w:rPr>
          <w:rFonts w:hint="eastAsia" w:hAnsi="宋体" w:cs="宋体"/>
          <w:kern w:val="0"/>
          <w:lang w:val="zh-CN"/>
        </w:rPr>
        <w:t>款</w:t>
      </w:r>
      <w:r>
        <w:rPr>
          <w:rFonts w:hint="eastAsia" w:hAnsi="宋体"/>
          <w:bCs/>
        </w:rPr>
        <w:t>规定的</w:t>
      </w:r>
      <w:r>
        <w:rPr>
          <w:rFonts w:hint="eastAsia" w:hAnsi="宋体" w:cs="宋体"/>
          <w:kern w:val="0"/>
        </w:rPr>
        <w:t>提交首次响应文件截止时间前对谈判文件澄清或者修改内容，为谈判文件的组成部分。</w:t>
      </w:r>
    </w:p>
    <w:p>
      <w:pPr>
        <w:pStyle w:val="22"/>
        <w:adjustRightInd w:val="0"/>
        <w:snapToGrid w:val="0"/>
        <w:spacing w:line="360" w:lineRule="auto"/>
        <w:ind w:firstLine="420" w:firstLineChars="200"/>
        <w:rPr>
          <w:rFonts w:hint="eastAsia" w:hAnsi="宋体" w:cs="宋体"/>
          <w:kern w:val="0"/>
        </w:rPr>
      </w:pPr>
      <w:r>
        <w:rPr>
          <w:rFonts w:hint="eastAsia"/>
        </w:rPr>
        <w:t>10.3</w:t>
      </w:r>
      <w:r>
        <w:rPr>
          <w:rFonts w:hint="eastAsia" w:hAnsi="宋体" w:cs="宋体"/>
          <w:kern w:val="0"/>
        </w:rPr>
        <w:t>谈判小组根据与供应商谈判情况可能实质性变动的内容，包括采购需求中的技术、服务要求以及合同条款，</w:t>
      </w:r>
      <w:r>
        <w:rPr>
          <w:rFonts w:hint="eastAsia"/>
        </w:rPr>
        <w:t>在</w:t>
      </w:r>
      <w:r>
        <w:rPr>
          <w:rFonts w:hint="eastAsia"/>
          <w:b/>
        </w:rPr>
        <w:t>谈判须知前附表</w:t>
      </w:r>
      <w:r>
        <w:rPr>
          <w:rFonts w:hint="eastAsia"/>
        </w:rPr>
        <w:t>中明确。</w:t>
      </w:r>
    </w:p>
    <w:p>
      <w:pPr>
        <w:adjustRightInd w:val="0"/>
        <w:snapToGrid w:val="0"/>
        <w:spacing w:line="360" w:lineRule="auto"/>
        <w:ind w:firstLine="420" w:firstLineChars="200"/>
        <w:rPr>
          <w:rFonts w:hint="eastAsia" w:ascii="宋体" w:hAnsi="宋体"/>
          <w:szCs w:val="21"/>
        </w:rPr>
      </w:pPr>
      <w:r>
        <w:rPr>
          <w:rFonts w:hint="eastAsia" w:ascii="宋体" w:hAnsi="宋体"/>
        </w:rPr>
        <w:t>10.4</w:t>
      </w:r>
      <w:r>
        <w:rPr>
          <w:rFonts w:hint="eastAsia" w:ascii="宋体" w:hAnsi="宋体"/>
          <w:szCs w:val="21"/>
        </w:rPr>
        <w:t>供应商应仔细阅读</w:t>
      </w:r>
      <w:r>
        <w:rPr>
          <w:rFonts w:hint="eastAsia" w:ascii="宋体" w:hAnsi="宋体"/>
          <w:bCs/>
          <w:szCs w:val="21"/>
        </w:rPr>
        <w:t>谈判</w:t>
      </w:r>
      <w:r>
        <w:rPr>
          <w:rFonts w:hint="eastAsia" w:ascii="宋体" w:hAnsi="宋体"/>
          <w:szCs w:val="21"/>
        </w:rPr>
        <w:t>文件的全部内容，按照</w:t>
      </w:r>
      <w:r>
        <w:rPr>
          <w:rFonts w:hint="eastAsia" w:ascii="宋体" w:hAnsi="宋体"/>
          <w:bCs/>
          <w:szCs w:val="21"/>
        </w:rPr>
        <w:t>谈判</w:t>
      </w:r>
      <w:r>
        <w:rPr>
          <w:rFonts w:hint="eastAsia" w:ascii="宋体" w:hAnsi="宋体"/>
          <w:szCs w:val="21"/>
        </w:rPr>
        <w:t>文件要求编制</w:t>
      </w:r>
      <w:r>
        <w:rPr>
          <w:rFonts w:hint="eastAsia"/>
          <w:szCs w:val="21"/>
        </w:rPr>
        <w:t>响应</w:t>
      </w:r>
      <w:r>
        <w:rPr>
          <w:rFonts w:hint="eastAsia" w:ascii="宋体" w:hAnsi="宋体"/>
          <w:szCs w:val="21"/>
        </w:rPr>
        <w:t>文件。任何对</w:t>
      </w:r>
      <w:r>
        <w:rPr>
          <w:rFonts w:hint="eastAsia" w:ascii="宋体" w:hAnsi="宋体"/>
          <w:bCs/>
          <w:szCs w:val="21"/>
        </w:rPr>
        <w:t>谈判</w:t>
      </w:r>
      <w:r>
        <w:rPr>
          <w:rFonts w:hint="eastAsia" w:ascii="宋体" w:hAnsi="宋体"/>
          <w:szCs w:val="21"/>
        </w:rPr>
        <w:t>文件的忽略或误解不能作为</w:t>
      </w:r>
      <w:r>
        <w:rPr>
          <w:rFonts w:hint="eastAsia"/>
          <w:szCs w:val="21"/>
        </w:rPr>
        <w:t>响应</w:t>
      </w:r>
      <w:r>
        <w:rPr>
          <w:rFonts w:hint="eastAsia" w:ascii="宋体" w:hAnsi="宋体"/>
          <w:szCs w:val="21"/>
        </w:rPr>
        <w:t>文件存在缺陷或瑕疵的理由，其风险由供应商承担。</w:t>
      </w:r>
    </w:p>
    <w:p>
      <w:pPr>
        <w:adjustRightInd w:val="0"/>
        <w:snapToGrid w:val="0"/>
        <w:spacing w:line="360" w:lineRule="auto"/>
        <w:rPr>
          <w:rFonts w:hint="eastAsia" w:ascii="宋体" w:hAnsi="宋体"/>
          <w:b/>
          <w:bCs/>
          <w:szCs w:val="21"/>
        </w:rPr>
      </w:pPr>
      <w:r>
        <w:rPr>
          <w:rFonts w:hint="eastAsia" w:ascii="宋体" w:hAnsi="宋体"/>
          <w:b/>
          <w:bCs/>
          <w:szCs w:val="21"/>
        </w:rPr>
        <w:t>11.谈判文件的提供期限</w:t>
      </w:r>
    </w:p>
    <w:p>
      <w:pPr>
        <w:pStyle w:val="22"/>
        <w:adjustRightInd w:val="0"/>
        <w:snapToGrid w:val="0"/>
        <w:spacing w:before="156" w:beforeLines="50" w:line="360" w:lineRule="auto"/>
        <w:ind w:firstLine="420" w:firstLineChars="200"/>
        <w:rPr>
          <w:rFonts w:hint="eastAsia" w:hAnsi="宋体"/>
          <w:color w:val="000000"/>
        </w:rPr>
      </w:pPr>
      <w:r>
        <w:rPr>
          <w:rFonts w:hint="eastAsia"/>
        </w:rPr>
        <w:t>11.1</w:t>
      </w:r>
      <w:r>
        <w:rPr>
          <w:rFonts w:hint="eastAsia" w:hAnsi="宋体"/>
          <w:bCs/>
        </w:rPr>
        <w:t>谈</w:t>
      </w:r>
      <w:r>
        <w:rPr>
          <w:rFonts w:hint="eastAsia" w:hAnsi="宋体"/>
        </w:rPr>
        <w:t>判文件自开始发出之日起至</w:t>
      </w:r>
      <w:r>
        <w:rPr>
          <w:rFonts w:hint="eastAsia" w:hAnsi="宋体"/>
          <w:b/>
        </w:rPr>
        <w:t>谈判文件</w:t>
      </w:r>
      <w:r>
        <w:rPr>
          <w:rFonts w:hint="eastAsia" w:hAnsi="宋体" w:cs="宋体"/>
          <w:b/>
        </w:rPr>
        <w:t>前附表</w:t>
      </w:r>
      <w:r>
        <w:rPr>
          <w:rFonts w:hint="eastAsia" w:hAnsi="宋体"/>
        </w:rPr>
        <w:t>规定的递交响应文件截止时间止，不少于3个工作日。</w:t>
      </w:r>
      <w:r>
        <w:rPr>
          <w:rFonts w:hint="eastAsia" w:hAnsi="宋体"/>
          <w:bCs/>
        </w:rPr>
        <w:t>谈</w:t>
      </w:r>
      <w:r>
        <w:rPr>
          <w:rFonts w:hint="eastAsia" w:hAnsi="宋体"/>
        </w:rPr>
        <w:t>判文件</w:t>
      </w:r>
      <w:r>
        <w:rPr>
          <w:rFonts w:hint="eastAsia" w:hAnsi="宋体"/>
          <w:color w:val="000000"/>
        </w:rPr>
        <w:t>提供期限</w:t>
      </w:r>
      <w:r>
        <w:rPr>
          <w:rFonts w:hint="eastAsia" w:hAnsi="宋体"/>
        </w:rPr>
        <w:t>见</w:t>
      </w:r>
      <w:r>
        <w:rPr>
          <w:rFonts w:hint="eastAsia" w:hAnsi="宋体"/>
          <w:b/>
        </w:rPr>
        <w:t>谈判文件</w:t>
      </w:r>
      <w:r>
        <w:rPr>
          <w:rFonts w:hint="eastAsia" w:hAnsi="宋体" w:cs="宋体"/>
          <w:b/>
        </w:rPr>
        <w:t>前附表</w:t>
      </w:r>
      <w:r>
        <w:rPr>
          <w:rFonts w:hint="eastAsia" w:hAnsi="宋体"/>
          <w:color w:val="000000"/>
        </w:rPr>
        <w:t>。</w:t>
      </w:r>
    </w:p>
    <w:p>
      <w:pPr>
        <w:adjustRightInd w:val="0"/>
        <w:snapToGrid w:val="0"/>
        <w:spacing w:line="360" w:lineRule="auto"/>
        <w:rPr>
          <w:rFonts w:hint="eastAsia"/>
          <w:b/>
        </w:rPr>
      </w:pPr>
      <w:r>
        <w:rPr>
          <w:rFonts w:hint="eastAsia" w:ascii="宋体" w:hAnsi="宋体"/>
          <w:b/>
          <w:bCs/>
          <w:szCs w:val="21"/>
        </w:rPr>
        <w:t>12.</w:t>
      </w:r>
      <w:r>
        <w:rPr>
          <w:rFonts w:hint="eastAsia" w:cs="宋体"/>
          <w:b/>
          <w:kern w:val="0"/>
        </w:rPr>
        <w:t>提交首次响应文件</w:t>
      </w:r>
      <w:r>
        <w:rPr>
          <w:rFonts w:hint="eastAsia"/>
          <w:b/>
        </w:rPr>
        <w:t>的</w:t>
      </w:r>
      <w:r>
        <w:rPr>
          <w:rFonts w:hint="eastAsia" w:cs="宋体"/>
          <w:b/>
          <w:kern w:val="0"/>
        </w:rPr>
        <w:t>截止</w:t>
      </w:r>
      <w:r>
        <w:rPr>
          <w:rFonts w:hint="eastAsia"/>
          <w:b/>
        </w:rPr>
        <w:t>时间</w:t>
      </w:r>
    </w:p>
    <w:p>
      <w:pPr>
        <w:pStyle w:val="22"/>
        <w:adjustRightInd w:val="0"/>
        <w:snapToGrid w:val="0"/>
        <w:spacing w:line="360" w:lineRule="auto"/>
        <w:ind w:firstLine="420" w:firstLineChars="200"/>
        <w:rPr>
          <w:rFonts w:hint="eastAsia" w:hAnsi="宋体"/>
        </w:rPr>
      </w:pPr>
      <w:r>
        <w:rPr>
          <w:rFonts w:hint="eastAsia" w:hAnsi="宋体"/>
        </w:rPr>
        <w:t>12.1</w:t>
      </w:r>
      <w:r>
        <w:rPr>
          <w:rFonts w:hint="eastAsia" w:hAnsi="宋体" w:cs="宋体"/>
          <w:kern w:val="0"/>
        </w:rPr>
        <w:t>供应商提交首次响应文件截止</w:t>
      </w:r>
      <w:r>
        <w:rPr>
          <w:rFonts w:hint="eastAsia" w:hAnsi="宋体"/>
        </w:rPr>
        <w:t>时间见</w:t>
      </w:r>
      <w:r>
        <w:rPr>
          <w:rFonts w:hint="eastAsia" w:hAnsi="宋体"/>
          <w:b/>
        </w:rPr>
        <w:t>谈判须知前附表</w:t>
      </w:r>
      <w:r>
        <w:rPr>
          <w:rFonts w:hint="eastAsia" w:hAnsi="宋体"/>
        </w:rPr>
        <w:t>。</w:t>
      </w:r>
    </w:p>
    <w:p>
      <w:pPr>
        <w:adjustRightInd w:val="0"/>
        <w:snapToGrid w:val="0"/>
        <w:spacing w:line="360" w:lineRule="auto"/>
        <w:rPr>
          <w:rFonts w:hint="eastAsia" w:ascii="宋体" w:hAnsi="宋体"/>
          <w:b/>
          <w:bCs/>
          <w:szCs w:val="21"/>
        </w:rPr>
      </w:pPr>
      <w:r>
        <w:rPr>
          <w:rFonts w:hint="eastAsia" w:ascii="宋体" w:hAnsi="宋体"/>
          <w:b/>
          <w:bCs/>
          <w:szCs w:val="21"/>
        </w:rPr>
        <w:t>13.谈判文件的澄清</w:t>
      </w:r>
      <w:r>
        <w:rPr>
          <w:rFonts w:hint="eastAsia" w:ascii="宋体" w:hAnsi="宋体"/>
          <w:b/>
          <w:kern w:val="0"/>
          <w:szCs w:val="21"/>
          <w:lang w:val="zh-CN"/>
        </w:rPr>
        <w:t>或者</w:t>
      </w:r>
      <w:r>
        <w:rPr>
          <w:rFonts w:hint="eastAsia" w:ascii="宋体" w:hAnsi="宋体"/>
          <w:b/>
          <w:bCs/>
          <w:szCs w:val="21"/>
        </w:rPr>
        <w:t>修改</w:t>
      </w:r>
    </w:p>
    <w:p>
      <w:pPr>
        <w:adjustRightInd w:val="0"/>
        <w:snapToGrid w:val="0"/>
        <w:spacing w:line="360" w:lineRule="auto"/>
        <w:ind w:right="-105" w:rightChars="-50" w:firstLine="420" w:firstLineChars="200"/>
        <w:rPr>
          <w:rFonts w:hint="eastAsia" w:ascii="宋体" w:hAnsi="宋体" w:cs="宋体"/>
          <w:kern w:val="0"/>
          <w:szCs w:val="21"/>
        </w:rPr>
      </w:pPr>
      <w:r>
        <w:rPr>
          <w:rFonts w:hint="eastAsia" w:ascii="宋体" w:hAnsi="宋体"/>
          <w:szCs w:val="21"/>
        </w:rPr>
        <w:t>13.1在</w:t>
      </w:r>
      <w:r>
        <w:rPr>
          <w:rFonts w:hint="eastAsia" w:ascii="宋体" w:hAnsi="宋体"/>
          <w:bCs/>
          <w:szCs w:val="21"/>
        </w:rPr>
        <w:t>本章第12.1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 xml:space="preserve">提交首次响应文件截止之日前，采购人、采购代理机构或者谈判小组可以对已发出的谈判文件进行必要的澄清或者修改。 </w:t>
      </w:r>
    </w:p>
    <w:p>
      <w:pPr>
        <w:adjustRightInd w:val="0"/>
        <w:snapToGrid w:val="0"/>
        <w:spacing w:line="360" w:lineRule="auto"/>
        <w:ind w:right="-105" w:rightChars="-50" w:firstLine="420" w:firstLineChars="200"/>
        <w:rPr>
          <w:rFonts w:hint="eastAsia" w:ascii="宋体" w:hAnsi="宋体" w:cs="宋体"/>
          <w:kern w:val="0"/>
          <w:szCs w:val="21"/>
        </w:rPr>
      </w:pPr>
      <w:r>
        <w:rPr>
          <w:rFonts w:hint="eastAsia" w:ascii="宋体" w:hAnsi="宋体"/>
          <w:szCs w:val="21"/>
        </w:rPr>
        <w:t>13.2</w:t>
      </w:r>
      <w:r>
        <w:rPr>
          <w:rFonts w:hint="eastAsia" w:ascii="宋体" w:hAnsi="宋体" w:cs="宋体"/>
          <w:kern w:val="0"/>
          <w:szCs w:val="21"/>
        </w:rPr>
        <w:t>澄清或者修改的内容可能影响响应文件编制的，采购人、采购代理机构或者谈判小组应当在</w:t>
      </w:r>
      <w:r>
        <w:rPr>
          <w:rFonts w:hint="eastAsia" w:ascii="宋体" w:hAnsi="宋体"/>
          <w:bCs/>
          <w:szCs w:val="21"/>
        </w:rPr>
        <w:t>本章第12.1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提交首次响应文件截止之日3个工作日前，以书面形式通知所有接收谈判文件的供应商，不足3个工作日的，顺延供应商提交首次响应文件截止时间。</w:t>
      </w:r>
    </w:p>
    <w:p>
      <w:pPr>
        <w:adjustRightInd w:val="0"/>
        <w:snapToGrid w:val="0"/>
        <w:spacing w:line="360" w:lineRule="auto"/>
        <w:rPr>
          <w:rFonts w:hint="eastAsia" w:ascii="黑体" w:hAnsi="宋体" w:eastAsia="黑体"/>
          <w:b/>
          <w:sz w:val="24"/>
        </w:rPr>
      </w:pPr>
      <w:r>
        <w:rPr>
          <w:rFonts w:hint="eastAsia" w:ascii="黑体" w:hAnsi="宋体" w:eastAsia="黑体"/>
          <w:b/>
          <w:sz w:val="24"/>
        </w:rPr>
        <w:t>三、响应文件</w:t>
      </w:r>
    </w:p>
    <w:p>
      <w:pPr>
        <w:adjustRightInd w:val="0"/>
        <w:snapToGrid w:val="0"/>
        <w:spacing w:line="360" w:lineRule="auto"/>
        <w:rPr>
          <w:rFonts w:hint="eastAsia" w:ascii="宋体" w:hAnsi="宋体"/>
          <w:b/>
          <w:bCs/>
          <w:szCs w:val="21"/>
        </w:rPr>
      </w:pPr>
      <w:r>
        <w:rPr>
          <w:rFonts w:hint="eastAsia" w:ascii="宋体" w:hAnsi="宋体"/>
          <w:b/>
          <w:bCs/>
          <w:szCs w:val="21"/>
        </w:rPr>
        <w:t>14.一般要求</w:t>
      </w:r>
    </w:p>
    <w:p>
      <w:pPr>
        <w:adjustRightInd w:val="0"/>
        <w:snapToGrid w:val="0"/>
        <w:spacing w:line="360" w:lineRule="auto"/>
        <w:ind w:firstLine="420" w:firstLineChars="200"/>
        <w:rPr>
          <w:rFonts w:hint="eastAsia" w:ascii="宋体" w:hAnsi="宋体"/>
          <w:bCs/>
          <w:szCs w:val="21"/>
        </w:rPr>
      </w:pPr>
      <w:r>
        <w:rPr>
          <w:rFonts w:hint="eastAsia" w:ascii="宋体" w:hAnsi="宋体"/>
          <w:bCs/>
          <w:szCs w:val="21"/>
        </w:rPr>
        <w:t>14.1 供应商应仔细阅读谈判文件的所有内容，按谈判文件的要求编制响应文件，并保证所提供的全部资料的真实性，以使其响应文件对谈判文件做出实质性的响应。</w:t>
      </w:r>
    </w:p>
    <w:p>
      <w:pPr>
        <w:adjustRightInd w:val="0"/>
        <w:snapToGrid w:val="0"/>
        <w:spacing w:line="360" w:lineRule="auto"/>
        <w:ind w:firstLine="420" w:firstLineChars="200"/>
        <w:rPr>
          <w:rFonts w:hint="eastAsia" w:ascii="宋体" w:hAnsi="宋体"/>
          <w:bCs/>
          <w:szCs w:val="21"/>
        </w:rPr>
      </w:pPr>
      <w:r>
        <w:rPr>
          <w:rFonts w:hint="eastAsia" w:ascii="宋体" w:hAnsi="宋体"/>
          <w:bCs/>
          <w:szCs w:val="21"/>
        </w:rPr>
        <w:t xml:space="preserve">14.2 </w:t>
      </w:r>
      <w:r>
        <w:rPr>
          <w:rFonts w:hint="eastAsia" w:ascii="宋体" w:hAnsi="宋体"/>
          <w:szCs w:val="21"/>
        </w:rPr>
        <w:t>供应商提交的响应文件及供应商与采购人或采购代理机构、谈判小组就有关谈判的所有来往函电均使用中文。供应商可以提交其它语言的资料，但应附中文注释，在有差异时以中文为准。</w:t>
      </w:r>
    </w:p>
    <w:p>
      <w:pPr>
        <w:pStyle w:val="22"/>
        <w:adjustRightInd w:val="0"/>
        <w:snapToGrid w:val="0"/>
        <w:spacing w:line="360" w:lineRule="auto"/>
        <w:ind w:firstLine="420" w:firstLineChars="200"/>
        <w:rPr>
          <w:rFonts w:hint="eastAsia" w:hAnsi="宋体"/>
        </w:rPr>
      </w:pPr>
      <w:r>
        <w:rPr>
          <w:rFonts w:hint="eastAsia" w:hAnsi="宋体"/>
          <w:bCs/>
        </w:rPr>
        <w:t xml:space="preserve">14.3 </w:t>
      </w:r>
      <w:r>
        <w:rPr>
          <w:rFonts w:hint="eastAsia" w:hAnsi="宋体"/>
        </w:rPr>
        <w:t>计量单位应使用我国法定计量单位，未列明时应默认为我国法定计量单位。</w:t>
      </w:r>
    </w:p>
    <w:p>
      <w:pPr>
        <w:pStyle w:val="22"/>
        <w:adjustRightInd w:val="0"/>
        <w:snapToGrid w:val="0"/>
        <w:spacing w:line="360" w:lineRule="auto"/>
        <w:ind w:firstLine="420" w:firstLineChars="200"/>
        <w:rPr>
          <w:rFonts w:hint="eastAsia" w:hAnsi="宋体"/>
        </w:rPr>
      </w:pPr>
      <w:r>
        <w:rPr>
          <w:rFonts w:hint="eastAsia" w:hAnsi="宋体"/>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14.5 供应商应按谈判文件中提供的响应文件格式填写。</w:t>
      </w:r>
    </w:p>
    <w:p>
      <w:pPr>
        <w:adjustRightInd w:val="0"/>
        <w:snapToGrid w:val="0"/>
        <w:spacing w:line="360" w:lineRule="auto"/>
        <w:rPr>
          <w:rFonts w:hint="eastAsia" w:ascii="宋体" w:hAnsi="宋体"/>
          <w:b/>
          <w:bCs/>
          <w:szCs w:val="21"/>
        </w:rPr>
      </w:pPr>
      <w:r>
        <w:rPr>
          <w:rFonts w:hint="eastAsia" w:ascii="宋体" w:hAnsi="宋体"/>
          <w:b/>
          <w:bCs/>
          <w:szCs w:val="21"/>
        </w:rPr>
        <w:t>15.</w:t>
      </w:r>
      <w:r>
        <w:rPr>
          <w:rFonts w:hint="eastAsia" w:ascii="宋体" w:hAnsi="宋体"/>
          <w:b/>
          <w:szCs w:val="21"/>
        </w:rPr>
        <w:t>响应文件</w:t>
      </w:r>
      <w:r>
        <w:rPr>
          <w:rFonts w:hint="eastAsia" w:ascii="宋体" w:hAnsi="宋体"/>
          <w:b/>
          <w:bCs/>
          <w:szCs w:val="21"/>
        </w:rPr>
        <w:t>的组成</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rPr>
        <w:t>15.1</w:t>
      </w:r>
      <w:r>
        <w:rPr>
          <w:rFonts w:hint="eastAsia" w:hAnsi="宋体"/>
        </w:rPr>
        <w:t xml:space="preserve"> 响应文件包括下列内容：</w:t>
      </w:r>
      <w:r>
        <w:rPr>
          <w:rFonts w:hint="eastAsia" w:ascii="宋体" w:hAnsi="宋体"/>
          <w:szCs w:val="21"/>
        </w:rPr>
        <w:t xml:space="preserve"> </w:t>
      </w:r>
    </w:p>
    <w:p>
      <w:pPr>
        <w:pStyle w:val="22"/>
        <w:adjustRightInd w:val="0"/>
        <w:snapToGrid w:val="0"/>
        <w:spacing w:line="360" w:lineRule="auto"/>
        <w:ind w:firstLine="420" w:firstLineChars="200"/>
        <w:rPr>
          <w:rFonts w:hint="eastAsia" w:hAnsi="宋体"/>
          <w:color w:val="auto"/>
        </w:rPr>
      </w:pPr>
      <w:r>
        <w:rPr>
          <w:rFonts w:hint="eastAsia" w:hAnsi="宋体"/>
          <w:color w:val="auto"/>
        </w:rPr>
        <w:t>（1）谈判响应声明</w:t>
      </w:r>
    </w:p>
    <w:p>
      <w:pPr>
        <w:pStyle w:val="22"/>
        <w:adjustRightInd w:val="0"/>
        <w:snapToGrid w:val="0"/>
        <w:spacing w:line="360" w:lineRule="auto"/>
        <w:ind w:firstLine="420" w:firstLineChars="200"/>
        <w:rPr>
          <w:rFonts w:hint="eastAsia" w:hAnsi="宋体"/>
          <w:color w:val="auto"/>
        </w:rPr>
      </w:pPr>
      <w:r>
        <w:rPr>
          <w:rFonts w:hint="eastAsia" w:hAnsi="宋体"/>
          <w:color w:val="auto"/>
        </w:rPr>
        <w:t>（2）保证金</w:t>
      </w:r>
    </w:p>
    <w:p>
      <w:pPr>
        <w:pStyle w:val="22"/>
        <w:adjustRightInd w:val="0"/>
        <w:snapToGrid w:val="0"/>
        <w:spacing w:line="360" w:lineRule="auto"/>
        <w:ind w:firstLine="420" w:firstLineChars="200"/>
        <w:rPr>
          <w:rFonts w:hint="eastAsia" w:hAnsi="宋体"/>
          <w:color w:val="auto"/>
        </w:rPr>
      </w:pPr>
      <w:r>
        <w:rPr>
          <w:rFonts w:hint="eastAsia" w:hAnsi="宋体"/>
          <w:color w:val="auto"/>
        </w:rPr>
        <w:t>（3）供应商的资格证明文件</w:t>
      </w:r>
    </w:p>
    <w:p>
      <w:pPr>
        <w:pStyle w:val="22"/>
        <w:adjustRightInd w:val="0"/>
        <w:snapToGrid w:val="0"/>
        <w:spacing w:line="360" w:lineRule="auto"/>
        <w:ind w:firstLine="420" w:firstLineChars="200"/>
        <w:rPr>
          <w:rFonts w:hint="eastAsia" w:hAnsi="宋体"/>
          <w:color w:val="auto"/>
        </w:rPr>
      </w:pPr>
      <w:r>
        <w:rPr>
          <w:rFonts w:hint="eastAsia" w:hAnsi="宋体"/>
          <w:color w:val="auto"/>
        </w:rPr>
        <w:t>（4）服务方案(根据项目属性编制)</w:t>
      </w:r>
    </w:p>
    <w:p>
      <w:pPr>
        <w:pStyle w:val="22"/>
        <w:adjustRightInd w:val="0"/>
        <w:snapToGrid w:val="0"/>
        <w:spacing w:line="360" w:lineRule="auto"/>
        <w:ind w:firstLine="420" w:firstLineChars="200"/>
        <w:rPr>
          <w:rFonts w:hint="eastAsia" w:hAnsi="宋体"/>
          <w:color w:val="auto"/>
        </w:rPr>
      </w:pPr>
      <w:r>
        <w:rPr>
          <w:rFonts w:hint="eastAsia" w:hAnsi="宋体"/>
          <w:color w:val="auto"/>
        </w:rPr>
        <w:t>（5）技术/商务响应与偏离表</w:t>
      </w:r>
    </w:p>
    <w:p>
      <w:pPr>
        <w:pStyle w:val="22"/>
        <w:adjustRightInd w:val="0"/>
        <w:snapToGrid w:val="0"/>
        <w:spacing w:line="360" w:lineRule="auto"/>
        <w:ind w:firstLine="420" w:firstLineChars="200"/>
        <w:rPr>
          <w:rFonts w:hint="eastAsia" w:hAnsi="宋体"/>
          <w:color w:val="auto"/>
        </w:rPr>
      </w:pPr>
      <w:r>
        <w:rPr>
          <w:rFonts w:hint="eastAsia" w:hAnsi="宋体"/>
          <w:color w:val="auto"/>
        </w:rPr>
        <w:t>（6）提供享受政府采购政策的证明材料和清单表</w:t>
      </w:r>
    </w:p>
    <w:p>
      <w:pPr>
        <w:pStyle w:val="22"/>
        <w:adjustRightInd w:val="0"/>
        <w:snapToGrid w:val="0"/>
        <w:spacing w:line="360" w:lineRule="auto"/>
        <w:ind w:firstLine="420" w:firstLineChars="200"/>
        <w:rPr>
          <w:rFonts w:hint="eastAsia" w:hAnsi="宋体"/>
          <w:color w:val="auto"/>
        </w:rPr>
      </w:pPr>
      <w:r>
        <w:rPr>
          <w:rFonts w:hint="eastAsia" w:hAnsi="宋体"/>
          <w:color w:val="auto"/>
        </w:rPr>
        <w:t>（</w:t>
      </w:r>
      <w:r>
        <w:rPr>
          <w:rFonts w:hint="eastAsia" w:hAnsi="宋体"/>
          <w:color w:val="auto"/>
          <w:lang w:val="en-US" w:eastAsia="zh-CN"/>
        </w:rPr>
        <w:t>7</w:t>
      </w:r>
      <w:r>
        <w:rPr>
          <w:rFonts w:hint="eastAsia" w:hAnsi="宋体"/>
          <w:color w:val="auto"/>
        </w:rPr>
        <w:t>）报价一览表及报价文件，以及规定格式的首次报价的报价一览表及报价文件的电子文件</w:t>
      </w:r>
    </w:p>
    <w:p>
      <w:pPr>
        <w:pStyle w:val="22"/>
        <w:adjustRightInd w:val="0"/>
        <w:snapToGrid w:val="0"/>
        <w:spacing w:line="360" w:lineRule="auto"/>
        <w:ind w:firstLine="420" w:firstLineChars="200"/>
        <w:rPr>
          <w:rFonts w:hint="eastAsia" w:hAnsi="宋体"/>
          <w:color w:val="auto"/>
        </w:rPr>
      </w:pPr>
      <w:r>
        <w:rPr>
          <w:rFonts w:hint="eastAsia" w:hAnsi="宋体"/>
          <w:color w:val="auto"/>
        </w:rPr>
        <w:t>（</w:t>
      </w:r>
      <w:r>
        <w:rPr>
          <w:rFonts w:hint="eastAsia" w:hAnsi="宋体"/>
          <w:color w:val="auto"/>
          <w:lang w:val="en-US" w:eastAsia="zh-CN"/>
        </w:rPr>
        <w:t>8</w:t>
      </w:r>
      <w:r>
        <w:rPr>
          <w:rFonts w:hint="eastAsia" w:hAnsi="宋体"/>
          <w:color w:val="auto"/>
        </w:rPr>
        <w:t>）供应商认为需提供的其他资料</w:t>
      </w:r>
    </w:p>
    <w:p>
      <w:pPr>
        <w:adjustRightInd w:val="0"/>
        <w:snapToGrid w:val="0"/>
        <w:spacing w:line="360" w:lineRule="auto"/>
        <w:ind w:firstLine="420" w:firstLineChars="200"/>
        <w:rPr>
          <w:rFonts w:hint="eastAsia" w:hAnsi="宋体"/>
        </w:rPr>
      </w:pPr>
      <w:r>
        <w:rPr>
          <w:rFonts w:hint="eastAsia" w:ascii="宋体" w:hAnsi="宋体"/>
        </w:rPr>
        <w:t>15.2在谈判过程中，</w:t>
      </w:r>
      <w:r>
        <w:rPr>
          <w:rFonts w:hint="eastAsia" w:ascii="宋体" w:hAnsi="宋体"/>
          <w:szCs w:val="21"/>
        </w:rPr>
        <w:t>供应商</w:t>
      </w:r>
      <w:r>
        <w:rPr>
          <w:rFonts w:hint="eastAsia" w:ascii="宋体" w:hAnsi="宋体"/>
        </w:rPr>
        <w:t>根据</w:t>
      </w:r>
      <w:r>
        <w:rPr>
          <w:rFonts w:hint="eastAsia" w:ascii="宋体" w:hAnsi="宋体" w:cs="宋体"/>
          <w:kern w:val="0"/>
          <w:szCs w:val="21"/>
        </w:rPr>
        <w:t>谈判小组</w:t>
      </w:r>
      <w:r>
        <w:rPr>
          <w:rFonts w:hint="eastAsia" w:ascii="宋体" w:hAnsi="宋体"/>
          <w:bCs/>
          <w:szCs w:val="21"/>
        </w:rPr>
        <w:t>书面形式要求</w:t>
      </w:r>
      <w:r>
        <w:rPr>
          <w:rFonts w:hint="eastAsia" w:ascii="宋体" w:hAnsi="宋体" w:cs="宋体"/>
          <w:kern w:val="0"/>
          <w:szCs w:val="21"/>
        </w:rPr>
        <w:t>提交的</w:t>
      </w:r>
      <w:r>
        <w:rPr>
          <w:rFonts w:hint="eastAsia" w:hAnsi="宋体"/>
        </w:rPr>
        <w:t>最后报价(或者</w:t>
      </w:r>
      <w:r>
        <w:rPr>
          <w:rFonts w:hint="eastAsia" w:ascii="宋体" w:hAnsi="宋体"/>
          <w:bCs/>
          <w:szCs w:val="21"/>
        </w:rPr>
        <w:t>重</w:t>
      </w:r>
      <w:r>
        <w:rPr>
          <w:rFonts w:hint="eastAsia" w:ascii="宋体" w:hAnsi="宋体" w:cs="宋体"/>
          <w:kern w:val="0"/>
          <w:szCs w:val="21"/>
        </w:rPr>
        <w:t>新提交的响应文件和</w:t>
      </w:r>
      <w:r>
        <w:rPr>
          <w:rFonts w:hint="eastAsia" w:hAnsi="宋体"/>
        </w:rPr>
        <w:t>最后报价)是</w:t>
      </w:r>
      <w:r>
        <w:rPr>
          <w:rFonts w:hint="eastAsia" w:ascii="宋体" w:hAnsi="宋体"/>
          <w:szCs w:val="21"/>
        </w:rPr>
        <w:t>响应文件</w:t>
      </w:r>
      <w:r>
        <w:rPr>
          <w:rFonts w:hint="eastAsia" w:hAnsi="宋体"/>
        </w:rPr>
        <w:t>的有效组成部分。</w:t>
      </w:r>
    </w:p>
    <w:p>
      <w:pPr>
        <w:adjustRightInd w:val="0"/>
        <w:snapToGrid w:val="0"/>
        <w:spacing w:line="360" w:lineRule="auto"/>
        <w:ind w:firstLine="420" w:firstLineChars="200"/>
        <w:rPr>
          <w:rFonts w:hint="eastAsia" w:hAnsi="宋体"/>
        </w:rPr>
      </w:pPr>
      <w:r>
        <w:rPr>
          <w:rFonts w:hint="eastAsia" w:hAnsi="宋体"/>
        </w:rPr>
        <w:t>15.3</w:t>
      </w:r>
      <w:r>
        <w:rPr>
          <w:rFonts w:hint="eastAsia" w:ascii="宋体" w:hAnsi="宋体" w:cs="宋体"/>
          <w:kern w:val="0"/>
          <w:szCs w:val="21"/>
        </w:rPr>
        <w:t>谈判文件规定可能发生实质性变动的，供应商应当在</w:t>
      </w:r>
      <w:r>
        <w:rPr>
          <w:rFonts w:hint="eastAsia" w:hAnsi="宋体"/>
        </w:rPr>
        <w:t>《技术响应与偏离表》、《商务响应与偏离表》中对应内容注明。</w:t>
      </w:r>
    </w:p>
    <w:p>
      <w:pPr>
        <w:adjustRightInd w:val="0"/>
        <w:snapToGrid w:val="0"/>
        <w:spacing w:line="360" w:lineRule="auto"/>
        <w:ind w:firstLine="420" w:firstLineChars="200"/>
        <w:rPr>
          <w:rFonts w:hint="eastAsia" w:ascii="宋体" w:hAnsi="宋体"/>
          <w:szCs w:val="21"/>
        </w:rPr>
      </w:pPr>
      <w:r>
        <w:rPr>
          <w:rFonts w:hint="eastAsia" w:ascii="宋体" w:hAnsi="宋体"/>
        </w:rPr>
        <w:t>15.4</w:t>
      </w:r>
      <w:r>
        <w:rPr>
          <w:rFonts w:hint="eastAsia" w:ascii="宋体" w:hAnsi="宋体"/>
          <w:szCs w:val="21"/>
        </w:rPr>
        <w:t>根据《政府采购法》第四十二条的规定，供应商无论成交与否，其响应文件不予退还。</w:t>
      </w:r>
    </w:p>
    <w:p>
      <w:pPr>
        <w:adjustRightInd w:val="0"/>
        <w:snapToGrid w:val="0"/>
        <w:spacing w:line="360" w:lineRule="auto"/>
        <w:rPr>
          <w:rFonts w:hint="eastAsia" w:ascii="宋体" w:hAnsi="宋体"/>
          <w:b/>
          <w:bCs/>
          <w:szCs w:val="21"/>
        </w:rPr>
      </w:pPr>
      <w:r>
        <w:rPr>
          <w:rFonts w:hint="eastAsia" w:ascii="宋体" w:hAnsi="宋体"/>
          <w:b/>
          <w:bCs/>
          <w:szCs w:val="21"/>
        </w:rPr>
        <w:t>16.报价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16.1供应商应当根据谈判文件要求和范围，以</w:t>
      </w:r>
      <w:r>
        <w:rPr>
          <w:rFonts w:hint="eastAsia" w:ascii="宋体" w:hAnsi="宋体"/>
          <w:bCs/>
          <w:szCs w:val="21"/>
        </w:rPr>
        <w:t>人民币</w:t>
      </w:r>
      <w:r>
        <w:rPr>
          <w:rFonts w:hint="eastAsia" w:ascii="宋体" w:hAnsi="宋体"/>
          <w:szCs w:val="21"/>
        </w:rPr>
        <w:t>报价，以元为单位，保留小数点后两位。</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16.2报价一览表、分项报价表填写报价时应注意下列要求：</w:t>
      </w:r>
    </w:p>
    <w:p>
      <w:pPr>
        <w:pStyle w:val="22"/>
        <w:adjustRightInd w:val="0"/>
        <w:snapToGrid w:val="0"/>
        <w:spacing w:before="156" w:beforeLines="50" w:line="360" w:lineRule="auto"/>
        <w:ind w:firstLine="420" w:firstLineChars="200"/>
        <w:rPr>
          <w:rFonts w:hint="eastAsia" w:hAnsi="宋体"/>
        </w:rPr>
      </w:pPr>
      <w:r>
        <w:rPr>
          <w:rFonts w:hint="eastAsia" w:hAnsi="宋体"/>
        </w:rPr>
        <w:t>（1）技术规格、参数及要求中特别要求的安装、调试、培训及其它附加服务的费用。</w:t>
      </w:r>
    </w:p>
    <w:p>
      <w:pPr>
        <w:pStyle w:val="22"/>
        <w:adjustRightInd w:val="0"/>
        <w:snapToGrid w:val="0"/>
        <w:spacing w:before="156" w:beforeLines="50" w:line="360" w:lineRule="auto"/>
        <w:ind w:firstLine="420" w:firstLineChars="200"/>
        <w:rPr>
          <w:rFonts w:hint="eastAsia" w:hAnsi="宋体"/>
        </w:rPr>
      </w:pPr>
      <w:r>
        <w:rPr>
          <w:rFonts w:hint="eastAsia" w:hAnsi="宋体"/>
        </w:rPr>
        <w:t>（2）所有根据合同或其它原因应由供应商支付和交纳的税款和费用。</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rPr>
        <w:t>（3）</w:t>
      </w:r>
      <w:r>
        <w:rPr>
          <w:rFonts w:hint="eastAsia" w:ascii="宋体" w:hAnsi="宋体"/>
          <w:color w:val="000000"/>
        </w:rPr>
        <w:t>谈判文件</w:t>
      </w:r>
      <w:r>
        <w:rPr>
          <w:rFonts w:hint="eastAsia" w:ascii="宋体" w:hAnsi="宋体"/>
        </w:rPr>
        <w:t>指定交货地点的运输、保险、装卸费。</w:t>
      </w:r>
    </w:p>
    <w:p>
      <w:pPr>
        <w:pStyle w:val="117"/>
        <w:adjustRightInd w:val="0"/>
        <w:snapToGrid w:val="0"/>
        <w:spacing w:line="360" w:lineRule="auto"/>
        <w:ind w:firstLine="420" w:firstLineChars="200"/>
        <w:rPr>
          <w:rFonts w:hint="eastAsia" w:ascii="宋体" w:hAnsi="宋体"/>
        </w:rPr>
      </w:pPr>
      <w:r>
        <w:rPr>
          <w:rFonts w:hint="eastAsia" w:ascii="宋体" w:hAnsi="宋体"/>
        </w:rPr>
        <w:t>16.3供应商应按第四章“采购需求”要求及第五章“响应文件组成”格式填写。供应商在</w:t>
      </w:r>
      <w:r>
        <w:rPr>
          <w:rFonts w:hint="eastAsia" w:ascii="宋体" w:hAnsi="宋体"/>
          <w:bCs/>
        </w:rPr>
        <w:t>本章第12.1</w:t>
      </w:r>
      <w:r>
        <w:rPr>
          <w:rFonts w:hint="eastAsia" w:ascii="宋体" w:hAnsi="宋体" w:cs="宋体"/>
          <w:lang w:val="zh-CN"/>
        </w:rPr>
        <w:t>款</w:t>
      </w:r>
      <w:r>
        <w:rPr>
          <w:rFonts w:hint="eastAsia" w:ascii="宋体" w:hAnsi="宋体"/>
          <w:bCs/>
        </w:rPr>
        <w:t>规定的</w:t>
      </w:r>
      <w:r>
        <w:rPr>
          <w:rFonts w:hint="eastAsia" w:ascii="宋体" w:hAnsi="宋体" w:cs="宋体"/>
        </w:rPr>
        <w:t>提交首次响应文件截止之日前</w:t>
      </w:r>
      <w:r>
        <w:rPr>
          <w:rFonts w:hint="eastAsia" w:ascii="宋体" w:hAnsi="宋体"/>
        </w:rPr>
        <w:t>修改报价一览表中的报价，应同时修改其按第五章要求填写的相应表格中的报价。此修改须符合本章第24.1款的有关要求。</w:t>
      </w:r>
    </w:p>
    <w:p>
      <w:pPr>
        <w:pStyle w:val="22"/>
        <w:adjustRightInd w:val="0"/>
        <w:snapToGrid w:val="0"/>
        <w:spacing w:line="360" w:lineRule="auto"/>
        <w:ind w:firstLine="420" w:firstLineChars="200"/>
        <w:rPr>
          <w:rFonts w:hint="eastAsia" w:hAnsi="宋体"/>
        </w:rPr>
      </w:pPr>
      <w:r>
        <w:rPr>
          <w:rFonts w:hint="eastAsia" w:hAnsi="宋体"/>
        </w:rPr>
        <w:t>16.4响应文件中标明的价格在合同执行过程中是固定不变的，不得以任何理由予以变更。以可变动价格提交的报价将被认为是非实质响应而被拒绝。</w:t>
      </w:r>
    </w:p>
    <w:p>
      <w:pPr>
        <w:pStyle w:val="22"/>
        <w:adjustRightInd w:val="0"/>
        <w:snapToGrid w:val="0"/>
        <w:spacing w:line="360" w:lineRule="auto"/>
        <w:ind w:firstLine="420" w:firstLineChars="200"/>
        <w:rPr>
          <w:rFonts w:hint="eastAsia" w:hAnsi="宋体"/>
        </w:rPr>
      </w:pPr>
      <w:r>
        <w:rPr>
          <w:rFonts w:hint="eastAsia" w:hAnsi="宋体"/>
        </w:rPr>
        <w:t>16.5</w:t>
      </w:r>
      <w:r>
        <w:rPr>
          <w:rFonts w:hint="eastAsia" w:hAnsi="宋体" w:cs="宋体"/>
          <w:kern w:val="0"/>
          <w:lang w:val="zh-CN"/>
        </w:rPr>
        <w:t>供应商</w:t>
      </w:r>
      <w:r>
        <w:rPr>
          <w:rFonts w:hint="eastAsia" w:hAnsi="宋体"/>
        </w:rPr>
        <w:t>的报价不得超过采购项目预算，采购项目预算或其计算方法见</w:t>
      </w:r>
      <w:r>
        <w:rPr>
          <w:rFonts w:hint="eastAsia" w:hAnsi="宋体"/>
          <w:b/>
        </w:rPr>
        <w:t>谈判须知前附表</w:t>
      </w:r>
      <w:r>
        <w:rPr>
          <w:rFonts w:hint="eastAsia" w:hAnsi="宋体"/>
        </w:rPr>
        <w:t>。</w:t>
      </w:r>
    </w:p>
    <w:p>
      <w:pPr>
        <w:pStyle w:val="22"/>
        <w:adjustRightInd w:val="0"/>
        <w:snapToGrid w:val="0"/>
        <w:spacing w:line="360" w:lineRule="auto"/>
        <w:rPr>
          <w:rFonts w:hint="eastAsia"/>
          <w:b/>
        </w:rPr>
      </w:pPr>
      <w:r>
        <w:rPr>
          <w:rFonts w:hint="eastAsia"/>
          <w:b/>
        </w:rPr>
        <w:t>17.供应商符合谈判文件规定的证明文件</w:t>
      </w:r>
    </w:p>
    <w:p>
      <w:pPr>
        <w:adjustRightInd w:val="0"/>
        <w:snapToGrid w:val="0"/>
        <w:spacing w:line="360" w:lineRule="auto"/>
        <w:ind w:firstLine="420" w:firstLineChars="200"/>
        <w:rPr>
          <w:rFonts w:hint="eastAsia" w:ascii="宋体" w:hAnsi="宋体"/>
          <w:szCs w:val="21"/>
        </w:rPr>
      </w:pPr>
      <w:r>
        <w:rPr>
          <w:rFonts w:hint="eastAsia" w:ascii="宋体" w:hAnsi="宋体" w:cs="宋体"/>
          <w:kern w:val="0"/>
          <w:lang w:val="zh-CN"/>
        </w:rPr>
        <w:t>17.1</w:t>
      </w:r>
      <w:r>
        <w:rPr>
          <w:rFonts w:hint="eastAsia" w:ascii="宋体" w:hAnsi="宋体"/>
          <w:szCs w:val="21"/>
        </w:rPr>
        <w:t>在谈判</w:t>
      </w:r>
      <w:r>
        <w:rPr>
          <w:rFonts w:hint="eastAsia" w:ascii="宋体" w:hAnsi="宋体"/>
          <w:bCs/>
          <w:szCs w:val="21"/>
        </w:rPr>
        <w:t>小组确定邀请供应商名单起</w:t>
      </w:r>
      <w:r>
        <w:rPr>
          <w:rFonts w:hint="eastAsia" w:ascii="宋体" w:hAnsi="宋体"/>
          <w:szCs w:val="21"/>
        </w:rPr>
        <w:t>至</w:t>
      </w:r>
      <w:r>
        <w:rPr>
          <w:rFonts w:hint="eastAsia" w:hAnsi="宋体" w:cs="宋体"/>
          <w:kern w:val="0"/>
        </w:rPr>
        <w:t>提交首次响应文件</w:t>
      </w:r>
      <w:r>
        <w:rPr>
          <w:rFonts w:hint="eastAsia" w:ascii="宋体" w:hAnsi="宋体"/>
          <w:szCs w:val="21"/>
        </w:rPr>
        <w:t>止，供应商资格条件发生重大变化，影响或者可能影响资格条件的，供应商应更新或者补充提供的资格证明材料，以证实其各项条件仍能继续满足本章第3.1</w:t>
      </w:r>
      <w:r>
        <w:rPr>
          <w:rFonts w:hint="eastAsia" w:ascii="宋体" w:hAnsi="宋体" w:cs="宋体"/>
          <w:kern w:val="0"/>
          <w:szCs w:val="21"/>
          <w:lang w:val="zh-CN"/>
        </w:rPr>
        <w:t>款</w:t>
      </w:r>
      <w:r>
        <w:rPr>
          <w:rFonts w:hint="eastAsia" w:ascii="宋体" w:hAnsi="宋体"/>
          <w:szCs w:val="21"/>
        </w:rPr>
        <w:t>规定的供应商资格条件要求。</w:t>
      </w:r>
    </w:p>
    <w:p>
      <w:pPr>
        <w:adjustRightInd w:val="0"/>
        <w:snapToGrid w:val="0"/>
        <w:spacing w:line="360" w:lineRule="auto"/>
        <w:ind w:firstLine="420" w:firstLineChars="200"/>
        <w:jc w:val="left"/>
        <w:rPr>
          <w:rFonts w:hint="eastAsia" w:ascii="宋体" w:hAnsi="宋体"/>
        </w:rPr>
      </w:pPr>
      <w:r>
        <w:rPr>
          <w:rFonts w:hint="eastAsia" w:ascii="宋体" w:hAnsi="宋体"/>
          <w:szCs w:val="21"/>
        </w:rPr>
        <w:t>17.2</w:t>
      </w:r>
      <w:r>
        <w:rPr>
          <w:rFonts w:hint="eastAsia" w:ascii="宋体" w:hAnsi="宋体" w:cs="宋体"/>
          <w:kern w:val="0"/>
          <w:lang w:val="zh-CN"/>
        </w:rPr>
        <w:t>供应商</w:t>
      </w:r>
      <w:r>
        <w:rPr>
          <w:rFonts w:hint="eastAsia" w:ascii="宋体" w:hAnsi="宋体"/>
        </w:rPr>
        <w:t>为联合体</w:t>
      </w:r>
      <w:r>
        <w:rPr>
          <w:rFonts w:hint="eastAsia" w:hAnsi="宋体"/>
        </w:rPr>
        <w:t>形式的</w:t>
      </w:r>
      <w:r>
        <w:rPr>
          <w:rFonts w:hint="eastAsia" w:ascii="宋体" w:hAnsi="宋体"/>
        </w:rPr>
        <w:t>，则应提交联合体各方资格文件、联合体协议，否则将视为非实质响应而被拒绝。</w:t>
      </w:r>
    </w:p>
    <w:p>
      <w:pPr>
        <w:pStyle w:val="22"/>
        <w:adjustRightInd w:val="0"/>
        <w:snapToGrid w:val="0"/>
        <w:spacing w:before="156" w:beforeLines="50" w:line="360" w:lineRule="auto"/>
        <w:ind w:firstLine="420" w:firstLineChars="200"/>
        <w:rPr>
          <w:rFonts w:hint="eastAsia" w:hAnsi="宋体"/>
        </w:rPr>
      </w:pPr>
      <w:r>
        <w:rPr>
          <w:rFonts w:hint="eastAsia" w:hAnsi="宋体"/>
        </w:rPr>
        <w:t>17.3 证明货物及其服务与谈判文件要求一致的文件，可以是文字资料、图纸和数据，并须提供：</w:t>
      </w:r>
    </w:p>
    <w:p>
      <w:pPr>
        <w:pStyle w:val="22"/>
        <w:adjustRightInd w:val="0"/>
        <w:snapToGrid w:val="0"/>
        <w:spacing w:before="156" w:beforeLines="50" w:line="360" w:lineRule="auto"/>
        <w:ind w:firstLine="420" w:firstLineChars="200"/>
        <w:rPr>
          <w:rFonts w:hint="eastAsia" w:hAnsi="宋体"/>
        </w:rPr>
      </w:pPr>
      <w:r>
        <w:rPr>
          <w:rFonts w:hint="eastAsia" w:hAnsi="宋体"/>
        </w:rPr>
        <w:t>（1）货物主要性能和参数的详细说明；</w:t>
      </w:r>
    </w:p>
    <w:p>
      <w:pPr>
        <w:pStyle w:val="22"/>
        <w:adjustRightInd w:val="0"/>
        <w:snapToGrid w:val="0"/>
        <w:spacing w:before="156" w:beforeLines="50" w:line="360" w:lineRule="auto"/>
        <w:ind w:firstLine="420" w:firstLineChars="200"/>
        <w:rPr>
          <w:rFonts w:hint="eastAsia" w:hAnsi="宋体"/>
        </w:rPr>
      </w:pPr>
      <w:r>
        <w:rPr>
          <w:rFonts w:hint="eastAsia" w:hAnsi="宋体"/>
        </w:rPr>
        <w:t>（2）对照谈判文件技术规格，逐条说明所提供货物和服务对技术规格响应与偏离表，并申明技术规格条文的响应或偏离。对有具体参数要求的指标，</w:t>
      </w:r>
      <w:r>
        <w:rPr>
          <w:rFonts w:hint="eastAsia" w:hAnsi="宋体"/>
          <w:bCs/>
          <w:color w:val="000000"/>
        </w:rPr>
        <w:t>供应商</w:t>
      </w:r>
      <w:r>
        <w:rPr>
          <w:rFonts w:hint="eastAsia" w:hAnsi="宋体"/>
        </w:rPr>
        <w:t>应提供具体参数值。</w:t>
      </w:r>
    </w:p>
    <w:p>
      <w:pPr>
        <w:adjustRightInd w:val="0"/>
        <w:snapToGrid w:val="0"/>
        <w:spacing w:before="156" w:beforeLines="50" w:line="360" w:lineRule="auto"/>
        <w:ind w:firstLine="420" w:firstLineChars="200"/>
        <w:jc w:val="left"/>
        <w:rPr>
          <w:rFonts w:hint="eastAsia" w:ascii="宋体" w:hAnsi="宋体"/>
          <w:szCs w:val="21"/>
        </w:rPr>
      </w:pPr>
      <w:r>
        <w:rPr>
          <w:rFonts w:hint="eastAsia" w:ascii="宋体" w:hAnsi="宋体"/>
          <w:szCs w:val="21"/>
        </w:rPr>
        <w:t>17.4 除</w:t>
      </w:r>
      <w:r>
        <w:rPr>
          <w:rFonts w:hint="eastAsia" w:ascii="宋体" w:hAnsi="宋体"/>
          <w:b/>
          <w:szCs w:val="21"/>
        </w:rPr>
        <w:t>谈判须知前附表</w:t>
      </w:r>
      <w:r>
        <w:rPr>
          <w:rFonts w:hint="eastAsia" w:ascii="宋体" w:hAnsi="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ind w:firstLine="420" w:firstLineChars="200"/>
        <w:jc w:val="left"/>
        <w:rPr>
          <w:rFonts w:hint="eastAsia" w:ascii="宋体" w:hAnsi="宋体"/>
          <w:szCs w:val="21"/>
        </w:rPr>
      </w:pPr>
      <w:r>
        <w:rPr>
          <w:rFonts w:hint="eastAsia" w:ascii="宋体" w:hAnsi="宋体"/>
          <w:szCs w:val="21"/>
        </w:rPr>
        <w:t xml:space="preserve">17.5 </w:t>
      </w:r>
      <w:r>
        <w:rPr>
          <w:rFonts w:hint="eastAsia" w:ascii="宋体" w:hAnsi="宋体"/>
          <w:b/>
          <w:color w:val="000000"/>
        </w:rPr>
        <w:t>谈判</w:t>
      </w:r>
      <w:r>
        <w:rPr>
          <w:rFonts w:hint="eastAsia" w:ascii="宋体" w:hAnsi="宋体"/>
          <w:b/>
        </w:rPr>
        <w:t>须知前附表</w:t>
      </w:r>
      <w:r>
        <w:rPr>
          <w:rFonts w:hint="eastAsia" w:ascii="宋体" w:hAnsi="宋体"/>
          <w:szCs w:val="21"/>
        </w:rPr>
        <w:t>规定</w:t>
      </w:r>
      <w:r>
        <w:rPr>
          <w:rFonts w:hint="eastAsia" w:ascii="宋体" w:hAnsi="宋体"/>
          <w:bCs/>
          <w:color w:val="000000"/>
        </w:rPr>
        <w:t>供应商</w:t>
      </w:r>
      <w:r>
        <w:rPr>
          <w:rFonts w:hint="eastAsia" w:ascii="宋体" w:hAnsi="宋体"/>
          <w:szCs w:val="21"/>
        </w:rPr>
        <w:t>在</w:t>
      </w:r>
      <w:r>
        <w:rPr>
          <w:rFonts w:hint="eastAsia" w:ascii="宋体" w:hAnsi="宋体"/>
          <w:color w:val="000000"/>
        </w:rPr>
        <w:t>谈判</w:t>
      </w:r>
      <w:r>
        <w:rPr>
          <w:rFonts w:hint="eastAsia" w:ascii="宋体" w:hAnsi="宋体"/>
          <w:szCs w:val="21"/>
        </w:rPr>
        <w:t>时提供样品的，</w:t>
      </w:r>
      <w:r>
        <w:rPr>
          <w:rFonts w:hint="eastAsia" w:ascii="宋体" w:hAnsi="宋体"/>
          <w:bCs/>
          <w:color w:val="000000"/>
        </w:rPr>
        <w:t>供应商</w:t>
      </w:r>
      <w:r>
        <w:rPr>
          <w:rFonts w:ascii="宋体" w:hAnsi="宋体"/>
          <w:szCs w:val="21"/>
        </w:rPr>
        <w:t>有以下情形之一的</w:t>
      </w:r>
      <w:r>
        <w:rPr>
          <w:rFonts w:hint="eastAsia" w:ascii="宋体" w:hAnsi="宋体"/>
          <w:szCs w:val="21"/>
        </w:rPr>
        <w:t>，在评审时将其视为无效响应。</w:t>
      </w:r>
    </w:p>
    <w:p>
      <w:pPr>
        <w:adjustRightInd w:val="0"/>
        <w:snapToGrid w:val="0"/>
        <w:spacing w:before="156" w:beforeLines="50" w:line="360" w:lineRule="auto"/>
        <w:ind w:firstLine="420" w:firstLineChars="200"/>
        <w:jc w:val="left"/>
        <w:rPr>
          <w:rFonts w:hint="eastAsia" w:ascii="宋体" w:hAnsi="宋体"/>
          <w:szCs w:val="21"/>
        </w:rPr>
      </w:pPr>
      <w:r>
        <w:rPr>
          <w:rFonts w:hint="eastAsia" w:ascii="宋体" w:hAnsi="宋体"/>
          <w:szCs w:val="21"/>
        </w:rPr>
        <w:t>（1）未在</w:t>
      </w:r>
      <w:r>
        <w:rPr>
          <w:rFonts w:hint="eastAsia" w:ascii="宋体" w:hAnsi="宋体"/>
          <w:b/>
          <w:color w:val="000000"/>
        </w:rPr>
        <w:t>谈判</w:t>
      </w:r>
      <w:r>
        <w:rPr>
          <w:rFonts w:hint="eastAsia" w:ascii="宋体" w:hAnsi="宋体"/>
          <w:b/>
        </w:rPr>
        <w:t>须知前附表</w:t>
      </w:r>
      <w:r>
        <w:rPr>
          <w:rFonts w:hint="eastAsia" w:ascii="宋体" w:hAnsi="宋体"/>
          <w:szCs w:val="21"/>
        </w:rPr>
        <w:t>规定的提交时间、地点提交</w:t>
      </w:r>
      <w:r>
        <w:rPr>
          <w:rFonts w:ascii="宋体" w:hAnsi="宋体"/>
          <w:szCs w:val="21"/>
        </w:rPr>
        <w:t>的</w:t>
      </w:r>
      <w:r>
        <w:rPr>
          <w:rFonts w:hint="eastAsia" w:ascii="宋体" w:hAnsi="宋体"/>
          <w:szCs w:val="21"/>
        </w:rPr>
        <w:t>；</w:t>
      </w:r>
    </w:p>
    <w:p>
      <w:pPr>
        <w:adjustRightInd w:val="0"/>
        <w:snapToGrid w:val="0"/>
        <w:spacing w:before="156" w:beforeLines="50" w:line="360" w:lineRule="auto"/>
        <w:ind w:firstLine="420" w:firstLineChars="200"/>
        <w:jc w:val="left"/>
        <w:rPr>
          <w:rFonts w:hint="eastAsia" w:ascii="宋体" w:hAnsi="宋体"/>
          <w:szCs w:val="21"/>
        </w:rPr>
      </w:pPr>
      <w:r>
        <w:rPr>
          <w:rFonts w:hint="eastAsia" w:ascii="宋体" w:hAnsi="宋体"/>
          <w:szCs w:val="21"/>
        </w:rPr>
        <w:t>（2）</w:t>
      </w:r>
      <w:r>
        <w:rPr>
          <w:rFonts w:hint="eastAsia" w:ascii="宋体" w:hAnsi="宋体"/>
          <w:bCs/>
          <w:color w:val="000000"/>
        </w:rPr>
        <w:t>供应商</w:t>
      </w:r>
      <w:r>
        <w:rPr>
          <w:rFonts w:hint="eastAsia" w:ascii="宋体" w:hAnsi="宋体"/>
          <w:szCs w:val="21"/>
        </w:rPr>
        <w:t>提供的样品与响应文件中提供样品的型号、规格不一致</w:t>
      </w:r>
      <w:r>
        <w:rPr>
          <w:rFonts w:ascii="宋体" w:hAnsi="宋体"/>
          <w:szCs w:val="21"/>
        </w:rPr>
        <w:t>的</w:t>
      </w:r>
      <w:r>
        <w:rPr>
          <w:rFonts w:hint="eastAsia" w:ascii="宋体" w:hAnsi="宋体"/>
          <w:szCs w:val="21"/>
        </w:rPr>
        <w:t>。</w:t>
      </w:r>
    </w:p>
    <w:p>
      <w:pPr>
        <w:adjustRightInd w:val="0"/>
        <w:snapToGrid w:val="0"/>
        <w:spacing w:line="360" w:lineRule="auto"/>
        <w:rPr>
          <w:rFonts w:hint="eastAsia" w:ascii="宋体" w:hAnsi="宋体"/>
          <w:b/>
          <w:bCs/>
          <w:szCs w:val="21"/>
        </w:rPr>
      </w:pPr>
      <w:r>
        <w:rPr>
          <w:rFonts w:hint="eastAsia" w:ascii="宋体" w:hAnsi="宋体"/>
          <w:b/>
          <w:bCs/>
          <w:szCs w:val="21"/>
        </w:rPr>
        <w:t>18.保证金</w:t>
      </w:r>
    </w:p>
    <w:p>
      <w:pPr>
        <w:pStyle w:val="22"/>
        <w:adjustRightInd w:val="0"/>
        <w:snapToGrid w:val="0"/>
        <w:spacing w:line="360" w:lineRule="auto"/>
        <w:ind w:firstLine="420" w:firstLineChars="200"/>
        <w:rPr>
          <w:rFonts w:hint="eastAsia" w:hAnsi="宋体"/>
          <w:bCs/>
        </w:rPr>
      </w:pPr>
      <w:r>
        <w:rPr>
          <w:rFonts w:hint="eastAsia" w:hAnsi="宋体"/>
        </w:rPr>
        <w:t>18.1</w:t>
      </w:r>
      <w:r>
        <w:rPr>
          <w:rFonts w:hint="eastAsia" w:hAnsi="宋体"/>
          <w:b/>
        </w:rPr>
        <w:t>谈判须知前附表</w:t>
      </w:r>
      <w:r>
        <w:rPr>
          <w:rFonts w:hint="eastAsia" w:hAnsi="宋体"/>
        </w:rPr>
        <w:t>规定交纳</w:t>
      </w:r>
      <w:r>
        <w:rPr>
          <w:rFonts w:hint="eastAsia" w:hAnsi="宋体"/>
          <w:bCs/>
        </w:rPr>
        <w:t>保证金的</w:t>
      </w:r>
      <w:r>
        <w:rPr>
          <w:rFonts w:hint="eastAsia" w:hAnsi="宋体"/>
        </w:rPr>
        <w:t>，应按</w:t>
      </w:r>
      <w:r>
        <w:rPr>
          <w:rFonts w:hint="eastAsia" w:hAnsi="宋体"/>
          <w:b/>
        </w:rPr>
        <w:t>谈判须知前附表</w:t>
      </w:r>
      <w:r>
        <w:rPr>
          <w:rFonts w:hint="eastAsia" w:hAnsi="宋体"/>
        </w:rPr>
        <w:t>规定的</w:t>
      </w:r>
      <w:r>
        <w:rPr>
          <w:rFonts w:hint="eastAsia" w:hAnsi="宋体"/>
          <w:bCs/>
        </w:rPr>
        <w:t>保证金形式交纳，不得以现金方式交纳</w:t>
      </w:r>
      <w:r>
        <w:rPr>
          <w:rFonts w:hint="eastAsia" w:hAnsi="宋体"/>
        </w:rPr>
        <w:t>，在本章第12.1</w:t>
      </w:r>
      <w:r>
        <w:rPr>
          <w:rFonts w:hint="eastAsia" w:hAnsi="宋体" w:cs="宋体"/>
          <w:kern w:val="0"/>
          <w:lang w:val="zh-CN"/>
        </w:rPr>
        <w:t>款</w:t>
      </w:r>
      <w:r>
        <w:rPr>
          <w:rFonts w:hint="eastAsia" w:hAnsi="宋体"/>
        </w:rPr>
        <w:t>规定的</w:t>
      </w:r>
      <w:r>
        <w:rPr>
          <w:rFonts w:hint="eastAsia" w:hAnsi="宋体" w:cs="宋体"/>
          <w:kern w:val="0"/>
        </w:rPr>
        <w:t>提交首次响应文件截止时间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采购项目预算2﹪</w:t>
      </w:r>
      <w:r>
        <w:rPr>
          <w:rFonts w:hint="eastAsia" w:hAnsi="宋体"/>
          <w:bCs/>
        </w:rPr>
        <w:t>的保证金(数额采用四舍五入，计算至元)</w:t>
      </w:r>
      <w:r>
        <w:rPr>
          <w:rFonts w:hint="eastAsia" w:hAnsi="宋体"/>
        </w:rPr>
        <w:t>。</w:t>
      </w:r>
      <w:r>
        <w:rPr>
          <w:rFonts w:hint="eastAsia" w:hAnsi="宋体"/>
          <w:bCs/>
        </w:rPr>
        <w:t>保证金有效期应当与</w:t>
      </w:r>
      <w:r>
        <w:rPr>
          <w:rFonts w:hint="eastAsia" w:hAnsi="宋体"/>
        </w:rPr>
        <w:t>本章第19.1</w:t>
      </w:r>
      <w:r>
        <w:rPr>
          <w:rFonts w:hint="eastAsia" w:hAnsi="宋体" w:cs="宋体"/>
          <w:kern w:val="0"/>
          <w:lang w:val="zh-CN"/>
        </w:rPr>
        <w:t>款</w:t>
      </w:r>
      <w:r>
        <w:rPr>
          <w:rFonts w:hint="eastAsia" w:hAnsi="宋体"/>
        </w:rPr>
        <w:t>规定的</w:t>
      </w:r>
      <w:r>
        <w:rPr>
          <w:rFonts w:hint="eastAsia" w:hAnsi="宋体"/>
          <w:bCs/>
        </w:rPr>
        <w:t>响应文件有效期一致。</w:t>
      </w:r>
    </w:p>
    <w:p>
      <w:pPr>
        <w:adjustRightInd w:val="0"/>
        <w:snapToGrid w:val="0"/>
        <w:spacing w:line="360" w:lineRule="auto"/>
        <w:ind w:firstLine="420" w:firstLineChars="200"/>
        <w:rPr>
          <w:rFonts w:hint="eastAsia" w:ascii="宋体" w:hAnsi="宋体"/>
          <w:b/>
          <w:szCs w:val="21"/>
        </w:rPr>
      </w:pPr>
      <w:r>
        <w:rPr>
          <w:rFonts w:hint="eastAsia" w:ascii="宋体" w:hAnsi="宋体"/>
          <w:szCs w:val="21"/>
        </w:rPr>
        <w:t>18.2</w:t>
      </w:r>
      <w:r>
        <w:rPr>
          <w:rFonts w:hint="eastAsia" w:ascii="宋体" w:hAnsi="宋体" w:cs="宋体"/>
          <w:kern w:val="0"/>
          <w:szCs w:val="21"/>
          <w:lang w:val="zh-CN"/>
        </w:rPr>
        <w:t>供应商为联合体的，可以由联合体中的一方或者共同交纳保证金，其交纳的保证金，对联合体各方均具有约束力。</w:t>
      </w:r>
    </w:p>
    <w:p>
      <w:pPr>
        <w:pStyle w:val="22"/>
        <w:adjustRightInd w:val="0"/>
        <w:snapToGrid w:val="0"/>
        <w:spacing w:line="360" w:lineRule="auto"/>
        <w:ind w:firstLine="420" w:firstLineChars="200"/>
        <w:rPr>
          <w:rFonts w:hint="eastAsia" w:hAnsi="宋体"/>
        </w:rPr>
      </w:pPr>
      <w:r>
        <w:rPr>
          <w:rFonts w:hint="eastAsia" w:hAnsi="宋体"/>
        </w:rPr>
        <w:t>18.3 未按谈判文件规定提交保证金的，</w:t>
      </w:r>
      <w:r>
        <w:rPr>
          <w:rFonts w:hint="eastAsia" w:hAnsi="宋体"/>
          <w:bCs/>
        </w:rPr>
        <w:t>采购人或采购代理机构应当拒绝接收供应商的响应文件</w:t>
      </w:r>
      <w:r>
        <w:rPr>
          <w:rFonts w:hint="eastAsia" w:hAnsi="宋体"/>
        </w:rPr>
        <w:t>。</w:t>
      </w:r>
    </w:p>
    <w:p>
      <w:pPr>
        <w:pStyle w:val="22"/>
        <w:tabs>
          <w:tab w:val="left" w:pos="6300"/>
        </w:tabs>
        <w:adjustRightInd w:val="0"/>
        <w:snapToGrid w:val="0"/>
        <w:spacing w:line="360" w:lineRule="auto"/>
        <w:ind w:firstLine="420" w:firstLineChars="200"/>
        <w:rPr>
          <w:rFonts w:hint="eastAsia" w:hAnsi="宋体"/>
        </w:rPr>
      </w:pPr>
      <w:r>
        <w:rPr>
          <w:rFonts w:hint="eastAsia" w:hAnsi="宋体"/>
        </w:rPr>
        <w:t>18.4采购代理机构在成交通知书发出后5个工作日内退还未成交供应商的保证金；在采购合同签定后5个工作日内退还成交供应商的保证金，但因供应商自身原因导致无法及时退还的除外。</w:t>
      </w:r>
    </w:p>
    <w:p>
      <w:pPr>
        <w:pStyle w:val="22"/>
        <w:adjustRightInd w:val="0"/>
        <w:snapToGrid w:val="0"/>
        <w:spacing w:line="360" w:lineRule="auto"/>
        <w:ind w:firstLine="420" w:firstLineChars="200"/>
        <w:rPr>
          <w:rFonts w:hint="eastAsia"/>
          <w:kern w:val="0"/>
        </w:rPr>
      </w:pPr>
      <w:r>
        <w:rPr>
          <w:rFonts w:hint="eastAsia"/>
        </w:rPr>
        <w:t xml:space="preserve">18.5 </w:t>
      </w:r>
      <w:r>
        <w:rPr>
          <w:rFonts w:hint="eastAsia"/>
          <w:kern w:val="0"/>
        </w:rPr>
        <w:t>有下列情形之一的，保证金不予退还，并上缴本级财政国库：</w:t>
      </w:r>
    </w:p>
    <w:p>
      <w:pPr>
        <w:pStyle w:val="22"/>
        <w:adjustRightInd w:val="0"/>
        <w:snapToGrid w:val="0"/>
        <w:spacing w:before="156" w:beforeLines="50" w:line="360" w:lineRule="auto"/>
        <w:ind w:firstLine="420" w:firstLineChars="200"/>
        <w:rPr>
          <w:rFonts w:hint="eastAsia" w:hAnsi="宋体"/>
        </w:rPr>
      </w:pPr>
      <w:r>
        <w:rPr>
          <w:rFonts w:hint="eastAsia" w:hAnsi="宋体"/>
        </w:rPr>
        <w:t>（1）供应商在本章第12.1项规定的谈判开始之日后撤回响应文件的；</w:t>
      </w:r>
    </w:p>
    <w:p>
      <w:pPr>
        <w:pStyle w:val="22"/>
        <w:adjustRightInd w:val="0"/>
        <w:snapToGrid w:val="0"/>
        <w:spacing w:before="156" w:beforeLines="50" w:line="360" w:lineRule="auto"/>
        <w:ind w:firstLine="420" w:firstLineChars="200"/>
        <w:rPr>
          <w:rFonts w:hint="eastAsia" w:hAnsi="宋体"/>
        </w:rPr>
      </w:pPr>
      <w:r>
        <w:rPr>
          <w:rFonts w:hint="eastAsia" w:hAnsi="宋体"/>
        </w:rPr>
        <w:t>（2）供应商在响应文件中提供虚假材料或虚假承诺的；</w:t>
      </w:r>
    </w:p>
    <w:p>
      <w:pPr>
        <w:pStyle w:val="22"/>
        <w:adjustRightInd w:val="0"/>
        <w:snapToGrid w:val="0"/>
        <w:spacing w:before="156" w:beforeLines="50" w:line="360" w:lineRule="auto"/>
        <w:ind w:firstLine="420" w:firstLineChars="200"/>
        <w:rPr>
          <w:rFonts w:hint="eastAsia" w:hAnsi="宋体"/>
        </w:rPr>
      </w:pPr>
      <w:r>
        <w:rPr>
          <w:rFonts w:hint="eastAsia" w:hAnsi="宋体"/>
        </w:rPr>
        <w:t>（3）确定成交结果后，无正当理由放弃成交资格的；</w:t>
      </w:r>
    </w:p>
    <w:p>
      <w:pPr>
        <w:pStyle w:val="22"/>
        <w:adjustRightInd w:val="0"/>
        <w:snapToGrid w:val="0"/>
        <w:spacing w:before="156" w:beforeLines="50" w:line="360" w:lineRule="auto"/>
        <w:ind w:firstLine="420" w:firstLineChars="200"/>
        <w:rPr>
          <w:rFonts w:hint="eastAsia" w:hAnsi="宋体"/>
        </w:rPr>
      </w:pPr>
      <w:r>
        <w:rPr>
          <w:rFonts w:hint="eastAsia" w:hAnsi="宋体"/>
        </w:rPr>
        <w:t>（4）成交供应商无正当理由不与采购人签定合同的，或转让、分包项目以及拒绝履行合同义务的；</w:t>
      </w:r>
    </w:p>
    <w:p>
      <w:pPr>
        <w:pStyle w:val="22"/>
        <w:adjustRightInd w:val="0"/>
        <w:snapToGrid w:val="0"/>
        <w:spacing w:before="156" w:beforeLines="50" w:line="360" w:lineRule="auto"/>
        <w:ind w:firstLine="525" w:firstLineChars="250"/>
        <w:rPr>
          <w:rFonts w:hint="eastAsia" w:hAnsi="宋体"/>
        </w:rPr>
      </w:pPr>
      <w:r>
        <w:rPr>
          <w:rFonts w:hint="eastAsia" w:hAnsi="宋体"/>
        </w:rPr>
        <w:t>(5)供应商与采购人、其他供应商或者采购代理机构恶意串通的；</w:t>
      </w:r>
    </w:p>
    <w:p>
      <w:pPr>
        <w:pStyle w:val="22"/>
        <w:adjustRightInd w:val="0"/>
        <w:snapToGrid w:val="0"/>
        <w:spacing w:before="156" w:beforeLines="50" w:line="360" w:lineRule="auto"/>
        <w:ind w:firstLine="420" w:firstLineChars="200"/>
        <w:rPr>
          <w:rFonts w:hint="eastAsia" w:hAnsi="宋体"/>
        </w:rPr>
      </w:pPr>
      <w:r>
        <w:rPr>
          <w:rFonts w:hint="eastAsia" w:hAnsi="宋体"/>
        </w:rPr>
        <w:t>（6）谈判文件规定的其他情形。</w:t>
      </w:r>
    </w:p>
    <w:p>
      <w:pPr>
        <w:adjustRightInd w:val="0"/>
        <w:snapToGrid w:val="0"/>
        <w:spacing w:line="360" w:lineRule="auto"/>
        <w:rPr>
          <w:rFonts w:hint="eastAsia" w:ascii="宋体" w:hAnsi="宋体"/>
          <w:b/>
          <w:bCs/>
          <w:szCs w:val="21"/>
        </w:rPr>
      </w:pPr>
      <w:r>
        <w:rPr>
          <w:rFonts w:hint="eastAsia" w:ascii="宋体" w:hAnsi="宋体"/>
          <w:b/>
          <w:bCs/>
          <w:szCs w:val="21"/>
        </w:rPr>
        <w:t>19.</w:t>
      </w:r>
      <w:r>
        <w:rPr>
          <w:rFonts w:hint="eastAsia" w:ascii="宋体" w:hAnsi="宋体"/>
          <w:szCs w:val="21"/>
        </w:rPr>
        <w:t xml:space="preserve"> </w:t>
      </w:r>
      <w:r>
        <w:rPr>
          <w:rFonts w:hint="eastAsia" w:hAnsi="宋体"/>
          <w:b/>
        </w:rPr>
        <w:t>响应文件</w:t>
      </w:r>
      <w:r>
        <w:rPr>
          <w:rFonts w:hint="eastAsia" w:ascii="宋体" w:hAnsi="宋体"/>
          <w:b/>
          <w:szCs w:val="21"/>
        </w:rPr>
        <w:t>有效期</w:t>
      </w:r>
    </w:p>
    <w:p>
      <w:pPr>
        <w:adjustRightInd w:val="0"/>
        <w:snapToGrid w:val="0"/>
        <w:spacing w:line="360" w:lineRule="auto"/>
        <w:ind w:firstLine="420" w:firstLineChars="200"/>
        <w:jc w:val="left"/>
        <w:rPr>
          <w:rFonts w:hint="eastAsia" w:hAnsi="宋体"/>
        </w:rPr>
      </w:pPr>
      <w:r>
        <w:rPr>
          <w:rFonts w:hint="eastAsia" w:ascii="宋体" w:hAnsi="宋体"/>
        </w:rPr>
        <w:t>19.1响应文件</w:t>
      </w:r>
      <w:r>
        <w:rPr>
          <w:rFonts w:hint="eastAsia" w:ascii="宋体" w:hAnsi="宋体"/>
          <w:szCs w:val="21"/>
        </w:rPr>
        <w:t>有效期见</w:t>
      </w:r>
      <w:r>
        <w:rPr>
          <w:rFonts w:hint="eastAsia" w:ascii="宋体" w:hAnsi="宋体"/>
          <w:b/>
        </w:rPr>
        <w:t>谈判须知前附表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ascii="宋体" w:hAnsi="宋体"/>
        </w:rPr>
        <w:t>本章第12.1</w:t>
      </w:r>
      <w:r>
        <w:rPr>
          <w:rFonts w:hint="eastAsia" w:ascii="宋体" w:hAnsi="宋体" w:cs="宋体"/>
          <w:kern w:val="0"/>
          <w:szCs w:val="21"/>
          <w:lang w:val="zh-CN"/>
        </w:rPr>
        <w:t>款</w:t>
      </w:r>
      <w:r>
        <w:rPr>
          <w:rFonts w:hint="eastAsia" w:hAnsi="宋体"/>
        </w:rPr>
        <w:t>规定的</w:t>
      </w:r>
      <w:r>
        <w:rPr>
          <w:rFonts w:hint="eastAsia" w:ascii="宋体" w:hAnsi="宋体" w:cs="宋体"/>
          <w:kern w:val="0"/>
          <w:szCs w:val="21"/>
        </w:rPr>
        <w:t>提交首次响应文件截止时间</w:t>
      </w:r>
      <w:r>
        <w:rPr>
          <w:rFonts w:hint="eastAsia" w:hAnsi="宋体"/>
        </w:rPr>
        <w:t>之日</w:t>
      </w:r>
      <w:r>
        <w:rPr>
          <w:rFonts w:hint="eastAsia" w:hAnsi="宋体" w:cs="Arial"/>
        </w:rPr>
        <w:t>起计算。</w:t>
      </w:r>
      <w:r>
        <w:rPr>
          <w:rFonts w:hint="eastAsia" w:hAnsi="宋体"/>
        </w:rPr>
        <w:t>响应文件有效期不足的将被视为无效响应。</w:t>
      </w:r>
    </w:p>
    <w:p>
      <w:pPr>
        <w:adjustRightInd w:val="0"/>
        <w:snapToGrid w:val="0"/>
        <w:spacing w:line="360" w:lineRule="auto"/>
        <w:rPr>
          <w:rFonts w:hint="eastAsia" w:ascii="宋体" w:hAnsi="宋体"/>
          <w:b/>
          <w:bCs/>
          <w:szCs w:val="21"/>
        </w:rPr>
      </w:pPr>
      <w:r>
        <w:rPr>
          <w:rFonts w:hint="eastAsia" w:ascii="宋体" w:hAnsi="宋体"/>
          <w:b/>
          <w:bCs/>
          <w:szCs w:val="21"/>
        </w:rPr>
        <w:t>20.响应文件的签署及规定</w:t>
      </w:r>
    </w:p>
    <w:p>
      <w:pPr>
        <w:pStyle w:val="22"/>
        <w:adjustRightInd w:val="0"/>
        <w:snapToGrid w:val="0"/>
        <w:spacing w:line="360" w:lineRule="auto"/>
        <w:ind w:firstLine="420" w:firstLineChars="200"/>
        <w:rPr>
          <w:rFonts w:hint="eastAsia" w:hAnsi="宋体"/>
        </w:rPr>
      </w:pPr>
      <w:r>
        <w:rPr>
          <w:rFonts w:hint="eastAsia" w:hAnsi="宋体"/>
        </w:rPr>
        <w:t>20.1响应文件的正本和副本应装订成册，正本一份，副本份数见</w:t>
      </w:r>
      <w:r>
        <w:rPr>
          <w:rFonts w:hint="eastAsia" w:hAnsi="宋体"/>
          <w:b/>
        </w:rPr>
        <w:t>谈判须知前附表</w:t>
      </w:r>
      <w:r>
        <w:rPr>
          <w:rFonts w:hint="eastAsia" w:hAnsi="宋体"/>
        </w:rPr>
        <w:t>。正本和副本的封面上应标记“正本”或“副本”的字样，当正本和副本有差异时，以正本为准。</w:t>
      </w:r>
    </w:p>
    <w:p>
      <w:pPr>
        <w:pStyle w:val="22"/>
        <w:adjustRightInd w:val="0"/>
        <w:snapToGrid w:val="0"/>
        <w:spacing w:line="360" w:lineRule="auto"/>
        <w:ind w:firstLine="420" w:firstLineChars="200"/>
        <w:rPr>
          <w:rFonts w:hint="eastAsia" w:hAnsi="宋体"/>
        </w:rPr>
      </w:pPr>
      <w:r>
        <w:rPr>
          <w:rFonts w:hint="eastAsia" w:hAnsi="宋体"/>
        </w:rPr>
        <w:t>20.2 响应文件正本和副本应按谈判文件要求签章处盖单位章和由法定代表人或其委托代理人签字；任何加行、涂改、增删，应有法定代表人或其委托代理人在旁边签字。否则，将导致响应文件无效。</w:t>
      </w:r>
    </w:p>
    <w:p>
      <w:pPr>
        <w:pStyle w:val="22"/>
        <w:adjustRightInd w:val="0"/>
        <w:snapToGrid w:val="0"/>
        <w:spacing w:line="360" w:lineRule="auto"/>
        <w:ind w:firstLine="420" w:firstLineChars="200"/>
        <w:rPr>
          <w:rFonts w:hint="eastAsia" w:hAnsi="宋体"/>
        </w:rPr>
      </w:pPr>
      <w:r>
        <w:rPr>
          <w:rFonts w:hint="eastAsia" w:hAnsi="宋体"/>
        </w:rPr>
        <w:t>20.3 在谈判过程中，供应商按谈判文件规定和谈判小组要求</w:t>
      </w:r>
      <w:r>
        <w:rPr>
          <w:rFonts w:hint="eastAsia" w:hAnsi="宋体" w:cs="宋体"/>
          <w:kern w:val="0"/>
        </w:rPr>
        <w:t>提交的</w:t>
      </w:r>
      <w:r>
        <w:rPr>
          <w:rFonts w:hint="eastAsia" w:hAnsi="宋体"/>
        </w:rPr>
        <w:t>最后报价(或者</w:t>
      </w:r>
      <w:r>
        <w:rPr>
          <w:rFonts w:hint="eastAsia" w:hAnsi="宋体"/>
          <w:bCs/>
        </w:rPr>
        <w:t>重</w:t>
      </w:r>
      <w:r>
        <w:rPr>
          <w:rFonts w:hint="eastAsia" w:hAnsi="宋体" w:cs="宋体"/>
          <w:kern w:val="0"/>
        </w:rPr>
        <w:t>新提交的响应文件和</w:t>
      </w:r>
      <w:r>
        <w:rPr>
          <w:rFonts w:hint="eastAsia" w:hAnsi="宋体"/>
        </w:rPr>
        <w:t>最后报价)，一式两份，可打印或用不退色墨水书写，但需经法定代表人或其委托代理人签字，</w:t>
      </w:r>
      <w:r>
        <w:rPr>
          <w:rFonts w:hint="eastAsia" w:hAnsi="宋体" w:cs="宋体"/>
          <w:kern w:val="0"/>
        </w:rPr>
        <w:t>或者加盖供应商单位章</w:t>
      </w:r>
      <w:r>
        <w:rPr>
          <w:rFonts w:hint="eastAsia" w:hAnsi="宋体"/>
        </w:rPr>
        <w:t>。否则，将导致响应文件无效。</w:t>
      </w:r>
    </w:p>
    <w:p>
      <w:pPr>
        <w:adjustRightInd w:val="0"/>
        <w:snapToGrid w:val="0"/>
        <w:spacing w:line="360" w:lineRule="auto"/>
        <w:rPr>
          <w:rFonts w:hint="eastAsia" w:ascii="黑体" w:hAnsi="宋体" w:eastAsia="黑体"/>
          <w:b/>
          <w:sz w:val="24"/>
        </w:rPr>
      </w:pPr>
      <w:r>
        <w:rPr>
          <w:rFonts w:hint="eastAsia" w:ascii="黑体" w:hAnsi="宋体" w:eastAsia="黑体"/>
          <w:b/>
          <w:sz w:val="24"/>
        </w:rPr>
        <w:t>四、响应文件的递交</w:t>
      </w:r>
    </w:p>
    <w:p>
      <w:pPr>
        <w:adjustRightInd w:val="0"/>
        <w:snapToGrid w:val="0"/>
        <w:spacing w:line="360" w:lineRule="auto"/>
        <w:rPr>
          <w:rFonts w:hint="eastAsia" w:ascii="宋体" w:hAnsi="宋体"/>
          <w:b/>
          <w:bCs/>
          <w:szCs w:val="21"/>
        </w:rPr>
      </w:pPr>
      <w:r>
        <w:rPr>
          <w:rFonts w:hint="eastAsia" w:ascii="宋体" w:hAnsi="宋体"/>
          <w:b/>
          <w:bCs/>
          <w:szCs w:val="21"/>
        </w:rPr>
        <w:t>21.</w:t>
      </w:r>
      <w:r>
        <w:rPr>
          <w:rFonts w:hint="eastAsia" w:ascii="宋体" w:hAnsi="宋体"/>
          <w:b/>
          <w:szCs w:val="21"/>
        </w:rPr>
        <w:t>响应文件</w:t>
      </w:r>
      <w:r>
        <w:rPr>
          <w:rFonts w:hint="eastAsia" w:ascii="宋体" w:hAnsi="宋体"/>
          <w:b/>
          <w:bCs/>
          <w:szCs w:val="21"/>
        </w:rPr>
        <w:t>的密封和标记</w:t>
      </w:r>
    </w:p>
    <w:p>
      <w:pPr>
        <w:pStyle w:val="22"/>
        <w:adjustRightInd w:val="0"/>
        <w:snapToGrid w:val="0"/>
        <w:spacing w:line="360" w:lineRule="auto"/>
        <w:ind w:firstLine="420" w:firstLineChars="200"/>
        <w:rPr>
          <w:rFonts w:hint="eastAsia" w:hAnsi="宋体"/>
        </w:rPr>
      </w:pPr>
      <w:r>
        <w:rPr>
          <w:rFonts w:hint="eastAsia" w:hAnsi="宋体"/>
        </w:rPr>
        <w:t>21.1响应文件应密封包装，在封套两端折叠封口处加贴封条，并盖供应商单位章或者由法定代表人或其委托代理人签字。</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21.2响应文件封套上应写明的内容见</w:t>
      </w:r>
      <w:r>
        <w:rPr>
          <w:rFonts w:hint="eastAsia" w:ascii="宋体" w:hAnsi="宋体"/>
          <w:b/>
          <w:szCs w:val="21"/>
        </w:rPr>
        <w:t>谈判须知前附表。</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21.3响应文件如果未按上述规定密封和加写标记，采购人或采购代理机构将拒绝接收。</w:t>
      </w:r>
    </w:p>
    <w:p>
      <w:pPr>
        <w:adjustRightInd w:val="0"/>
        <w:snapToGrid w:val="0"/>
        <w:spacing w:line="360" w:lineRule="auto"/>
        <w:rPr>
          <w:rFonts w:hint="eastAsia" w:ascii="宋体" w:hAnsi="宋体"/>
          <w:b/>
          <w:bCs/>
          <w:szCs w:val="21"/>
        </w:rPr>
      </w:pPr>
      <w:r>
        <w:rPr>
          <w:rFonts w:hint="eastAsia" w:ascii="宋体" w:hAnsi="宋体"/>
          <w:b/>
          <w:bCs/>
          <w:szCs w:val="21"/>
        </w:rPr>
        <w:t>22.响应文件的</w:t>
      </w:r>
      <w:r>
        <w:rPr>
          <w:rFonts w:hint="eastAsia" w:ascii="宋体" w:hAnsi="宋体" w:cs="宋体"/>
          <w:b/>
          <w:kern w:val="0"/>
          <w:szCs w:val="21"/>
          <w:lang w:val="zh-CN"/>
        </w:rPr>
        <w:t>补充、修改或者撤回</w:t>
      </w:r>
    </w:p>
    <w:p>
      <w:pPr>
        <w:pStyle w:val="22"/>
        <w:adjustRightInd w:val="0"/>
        <w:snapToGrid w:val="0"/>
        <w:spacing w:line="360" w:lineRule="auto"/>
        <w:ind w:firstLine="420" w:firstLineChars="200"/>
        <w:rPr>
          <w:rFonts w:hint="eastAsia" w:hAnsi="宋体"/>
        </w:rPr>
      </w:pPr>
      <w:r>
        <w:rPr>
          <w:rFonts w:hint="eastAsia" w:hAnsi="宋体"/>
        </w:rPr>
        <w:t>22.1</w:t>
      </w:r>
      <w:r>
        <w:rPr>
          <w:rFonts w:hint="eastAsia" w:hAnsi="宋体" w:cs="宋体"/>
          <w:kern w:val="0"/>
        </w:rPr>
        <w:t>供应商在</w:t>
      </w:r>
      <w:r>
        <w:rPr>
          <w:rFonts w:hint="eastAsia" w:hAnsi="宋体"/>
        </w:rPr>
        <w:t>本章第12.1</w:t>
      </w:r>
      <w:r>
        <w:rPr>
          <w:rFonts w:hint="eastAsia" w:hAnsi="宋体" w:cs="宋体"/>
          <w:kern w:val="0"/>
          <w:lang w:val="zh-CN"/>
        </w:rPr>
        <w:t>款</w:t>
      </w:r>
      <w:r>
        <w:rPr>
          <w:rFonts w:hint="eastAsia" w:hAnsi="宋体"/>
        </w:rPr>
        <w:t>规定的</w:t>
      </w:r>
      <w:r>
        <w:rPr>
          <w:rFonts w:hint="eastAsia" w:hAnsi="宋体" w:cs="宋体"/>
          <w:kern w:val="0"/>
        </w:rPr>
        <w:t>提交首次响应文件截止时间前，可以对所提交的首次响应文件进行补充、修改或者撤回，并书面通知采购人、采购代理机构。</w:t>
      </w:r>
      <w:r>
        <w:rPr>
          <w:rFonts w:hint="eastAsia" w:hAnsi="宋体"/>
        </w:rPr>
        <w:t>该通知应有供应商法定代表人或其委托代理人签字。</w:t>
      </w:r>
    </w:p>
    <w:p>
      <w:pPr>
        <w:pStyle w:val="22"/>
        <w:adjustRightInd w:val="0"/>
        <w:snapToGrid w:val="0"/>
        <w:spacing w:line="360" w:lineRule="auto"/>
        <w:ind w:firstLine="420" w:firstLineChars="200"/>
        <w:rPr>
          <w:rFonts w:hint="eastAsia" w:hAnsi="宋体"/>
        </w:rPr>
      </w:pPr>
      <w:r>
        <w:rPr>
          <w:rFonts w:hint="eastAsia" w:hAnsi="宋体"/>
        </w:rPr>
        <w:t>22.2</w:t>
      </w:r>
      <w:r>
        <w:rPr>
          <w:rFonts w:hint="eastAsia" w:hAnsi="宋体" w:cs="宋体"/>
          <w:kern w:val="0"/>
          <w:lang w:val="zh-CN"/>
        </w:rPr>
        <w:t>补充、修改的内容与响应文件不一致时，以补充、修改的内容为准。</w:t>
      </w:r>
    </w:p>
    <w:p>
      <w:pPr>
        <w:adjustRightInd w:val="0"/>
        <w:snapToGrid w:val="0"/>
        <w:spacing w:line="360" w:lineRule="auto"/>
        <w:rPr>
          <w:rFonts w:hint="eastAsia" w:ascii="宋体" w:hAnsi="宋体"/>
          <w:b/>
          <w:bCs/>
          <w:szCs w:val="21"/>
        </w:rPr>
      </w:pPr>
      <w:r>
        <w:rPr>
          <w:rFonts w:hint="eastAsia" w:ascii="宋体" w:hAnsi="宋体"/>
          <w:b/>
          <w:bCs/>
          <w:szCs w:val="21"/>
        </w:rPr>
        <w:t>23.响应文件的递交与接收</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23.1 供应商应在</w:t>
      </w:r>
      <w:r>
        <w:rPr>
          <w:rFonts w:hint="eastAsia" w:hAnsi="宋体"/>
        </w:rPr>
        <w:t>本章第</w:t>
      </w:r>
      <w:r>
        <w:rPr>
          <w:rFonts w:hint="eastAsia" w:ascii="宋体" w:hAnsi="宋体"/>
        </w:rPr>
        <w:t>12.1</w:t>
      </w:r>
      <w:r>
        <w:rPr>
          <w:rFonts w:hint="eastAsia" w:ascii="宋体" w:hAnsi="宋体" w:cs="宋体"/>
          <w:kern w:val="0"/>
          <w:szCs w:val="21"/>
          <w:lang w:val="zh-CN"/>
        </w:rPr>
        <w:t>款</w:t>
      </w:r>
      <w:r>
        <w:rPr>
          <w:rFonts w:hint="eastAsia" w:hAnsi="宋体"/>
        </w:rPr>
        <w:t>规定的</w:t>
      </w:r>
      <w:r>
        <w:rPr>
          <w:rFonts w:hint="eastAsia" w:ascii="宋体" w:hAnsi="宋体" w:cs="宋体"/>
          <w:kern w:val="0"/>
          <w:szCs w:val="21"/>
        </w:rPr>
        <w:t>提交首次响应文件截止时间</w:t>
      </w:r>
      <w:r>
        <w:rPr>
          <w:rFonts w:hint="eastAsia" w:ascii="宋体" w:hAnsi="宋体"/>
          <w:szCs w:val="21"/>
        </w:rPr>
        <w:t>前，将响应文件送</w:t>
      </w:r>
      <w:r>
        <w:rPr>
          <w:rFonts w:hint="eastAsia" w:ascii="宋体" w:hAnsi="宋体" w:cs="Arial"/>
          <w:szCs w:val="21"/>
        </w:rPr>
        <w:t>达</w:t>
      </w:r>
      <w:r>
        <w:rPr>
          <w:rFonts w:hint="eastAsia" w:ascii="宋体" w:hAnsi="宋体"/>
          <w:b/>
          <w:szCs w:val="21"/>
        </w:rPr>
        <w:t>谈判须知前附表</w:t>
      </w:r>
      <w:r>
        <w:rPr>
          <w:rFonts w:hint="eastAsia" w:ascii="宋体" w:hAnsi="宋体"/>
          <w:szCs w:val="21"/>
        </w:rPr>
        <w:t>中指定的地点。</w:t>
      </w:r>
      <w:r>
        <w:rPr>
          <w:rFonts w:hint="eastAsia" w:hAnsi="宋体" w:cs="宋体"/>
          <w:kern w:val="0"/>
        </w:rPr>
        <w:t>在截止时间后送达的响应文件，采购人、采购代理机构或者谈判小组应当拒收。</w:t>
      </w:r>
    </w:p>
    <w:p>
      <w:pPr>
        <w:pStyle w:val="22"/>
        <w:adjustRightInd w:val="0"/>
        <w:snapToGrid w:val="0"/>
        <w:spacing w:line="360" w:lineRule="auto"/>
        <w:ind w:firstLine="420" w:firstLineChars="200"/>
        <w:rPr>
          <w:rFonts w:hint="eastAsia" w:hAnsi="宋体"/>
        </w:rPr>
      </w:pPr>
      <w:r>
        <w:rPr>
          <w:rFonts w:hint="eastAsia" w:hAnsi="宋体"/>
        </w:rPr>
        <w:t>23.2</w:t>
      </w:r>
      <w:r>
        <w:rPr>
          <w:rFonts w:hint="eastAsia" w:hAnsi="宋体" w:cs="宋体"/>
          <w:kern w:val="0"/>
        </w:rPr>
        <w:t>在</w:t>
      </w:r>
      <w:r>
        <w:rPr>
          <w:rFonts w:hint="eastAsia" w:hAnsi="宋体"/>
        </w:rPr>
        <w:t>本章第12.1</w:t>
      </w:r>
      <w:r>
        <w:rPr>
          <w:rFonts w:hint="eastAsia" w:hAnsi="宋体" w:cs="宋体"/>
          <w:kern w:val="0"/>
          <w:lang w:val="zh-CN"/>
        </w:rPr>
        <w:t>款</w:t>
      </w:r>
      <w:r>
        <w:rPr>
          <w:rFonts w:hint="eastAsia" w:hAnsi="宋体"/>
        </w:rPr>
        <w:t>规定的</w:t>
      </w:r>
      <w:r>
        <w:rPr>
          <w:rFonts w:hint="eastAsia" w:hAnsi="宋体" w:cs="宋体"/>
          <w:kern w:val="0"/>
        </w:rPr>
        <w:t>提交首次响应文件截止时间后，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不当场拆封</w:t>
      </w:r>
      <w:r>
        <w:rPr>
          <w:rFonts w:hint="eastAsia" w:hAnsi="宋体"/>
          <w:bCs/>
        </w:rPr>
        <w:t>响应文件</w:t>
      </w:r>
      <w:r>
        <w:rPr>
          <w:rFonts w:hint="eastAsia" w:hAnsi="宋体"/>
        </w:rPr>
        <w:t>。</w:t>
      </w:r>
    </w:p>
    <w:p>
      <w:pPr>
        <w:adjustRightInd w:val="0"/>
        <w:snapToGrid w:val="0"/>
        <w:spacing w:line="360" w:lineRule="auto"/>
        <w:ind w:left="723" w:hanging="723" w:hangingChars="300"/>
        <w:rPr>
          <w:rFonts w:hint="eastAsia" w:ascii="黑体" w:hAnsi="宋体" w:eastAsia="黑体"/>
          <w:b/>
          <w:sz w:val="24"/>
        </w:rPr>
      </w:pPr>
      <w:r>
        <w:rPr>
          <w:rFonts w:hint="eastAsia" w:ascii="黑体" w:hAnsi="宋体" w:eastAsia="黑体"/>
          <w:b/>
          <w:bCs/>
          <w:sz w:val="24"/>
        </w:rPr>
        <w:t>五、响应文件的</w:t>
      </w:r>
      <w:r>
        <w:rPr>
          <w:rFonts w:hint="eastAsia" w:ascii="黑体" w:hAnsi="宋体" w:eastAsia="黑体"/>
          <w:b/>
          <w:sz w:val="24"/>
        </w:rPr>
        <w:t>评审与谈判</w:t>
      </w:r>
    </w:p>
    <w:p>
      <w:pPr>
        <w:tabs>
          <w:tab w:val="left" w:pos="0"/>
        </w:tabs>
        <w:adjustRightInd w:val="0"/>
        <w:snapToGrid w:val="0"/>
        <w:spacing w:line="360" w:lineRule="auto"/>
        <w:rPr>
          <w:rFonts w:hint="eastAsia" w:ascii="宋体" w:hAnsi="宋体"/>
          <w:b/>
          <w:szCs w:val="21"/>
        </w:rPr>
      </w:pPr>
      <w:r>
        <w:rPr>
          <w:rFonts w:hint="eastAsia" w:ascii="宋体" w:hAnsi="宋体"/>
          <w:b/>
          <w:szCs w:val="21"/>
        </w:rPr>
        <w:t>24.供应商资格审查</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24.1供应商有本章</w:t>
      </w:r>
      <w:r>
        <w:rPr>
          <w:rFonts w:hint="eastAsia" w:ascii="宋体" w:hAnsi="宋体"/>
        </w:rPr>
        <w:t>第17.1</w:t>
      </w:r>
      <w:r>
        <w:rPr>
          <w:rFonts w:hint="eastAsia" w:ascii="宋体" w:hAnsi="宋体" w:cs="宋体"/>
          <w:kern w:val="0"/>
          <w:szCs w:val="21"/>
          <w:lang w:val="zh-CN"/>
        </w:rPr>
        <w:t>款</w:t>
      </w:r>
      <w:r>
        <w:rPr>
          <w:rFonts w:hint="eastAsia" w:ascii="宋体" w:hAnsi="宋体"/>
        </w:rPr>
        <w:t>情形的，</w:t>
      </w:r>
      <w:r>
        <w:rPr>
          <w:rFonts w:hint="eastAsia" w:ascii="宋体" w:hAnsi="宋体"/>
          <w:szCs w:val="21"/>
        </w:rPr>
        <w:t>谈判</w:t>
      </w:r>
      <w:r>
        <w:rPr>
          <w:rFonts w:hint="eastAsia" w:ascii="宋体" w:hAnsi="宋体"/>
          <w:bCs/>
          <w:szCs w:val="21"/>
        </w:rPr>
        <w:t>小组将</w:t>
      </w:r>
      <w:r>
        <w:rPr>
          <w:rFonts w:hint="eastAsia" w:ascii="宋体" w:hAnsi="宋体"/>
          <w:szCs w:val="21"/>
        </w:rPr>
        <w:t>根据本章第3.1</w:t>
      </w:r>
      <w:r>
        <w:rPr>
          <w:rFonts w:hint="eastAsia" w:ascii="宋体" w:hAnsi="宋体" w:cs="宋体"/>
          <w:kern w:val="0"/>
          <w:szCs w:val="21"/>
          <w:lang w:val="zh-CN"/>
        </w:rPr>
        <w:t>款</w:t>
      </w:r>
      <w:r>
        <w:rPr>
          <w:rFonts w:hint="eastAsia" w:ascii="宋体" w:hAnsi="宋体"/>
          <w:szCs w:val="21"/>
        </w:rPr>
        <w:t>规定的供应商资格条件要求，对更新或补充提供的资格证明材料进行审查。不满足资格条件的，视为无效响应。</w:t>
      </w:r>
    </w:p>
    <w:p>
      <w:pPr>
        <w:adjustRightInd w:val="0"/>
        <w:snapToGrid w:val="0"/>
        <w:spacing w:line="360" w:lineRule="auto"/>
        <w:ind w:firstLine="420" w:firstLineChars="200"/>
        <w:jc w:val="left"/>
        <w:rPr>
          <w:rFonts w:hint="eastAsia" w:ascii="宋体" w:hAnsi="宋体" w:cs="宋体"/>
          <w:kern w:val="0"/>
          <w:szCs w:val="21"/>
          <w:lang w:val="zh-CN"/>
        </w:rPr>
      </w:pPr>
      <w:r>
        <w:rPr>
          <w:rFonts w:hint="eastAsia" w:ascii="宋体" w:hAnsi="宋体"/>
          <w:szCs w:val="21"/>
        </w:rPr>
        <w:t>24.2供应商</w:t>
      </w:r>
      <w:r>
        <w:rPr>
          <w:rFonts w:hint="eastAsia" w:ascii="宋体" w:hAnsi="宋体" w:cs="宋体"/>
          <w:kern w:val="0"/>
          <w:szCs w:val="21"/>
          <w:lang w:val="zh-CN"/>
        </w:rPr>
        <w:t>为联合体的，</w:t>
      </w:r>
      <w:r>
        <w:rPr>
          <w:rFonts w:hint="eastAsia" w:ascii="宋体" w:hAnsi="宋体"/>
          <w:szCs w:val="21"/>
        </w:rPr>
        <w:t>谈判</w:t>
      </w:r>
      <w:r>
        <w:rPr>
          <w:rFonts w:hint="eastAsia" w:ascii="宋体" w:hAnsi="宋体"/>
          <w:bCs/>
          <w:szCs w:val="21"/>
        </w:rPr>
        <w:t>小组将</w:t>
      </w:r>
      <w:r>
        <w:rPr>
          <w:rFonts w:hint="eastAsia" w:ascii="宋体" w:hAnsi="宋体"/>
          <w:szCs w:val="21"/>
        </w:rPr>
        <w:t>根据本章第6.2</w:t>
      </w:r>
      <w:r>
        <w:rPr>
          <w:rFonts w:hint="eastAsia" w:ascii="宋体" w:hAnsi="宋体" w:cs="宋体"/>
          <w:kern w:val="0"/>
          <w:szCs w:val="21"/>
          <w:lang w:val="zh-CN"/>
        </w:rPr>
        <w:t>款</w:t>
      </w:r>
      <w:r>
        <w:rPr>
          <w:rFonts w:hint="eastAsia" w:ascii="宋体" w:hAnsi="宋体"/>
          <w:szCs w:val="21"/>
        </w:rPr>
        <w:t>的规定对</w:t>
      </w:r>
      <w:r>
        <w:rPr>
          <w:rFonts w:hint="eastAsia" w:ascii="宋体" w:hAnsi="宋体"/>
        </w:rPr>
        <w:t>联合体各方资格文件、联合体协议</w:t>
      </w:r>
      <w:r>
        <w:rPr>
          <w:rFonts w:hint="eastAsia" w:ascii="宋体" w:hAnsi="宋体"/>
          <w:szCs w:val="21"/>
        </w:rPr>
        <w:t>进行审查</w:t>
      </w:r>
      <w:r>
        <w:rPr>
          <w:rFonts w:hint="eastAsia" w:ascii="宋体" w:hAnsi="宋体"/>
        </w:rPr>
        <w:t>，</w:t>
      </w:r>
      <w:r>
        <w:rPr>
          <w:rFonts w:hint="eastAsia" w:ascii="宋体" w:hAnsi="宋体"/>
          <w:szCs w:val="21"/>
        </w:rPr>
        <w:t>不满足资格条件的，视为无效响应。</w:t>
      </w:r>
    </w:p>
    <w:p>
      <w:pPr>
        <w:adjustRightInd w:val="0"/>
        <w:snapToGrid w:val="0"/>
        <w:spacing w:line="360" w:lineRule="auto"/>
        <w:ind w:firstLine="420" w:firstLineChars="200"/>
        <w:rPr>
          <w:rFonts w:hint="eastAsia" w:hAnsi="宋体"/>
        </w:rPr>
      </w:pPr>
      <w:r>
        <w:rPr>
          <w:rFonts w:hint="eastAsia" w:ascii="宋体" w:hAnsi="宋体"/>
          <w:szCs w:val="21"/>
        </w:rPr>
        <w:t>24.3除本章</w:t>
      </w:r>
      <w:r>
        <w:rPr>
          <w:rFonts w:hint="eastAsia" w:ascii="宋体" w:hAnsi="宋体"/>
        </w:rPr>
        <w:t>第17.1</w:t>
      </w:r>
      <w:r>
        <w:rPr>
          <w:rFonts w:hint="eastAsia" w:ascii="宋体" w:hAnsi="宋体" w:cs="宋体"/>
          <w:kern w:val="0"/>
          <w:szCs w:val="21"/>
          <w:lang w:val="zh-CN"/>
        </w:rPr>
        <w:t>款、</w:t>
      </w:r>
      <w:r>
        <w:rPr>
          <w:rFonts w:hint="eastAsia" w:ascii="宋体" w:hAnsi="宋体"/>
        </w:rPr>
        <w:t>第17.2</w:t>
      </w:r>
      <w:r>
        <w:rPr>
          <w:rFonts w:hint="eastAsia" w:ascii="宋体" w:hAnsi="宋体" w:cs="宋体"/>
          <w:kern w:val="0"/>
          <w:szCs w:val="21"/>
          <w:lang w:val="zh-CN"/>
        </w:rPr>
        <w:t>款</w:t>
      </w:r>
      <w:r>
        <w:rPr>
          <w:rFonts w:hint="eastAsia" w:ascii="宋体" w:hAnsi="宋体"/>
        </w:rPr>
        <w:t>情形外，</w:t>
      </w:r>
      <w:r>
        <w:rPr>
          <w:rFonts w:hint="eastAsia" w:hAnsi="宋体"/>
        </w:rPr>
        <w:t>谈判小组不再对供应商进行资格审查。</w:t>
      </w:r>
    </w:p>
    <w:p>
      <w:pPr>
        <w:tabs>
          <w:tab w:val="left" w:pos="0"/>
        </w:tabs>
        <w:adjustRightInd w:val="0"/>
        <w:snapToGrid w:val="0"/>
        <w:spacing w:line="360" w:lineRule="auto"/>
        <w:rPr>
          <w:rFonts w:hint="eastAsia" w:ascii="宋体" w:hAnsi="宋体"/>
          <w:b/>
          <w:bCs/>
          <w:szCs w:val="21"/>
        </w:rPr>
      </w:pPr>
      <w:r>
        <w:rPr>
          <w:rFonts w:hint="eastAsia" w:ascii="宋体" w:hAnsi="宋体"/>
          <w:b/>
          <w:bCs/>
          <w:szCs w:val="21"/>
        </w:rPr>
        <w:t>25.谈判程序</w:t>
      </w:r>
    </w:p>
    <w:p>
      <w:pPr>
        <w:widowControl/>
        <w:adjustRightInd w:val="0"/>
        <w:snapToGrid w:val="0"/>
        <w:spacing w:line="360" w:lineRule="auto"/>
        <w:ind w:firstLine="420"/>
        <w:jc w:val="left"/>
        <w:rPr>
          <w:rFonts w:hint="eastAsia" w:ascii="宋体" w:hAnsi="宋体"/>
          <w:bCs/>
          <w:szCs w:val="21"/>
        </w:rPr>
      </w:pPr>
      <w:r>
        <w:rPr>
          <w:rFonts w:hint="eastAsia" w:ascii="宋体" w:hAnsi="宋体" w:cs="宋体"/>
          <w:kern w:val="0"/>
          <w:szCs w:val="21"/>
        </w:rPr>
        <w:t>25.1谈判程序：初步审查、谈判（包括澄清、符合性评审查）、</w:t>
      </w:r>
      <w:r>
        <w:rPr>
          <w:rFonts w:hint="eastAsia" w:ascii="宋体" w:hAnsi="宋体"/>
          <w:bCs/>
          <w:szCs w:val="21"/>
        </w:rPr>
        <w:t>提出成交供应商。其中，</w:t>
      </w:r>
      <w:r>
        <w:rPr>
          <w:rFonts w:hint="eastAsia" w:ascii="宋体" w:hAnsi="宋体" w:cs="宋体"/>
          <w:kern w:val="0"/>
          <w:szCs w:val="21"/>
        </w:rPr>
        <w:t>谈判按</w:t>
      </w:r>
      <w:r>
        <w:rPr>
          <w:rFonts w:hint="eastAsia" w:ascii="宋体" w:hAnsi="宋体"/>
          <w:szCs w:val="21"/>
        </w:rPr>
        <w:t>本章</w:t>
      </w:r>
      <w:r>
        <w:rPr>
          <w:rFonts w:hint="eastAsia" w:hAnsi="宋体"/>
        </w:rPr>
        <w:t>第</w:t>
      </w:r>
      <w:r>
        <w:rPr>
          <w:rFonts w:hint="eastAsia" w:ascii="宋体" w:hAnsi="宋体"/>
        </w:rPr>
        <w:t>30.1</w:t>
      </w:r>
      <w:r>
        <w:rPr>
          <w:rFonts w:hint="eastAsia" w:ascii="宋体" w:hAnsi="宋体" w:cs="宋体"/>
          <w:kern w:val="0"/>
          <w:szCs w:val="21"/>
          <w:lang w:val="zh-CN"/>
        </w:rPr>
        <w:t>款或者</w:t>
      </w:r>
      <w:r>
        <w:rPr>
          <w:rFonts w:hint="eastAsia" w:ascii="宋体" w:hAnsi="宋体"/>
        </w:rPr>
        <w:t>第30.2</w:t>
      </w:r>
      <w:r>
        <w:rPr>
          <w:rFonts w:hint="eastAsia" w:ascii="宋体" w:hAnsi="宋体" w:cs="宋体"/>
          <w:kern w:val="0"/>
          <w:szCs w:val="21"/>
          <w:lang w:val="zh-CN"/>
        </w:rPr>
        <w:t>款</w:t>
      </w:r>
      <w:r>
        <w:rPr>
          <w:rFonts w:hint="eastAsia" w:hAnsi="宋体"/>
        </w:rPr>
        <w:t>情形</w:t>
      </w:r>
      <w:r>
        <w:rPr>
          <w:rFonts w:hint="eastAsia" w:ascii="宋体" w:hAnsi="宋体"/>
          <w:bCs/>
          <w:szCs w:val="21"/>
        </w:rPr>
        <w:t>进行。</w:t>
      </w:r>
    </w:p>
    <w:p>
      <w:pPr>
        <w:widowControl/>
        <w:adjustRightInd w:val="0"/>
        <w:snapToGrid w:val="0"/>
        <w:spacing w:line="360" w:lineRule="auto"/>
        <w:rPr>
          <w:rFonts w:hint="eastAsia" w:ascii="宋体" w:hAnsi="宋体" w:cs="宋体"/>
          <w:b/>
          <w:kern w:val="0"/>
          <w:szCs w:val="21"/>
        </w:rPr>
      </w:pPr>
      <w:r>
        <w:rPr>
          <w:rFonts w:hint="eastAsia" w:ascii="宋体" w:hAnsi="宋体"/>
          <w:b/>
          <w:bCs/>
          <w:szCs w:val="21"/>
        </w:rPr>
        <w:t>26.初步</w:t>
      </w:r>
      <w:r>
        <w:rPr>
          <w:rFonts w:hint="eastAsia" w:ascii="宋体" w:hAnsi="宋体" w:cs="宋体"/>
          <w:b/>
          <w:kern w:val="0"/>
          <w:szCs w:val="21"/>
        </w:rPr>
        <w:t>审查</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26.1谈判小组应当对供应商</w:t>
      </w:r>
      <w:r>
        <w:rPr>
          <w:rFonts w:hint="eastAsia" w:hAnsi="宋体" w:cs="宋体"/>
          <w:kern w:val="0"/>
        </w:rPr>
        <w:t>提交的首次</w:t>
      </w:r>
      <w:r>
        <w:rPr>
          <w:rFonts w:hint="eastAsia" w:ascii="宋体" w:hAnsi="宋体" w:cs="宋体"/>
          <w:kern w:val="0"/>
          <w:szCs w:val="21"/>
        </w:rPr>
        <w:t>响应文件进行初步审查。</w:t>
      </w:r>
      <w:r>
        <w:rPr>
          <w:rFonts w:hint="eastAsia" w:ascii="宋体" w:hAnsi="宋体"/>
          <w:bCs/>
          <w:szCs w:val="21"/>
        </w:rPr>
        <w:t>响应文件有下列情况之一，</w:t>
      </w:r>
      <w:r>
        <w:rPr>
          <w:rFonts w:hint="eastAsia" w:ascii="宋体" w:hAnsi="宋体" w:cs="宋体"/>
          <w:kern w:val="0"/>
          <w:szCs w:val="21"/>
          <w:lang w:val="zh-CN"/>
        </w:rPr>
        <w:t>其响应文件无效，</w:t>
      </w:r>
      <w:r>
        <w:rPr>
          <w:rFonts w:hint="eastAsia" w:ascii="宋体" w:hAnsi="宋体" w:cs="宋体"/>
          <w:kern w:val="0"/>
          <w:szCs w:val="21"/>
        </w:rPr>
        <w:t>谈判小组应当告知有关供应商。</w:t>
      </w:r>
    </w:p>
    <w:p>
      <w:pPr>
        <w:adjustRightInd w:val="0"/>
        <w:snapToGrid w:val="0"/>
        <w:spacing w:line="360" w:lineRule="auto"/>
        <w:ind w:firstLine="420" w:firstLineChars="200"/>
        <w:rPr>
          <w:rFonts w:hint="eastAsia" w:ascii="宋体" w:hAnsi="宋体"/>
          <w:bCs/>
          <w:szCs w:val="21"/>
        </w:rPr>
      </w:pPr>
      <w:r>
        <w:rPr>
          <w:rFonts w:hint="eastAsia" w:ascii="宋体" w:hAnsi="宋体" w:cs="宋体"/>
          <w:kern w:val="0"/>
          <w:szCs w:val="21"/>
        </w:rPr>
        <w:t>（1）</w:t>
      </w:r>
      <w:r>
        <w:rPr>
          <w:rFonts w:hint="eastAsia" w:ascii="宋体" w:hAnsi="宋体"/>
          <w:szCs w:val="21"/>
        </w:rPr>
        <w:t>应交未交保证金或</w:t>
      </w:r>
      <w:r>
        <w:rPr>
          <w:rFonts w:hint="eastAsia"/>
          <w:szCs w:val="21"/>
        </w:rPr>
        <w:t>金额不足、保证金形式不符合谈判文件要求的</w:t>
      </w:r>
      <w:r>
        <w:rPr>
          <w:rFonts w:hint="eastAsia" w:ascii="宋体" w:hAnsi="宋体"/>
          <w:szCs w:val="21"/>
        </w:rPr>
        <w:t>；</w:t>
      </w:r>
    </w:p>
    <w:p>
      <w:pPr>
        <w:tabs>
          <w:tab w:val="left" w:pos="735"/>
          <w:tab w:val="left" w:pos="7560"/>
          <w:tab w:val="left" w:pos="7740"/>
          <w:tab w:val="left" w:pos="7920"/>
        </w:tabs>
        <w:adjustRightInd w:val="0"/>
        <w:snapToGrid w:val="0"/>
        <w:spacing w:line="360" w:lineRule="auto"/>
        <w:ind w:right="300" w:rightChars="143" w:firstLine="420" w:firstLineChars="200"/>
        <w:rPr>
          <w:rFonts w:hint="eastAsia" w:ascii="宋体" w:hAnsi="宋体"/>
          <w:szCs w:val="21"/>
        </w:rPr>
      </w:pPr>
      <w:r>
        <w:rPr>
          <w:rFonts w:hint="eastAsia" w:ascii="宋体" w:hAnsi="宋体" w:cs="宋体"/>
          <w:kern w:val="0"/>
          <w:szCs w:val="21"/>
        </w:rPr>
        <w:t>（2）</w:t>
      </w:r>
      <w:r>
        <w:rPr>
          <w:rFonts w:hint="eastAsia" w:ascii="宋体" w:hAnsi="宋体"/>
          <w:szCs w:val="21"/>
        </w:rPr>
        <w:t>未按照谈判文件规定要求签署、盖章的；</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（3）</w:t>
      </w:r>
      <w:r>
        <w:rPr>
          <w:rFonts w:hint="eastAsia" w:ascii="宋体" w:hAnsi="宋体"/>
          <w:szCs w:val="21"/>
        </w:rPr>
        <w:t>响应</w:t>
      </w:r>
      <w:r>
        <w:rPr>
          <w:rFonts w:hint="eastAsia" w:ascii="宋体" w:hAnsi="宋体" w:cs="宋体"/>
          <w:kern w:val="0"/>
          <w:szCs w:val="21"/>
        </w:rPr>
        <w:t>文件有效期不足的；</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（4）不符合法律、规章、规范性文件和谈判文件规定的。</w:t>
      </w:r>
    </w:p>
    <w:p>
      <w:pPr>
        <w:pStyle w:val="22"/>
        <w:adjustRightInd w:val="0"/>
        <w:snapToGrid w:val="0"/>
        <w:spacing w:line="360" w:lineRule="auto"/>
        <w:rPr>
          <w:rFonts w:hint="eastAsia" w:hAnsi="宋体" w:cs="宋体"/>
          <w:b/>
          <w:kern w:val="0"/>
        </w:rPr>
      </w:pPr>
      <w:r>
        <w:rPr>
          <w:rFonts w:hint="eastAsia" w:hAnsi="宋体" w:cs="宋体"/>
          <w:b/>
          <w:kern w:val="0"/>
        </w:rPr>
        <w:t>27.实质性响应</w:t>
      </w:r>
    </w:p>
    <w:p>
      <w:pPr>
        <w:pStyle w:val="22"/>
        <w:adjustRightInd w:val="0"/>
        <w:snapToGrid w:val="0"/>
        <w:spacing w:line="360" w:lineRule="auto"/>
        <w:ind w:firstLine="420" w:firstLineChars="200"/>
        <w:rPr>
          <w:rFonts w:hint="eastAsia" w:hAnsi="宋体" w:cs="Arial"/>
          <w:kern w:val="0"/>
          <w:u w:val="single"/>
        </w:rPr>
      </w:pPr>
      <w:r>
        <w:rPr>
          <w:rFonts w:hint="eastAsia" w:hAnsi="宋体" w:cs="宋体"/>
          <w:kern w:val="0"/>
        </w:rPr>
        <w:t>27.1</w:t>
      </w:r>
      <w:r>
        <w:rPr>
          <w:rFonts w:hint="eastAsia" w:hAnsi="宋体"/>
        </w:rPr>
        <w:t>实质性响应是指响应文件(包括首次响应文件、重新提交的响应文件)与谈判文件要求的所有条款、条件和规格相符，没有偏离。偏离</w:t>
      </w:r>
      <w:r>
        <w:rPr>
          <w:rFonts w:hint="eastAsia"/>
        </w:rPr>
        <w:t>指不满足、或不响应</w:t>
      </w:r>
      <w:r>
        <w:rPr>
          <w:rFonts w:hint="eastAsia" w:hAnsi="宋体"/>
        </w:rPr>
        <w:t>谈判文件</w:t>
      </w:r>
      <w:r>
        <w:rPr>
          <w:rFonts w:hint="eastAsia"/>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hint="eastAsia" w:ascii="宋体" w:hAnsi="宋体"/>
          <w:szCs w:val="21"/>
        </w:rPr>
      </w:pPr>
      <w:r>
        <w:rPr>
          <w:rFonts w:hint="eastAsia" w:ascii="宋体" w:hAnsi="宋体"/>
          <w:szCs w:val="21"/>
        </w:rPr>
        <w:t>27.2</w:t>
      </w:r>
      <w:r>
        <w:rPr>
          <w:rFonts w:hint="eastAsia" w:ascii="宋体" w:hAnsi="宋体"/>
        </w:rPr>
        <w:t>响应文件是否实质性响应谈判文件要求由谈判小组依据谈判文件规定认定。</w:t>
      </w:r>
      <w:r>
        <w:rPr>
          <w:rFonts w:hint="eastAsia" w:ascii="宋体" w:hAnsi="宋体" w:cs="宋体"/>
          <w:kern w:val="0"/>
          <w:szCs w:val="21"/>
        </w:rPr>
        <w:t>谈判小组</w:t>
      </w:r>
      <w:r>
        <w:rPr>
          <w:rFonts w:hint="eastAsia" w:ascii="宋体" w:hAnsi="宋体"/>
          <w:szCs w:val="21"/>
        </w:rPr>
        <w:t>决定</w:t>
      </w:r>
      <w:r>
        <w:rPr>
          <w:rFonts w:hint="eastAsia" w:ascii="宋体" w:hAnsi="宋体"/>
        </w:rPr>
        <w:t>响应文件</w:t>
      </w:r>
      <w:r>
        <w:rPr>
          <w:rFonts w:hint="eastAsia" w:ascii="宋体" w:hAnsi="宋体"/>
          <w:szCs w:val="21"/>
        </w:rPr>
        <w:t>的响应性只根据</w:t>
      </w:r>
      <w:r>
        <w:rPr>
          <w:rFonts w:hint="eastAsia" w:ascii="宋体" w:hAnsi="宋体"/>
        </w:rPr>
        <w:t>响应文件</w:t>
      </w:r>
      <w:r>
        <w:rPr>
          <w:rFonts w:hint="eastAsia" w:ascii="宋体" w:hAnsi="宋体"/>
          <w:szCs w:val="21"/>
        </w:rPr>
        <w:t>本身的真实无误的内容，而不依据外部的证据。</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rPr>
        <w:t>28.澄清</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28.1 谈判小组在对响应文件(包括</w:t>
      </w:r>
      <w:r>
        <w:rPr>
          <w:rFonts w:hint="eastAsia" w:hAnsi="宋体" w:cs="宋体"/>
          <w:kern w:val="0"/>
        </w:rPr>
        <w:t>首次</w:t>
      </w:r>
      <w:r>
        <w:rPr>
          <w:rFonts w:hint="eastAsia" w:ascii="宋体" w:hAnsi="宋体" w:cs="宋体"/>
          <w:kern w:val="0"/>
          <w:szCs w:val="21"/>
        </w:rPr>
        <w:t>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28.2 最后报价计算错误修正的原则：最后报价</w:t>
      </w:r>
      <w:r>
        <w:rPr>
          <w:rFonts w:hint="eastAsia" w:ascii="宋体" w:hAnsi="宋体" w:cs="Arial"/>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rPr>
        <w:t>29.符合性审查</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29.1对响应文件(包括</w:t>
      </w:r>
      <w:r>
        <w:rPr>
          <w:rFonts w:hint="eastAsia" w:hAnsi="宋体" w:cs="宋体"/>
          <w:kern w:val="0"/>
        </w:rPr>
        <w:t>首次</w:t>
      </w:r>
      <w:r>
        <w:rPr>
          <w:rFonts w:hint="eastAsia" w:hAnsi="宋体"/>
        </w:rPr>
        <w:t>提交的</w:t>
      </w:r>
      <w:r>
        <w:rPr>
          <w:rFonts w:hint="eastAsia" w:ascii="宋体" w:hAnsi="宋体" w:cs="宋体"/>
          <w:kern w:val="0"/>
          <w:szCs w:val="21"/>
        </w:rPr>
        <w:t>响应文件、重新提交的响应文件)的符合性审查。谈判小组应当对响应文件进行符合性审查，供应商响应文件有下列情况之一，其响应文件无效（供应商不参加谈判），谈判小组应当告知有关供应商：</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（1）不满足本章第27.1</w:t>
      </w:r>
      <w:r>
        <w:rPr>
          <w:rFonts w:hint="eastAsia" w:ascii="宋体" w:hAnsi="宋体" w:cs="宋体"/>
          <w:kern w:val="0"/>
          <w:szCs w:val="21"/>
          <w:lang w:val="zh-CN"/>
        </w:rPr>
        <w:t>款</w:t>
      </w:r>
      <w:r>
        <w:rPr>
          <w:rFonts w:hint="eastAsia" w:ascii="宋体" w:hAnsi="宋体" w:cs="宋体"/>
          <w:kern w:val="0"/>
          <w:szCs w:val="21"/>
        </w:rPr>
        <w:t>规定的实质性要求的；</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（2）不符合法律、规章、规范性文件和谈判文件规定的。</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bCs/>
          <w:szCs w:val="21"/>
        </w:rPr>
        <w:t>29.2</w:t>
      </w:r>
      <w:r>
        <w:rPr>
          <w:rFonts w:hint="eastAsia" w:ascii="宋体" w:hAnsi="宋体" w:cs="宋体"/>
          <w:kern w:val="0"/>
          <w:szCs w:val="21"/>
        </w:rPr>
        <w:t>符合性审查结束后</w:t>
      </w:r>
      <w:r>
        <w:rPr>
          <w:rFonts w:hint="eastAsia" w:ascii="宋体" w:hAnsi="宋体"/>
          <w:bCs/>
          <w:szCs w:val="21"/>
        </w:rPr>
        <w:t>，</w:t>
      </w:r>
      <w:r>
        <w:rPr>
          <w:rFonts w:hint="eastAsia" w:ascii="宋体" w:hAnsi="宋体" w:cs="宋体"/>
          <w:kern w:val="0"/>
          <w:szCs w:val="21"/>
        </w:rPr>
        <w:t>谈判小组所有成员集中与单一供应商分别进行谈判，并给予所有参加谈判的供应商平等的谈判机会。供应商应派其法定代表人或委托代理人参加谈判。</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rPr>
        <w:t>30.谈判</w:t>
      </w:r>
    </w:p>
    <w:p>
      <w:pPr>
        <w:widowControl/>
        <w:adjustRightInd w:val="0"/>
        <w:snapToGrid w:val="0"/>
        <w:spacing w:line="360" w:lineRule="auto"/>
        <w:ind w:firstLine="420"/>
        <w:jc w:val="left"/>
        <w:rPr>
          <w:rFonts w:hint="eastAsia" w:ascii="宋体" w:hAnsi="宋体" w:cs="宋体"/>
          <w:kern w:val="0"/>
          <w:szCs w:val="21"/>
          <w:lang w:val="zh-CN"/>
        </w:rPr>
      </w:pPr>
      <w:r>
        <w:rPr>
          <w:rFonts w:hint="eastAsia" w:ascii="宋体" w:hAnsi="宋体" w:cs="宋体"/>
          <w:color w:val="000000"/>
          <w:kern w:val="0"/>
          <w:szCs w:val="21"/>
        </w:rPr>
        <w:t>30.1对于</w:t>
      </w:r>
      <w:r>
        <w:rPr>
          <w:rFonts w:hint="eastAsia" w:ascii="宋体" w:hAnsi="宋体"/>
          <w:color w:val="000000"/>
        </w:rPr>
        <w:t>本章第</w:t>
      </w:r>
      <w:r>
        <w:rPr>
          <w:rFonts w:hint="eastAsia" w:ascii="宋体" w:hAnsi="宋体"/>
        </w:rPr>
        <w:t>10.3</w:t>
      </w:r>
      <w:r>
        <w:rPr>
          <w:rFonts w:hint="eastAsia" w:ascii="宋体" w:hAnsi="宋体"/>
          <w:color w:val="000000"/>
        </w:rPr>
        <w:t>项</w:t>
      </w:r>
      <w:r>
        <w:rPr>
          <w:rFonts w:hint="eastAsia" w:ascii="宋体" w:hAnsi="宋体" w:cs="宋体"/>
          <w:color w:val="000000"/>
          <w:kern w:val="0"/>
          <w:szCs w:val="21"/>
        </w:rPr>
        <w:t>未明确谈判文件实质性变动内容，或者谈判文件明确了可能发生实质性变动内容，但在谈判过程中，</w:t>
      </w:r>
      <w:r>
        <w:rPr>
          <w:rFonts w:hint="eastAsia" w:ascii="宋体" w:hAnsi="宋体"/>
          <w:bCs/>
          <w:color w:val="000000"/>
          <w:szCs w:val="21"/>
        </w:rPr>
        <w:t>谈判小组</w:t>
      </w:r>
      <w:r>
        <w:rPr>
          <w:rFonts w:hint="eastAsia" w:ascii="宋体" w:hAnsi="宋体" w:cs="Arial"/>
          <w:color w:val="000000"/>
          <w:kern w:val="0"/>
          <w:szCs w:val="21"/>
        </w:rPr>
        <w:t>根据</w:t>
      </w:r>
      <w:r>
        <w:rPr>
          <w:rFonts w:hint="eastAsia" w:ascii="宋体" w:hAnsi="宋体" w:cs="宋体"/>
          <w:color w:val="000000"/>
          <w:kern w:val="0"/>
          <w:szCs w:val="21"/>
        </w:rPr>
        <w:t>谈判情况</w:t>
      </w:r>
      <w:r>
        <w:rPr>
          <w:rFonts w:hint="eastAsia" w:ascii="宋体" w:hAnsi="宋体"/>
          <w:bCs/>
          <w:color w:val="000000"/>
          <w:szCs w:val="21"/>
        </w:rPr>
        <w:t>认为</w:t>
      </w:r>
      <w:r>
        <w:rPr>
          <w:rFonts w:hint="eastAsia" w:ascii="宋体" w:hAnsi="宋体" w:cs="宋体"/>
          <w:color w:val="000000"/>
          <w:kern w:val="0"/>
          <w:szCs w:val="21"/>
        </w:rPr>
        <w:t>谈判文件无需发生实质性变动的，</w:t>
      </w:r>
      <w:r>
        <w:rPr>
          <w:rFonts w:hint="eastAsia" w:ascii="宋体" w:hAnsi="宋体" w:cs="宋体"/>
          <w:kern w:val="0"/>
          <w:szCs w:val="21"/>
        </w:rPr>
        <w:t>谈判小组应当</w:t>
      </w:r>
      <w:r>
        <w:rPr>
          <w:rFonts w:hint="eastAsia" w:ascii="宋体" w:hAnsi="宋体"/>
          <w:szCs w:val="21"/>
        </w:rPr>
        <w:t>根据本章第29.1</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对供应商提交的首次响应文件进行符合性审查，直接与实质性响应谈判文件要求的供应商就价格组织多轮谈判。</w:t>
      </w:r>
    </w:p>
    <w:p>
      <w:pPr>
        <w:widowControl/>
        <w:tabs>
          <w:tab w:val="left" w:pos="1080"/>
          <w:tab w:val="left" w:pos="1260"/>
        </w:tabs>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（1）谈判结束后，谈判小组应当要求所有继续参加谈判的供应商在谈判小组规定时间内提交最后报价。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（2）谈判文件明确可能发生实质性变动，但在谈判过程中</w:t>
      </w:r>
      <w:r>
        <w:rPr>
          <w:rFonts w:hint="eastAsia" w:ascii="宋体" w:hAnsi="宋体"/>
          <w:bCs/>
          <w:szCs w:val="21"/>
        </w:rPr>
        <w:t>谈判小组</w:t>
      </w:r>
      <w:r>
        <w:rPr>
          <w:rFonts w:hint="eastAsia" w:ascii="宋体" w:hAnsi="宋体" w:cs="Arial"/>
          <w:kern w:val="0"/>
          <w:szCs w:val="21"/>
        </w:rPr>
        <w:t>根据</w:t>
      </w:r>
      <w:r>
        <w:rPr>
          <w:rFonts w:hint="eastAsia" w:ascii="宋体" w:hAnsi="宋体" w:cs="宋体"/>
          <w:kern w:val="0"/>
          <w:szCs w:val="21"/>
        </w:rPr>
        <w:t>谈判情况</w:t>
      </w:r>
      <w:r>
        <w:rPr>
          <w:rFonts w:hint="eastAsia" w:ascii="宋体" w:hAnsi="宋体"/>
          <w:bCs/>
          <w:szCs w:val="21"/>
        </w:rPr>
        <w:t>认为</w:t>
      </w:r>
      <w:r>
        <w:rPr>
          <w:rFonts w:hint="eastAsia" w:ascii="宋体" w:hAnsi="宋体" w:cs="宋体"/>
          <w:kern w:val="0"/>
          <w:szCs w:val="21"/>
        </w:rPr>
        <w:t>谈判文件无需发生实质性变动的，谈判小组不另行通知。</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color w:val="000000"/>
          <w:kern w:val="0"/>
          <w:szCs w:val="21"/>
        </w:rPr>
        <w:t>30.2对于</w:t>
      </w:r>
      <w:r>
        <w:rPr>
          <w:rFonts w:hint="eastAsia" w:ascii="宋体" w:hAnsi="宋体"/>
          <w:color w:val="000000"/>
        </w:rPr>
        <w:t>本章第10.3</w:t>
      </w:r>
      <w:r>
        <w:rPr>
          <w:rFonts w:hint="eastAsia" w:ascii="宋体" w:hAnsi="宋体" w:cs="宋体"/>
          <w:color w:val="000000"/>
          <w:kern w:val="0"/>
          <w:szCs w:val="21"/>
          <w:lang w:val="zh-CN"/>
        </w:rPr>
        <w:t>款</w:t>
      </w:r>
      <w:r>
        <w:rPr>
          <w:rFonts w:hint="eastAsia" w:ascii="宋体" w:hAnsi="宋体" w:cs="宋体"/>
          <w:color w:val="000000"/>
          <w:kern w:val="0"/>
          <w:szCs w:val="21"/>
        </w:rPr>
        <w:t>明确谈判文件实质性变动内容，且在谈判过程中谈判文件实质性内容发生变动的，</w:t>
      </w:r>
      <w:r>
        <w:rPr>
          <w:rFonts w:hint="eastAsia" w:ascii="宋体" w:hAnsi="宋体"/>
          <w:bCs/>
          <w:color w:val="000000"/>
          <w:szCs w:val="21"/>
        </w:rPr>
        <w:t>谈</w:t>
      </w:r>
      <w:r>
        <w:rPr>
          <w:rFonts w:hint="eastAsia" w:ascii="宋体" w:hAnsi="宋体"/>
          <w:bCs/>
          <w:szCs w:val="21"/>
        </w:rPr>
        <w:t>判小组</w:t>
      </w:r>
      <w:r>
        <w:rPr>
          <w:rFonts w:hint="eastAsia" w:ascii="宋体" w:hAnsi="宋体" w:cs="宋体"/>
          <w:kern w:val="0"/>
          <w:szCs w:val="21"/>
        </w:rPr>
        <w:t>可以组织多轮谈判。</w:t>
      </w:r>
      <w:r>
        <w:rPr>
          <w:rFonts w:hint="eastAsia" w:ascii="宋体" w:hAnsi="宋体"/>
          <w:bCs/>
          <w:szCs w:val="21"/>
        </w:rPr>
        <w:t>在每一轮谈判中，谈判小组</w:t>
      </w:r>
      <w:r>
        <w:rPr>
          <w:rFonts w:hint="eastAsia" w:ascii="宋体" w:hAnsi="宋体" w:cs="宋体"/>
          <w:kern w:val="0"/>
          <w:szCs w:val="21"/>
        </w:rPr>
        <w:t>可以</w:t>
      </w:r>
      <w:r>
        <w:rPr>
          <w:rFonts w:hint="eastAsia" w:ascii="宋体" w:hAnsi="宋体" w:cs="Arial"/>
          <w:kern w:val="0"/>
          <w:szCs w:val="21"/>
        </w:rPr>
        <w:t>根据</w:t>
      </w:r>
      <w:r>
        <w:rPr>
          <w:rFonts w:hint="eastAsia" w:ascii="宋体" w:hAnsi="宋体" w:cs="宋体"/>
          <w:kern w:val="0"/>
          <w:szCs w:val="21"/>
        </w:rPr>
        <w:t>谈判文件规定和谈判情况，</w:t>
      </w:r>
      <w:r>
        <w:rPr>
          <w:rFonts w:hint="eastAsia" w:ascii="宋体" w:hAnsi="宋体"/>
          <w:bCs/>
          <w:szCs w:val="21"/>
        </w:rPr>
        <w:t>对谈判文件的</w:t>
      </w:r>
      <w:r>
        <w:rPr>
          <w:rFonts w:hint="eastAsia" w:ascii="宋体" w:hAnsi="宋体" w:cs="宋体"/>
          <w:kern w:val="0"/>
          <w:szCs w:val="21"/>
        </w:rPr>
        <w:t>采购需求中的技术、服务要求以及合同草案条款</w:t>
      </w:r>
      <w:r>
        <w:rPr>
          <w:rFonts w:hint="eastAsia" w:ascii="宋体" w:hAnsi="宋体"/>
          <w:bCs/>
          <w:szCs w:val="21"/>
        </w:rPr>
        <w:t>作实质性变动(谈判文件的实质性变动内容为谈判文件的组成部分)，并以书面形式要求</w:t>
      </w:r>
      <w:r>
        <w:rPr>
          <w:rFonts w:hint="eastAsia" w:ascii="宋体" w:hAnsi="宋体" w:cs="宋体"/>
          <w:kern w:val="0"/>
          <w:szCs w:val="21"/>
        </w:rPr>
        <w:t>符合性审查合格</w:t>
      </w:r>
      <w:r>
        <w:rPr>
          <w:rFonts w:hint="eastAsia" w:ascii="宋体" w:hAnsi="宋体"/>
          <w:bCs/>
          <w:szCs w:val="21"/>
        </w:rPr>
        <w:t>的供应商，在规定的</w:t>
      </w:r>
      <w:r>
        <w:rPr>
          <w:rFonts w:hint="eastAsia" w:ascii="宋体" w:hAnsi="宋体" w:cs="宋体"/>
          <w:kern w:val="0"/>
          <w:szCs w:val="21"/>
        </w:rPr>
        <w:t>截止时间前</w:t>
      </w:r>
      <w:r>
        <w:rPr>
          <w:rFonts w:hint="eastAsia" w:ascii="宋体" w:hAnsi="宋体"/>
          <w:bCs/>
          <w:szCs w:val="21"/>
        </w:rPr>
        <w:t>重</w:t>
      </w:r>
      <w:r>
        <w:rPr>
          <w:rFonts w:hint="eastAsia" w:ascii="宋体" w:hAnsi="宋体" w:cs="宋体"/>
          <w:kern w:val="0"/>
          <w:szCs w:val="21"/>
        </w:rPr>
        <w:t>新提交响应文件</w:t>
      </w:r>
      <w:r>
        <w:rPr>
          <w:rFonts w:hint="eastAsia" w:ascii="宋体" w:hAnsi="宋体"/>
          <w:bCs/>
          <w:szCs w:val="21"/>
        </w:rPr>
        <w:t>。</w:t>
      </w:r>
      <w:r>
        <w:rPr>
          <w:rFonts w:hint="eastAsia" w:ascii="宋体" w:hAnsi="宋体" w:cs="宋体"/>
          <w:kern w:val="0"/>
          <w:szCs w:val="21"/>
        </w:rPr>
        <w:t>谈判小组应当</w:t>
      </w:r>
      <w:r>
        <w:rPr>
          <w:rFonts w:hint="eastAsia" w:ascii="宋体" w:hAnsi="宋体"/>
          <w:szCs w:val="21"/>
        </w:rPr>
        <w:t>根据本章第29.1</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对供应商重新提交的响应文件进行符合性审查。供应商重新提交的响应文件未通过符合性审查的，不得进入下一轮谈判，也不得要求提交最后报价。</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（1）谈判文件能够详细列明采购需求的技术、服务要求的，谈判结束后，谈判小组应当要求所有继续参加谈判的供应商在规定时间内提交最后报价。</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szCs w:val="21"/>
        </w:rPr>
      </w:pPr>
      <w:r>
        <w:rPr>
          <w:rFonts w:hint="eastAsia" w:ascii="宋体" w:hAnsi="宋体"/>
          <w:bCs/>
          <w:szCs w:val="21"/>
        </w:rPr>
        <w:t>30.3</w:t>
      </w:r>
      <w:r>
        <w:rPr>
          <w:rFonts w:hint="eastAsia" w:ascii="宋体" w:hAnsi="宋体"/>
        </w:rPr>
        <w:t xml:space="preserve"> </w:t>
      </w:r>
      <w:r>
        <w:rPr>
          <w:rFonts w:hint="eastAsia" w:ascii="宋体" w:hAnsi="宋体"/>
          <w:bCs/>
        </w:rPr>
        <w:t>重</w:t>
      </w:r>
      <w:r>
        <w:rPr>
          <w:rFonts w:hint="eastAsia" w:ascii="宋体" w:hAnsi="宋体" w:cs="宋体"/>
          <w:kern w:val="0"/>
        </w:rPr>
        <w:t>新提交的响应文件</w:t>
      </w:r>
      <w:r>
        <w:rPr>
          <w:rFonts w:hint="eastAsia" w:ascii="宋体" w:hAnsi="宋体"/>
        </w:rPr>
        <w:t>或者最后报价应按</w:t>
      </w:r>
      <w:r>
        <w:rPr>
          <w:rFonts w:hint="eastAsia" w:ascii="宋体" w:hAnsi="宋体" w:cs="宋体"/>
          <w:kern w:val="0"/>
          <w:szCs w:val="21"/>
        </w:rPr>
        <w:t>本章第</w:t>
      </w:r>
      <w:r>
        <w:rPr>
          <w:rFonts w:hint="eastAsia" w:ascii="宋体" w:hAnsi="宋体"/>
        </w:rPr>
        <w:t>20.3</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章，在规定时间内密封递交给谈判小组</w:t>
      </w:r>
      <w:r>
        <w:rPr>
          <w:rFonts w:hint="eastAsia" w:ascii="宋体" w:hAnsi="宋体"/>
          <w:bCs/>
          <w:szCs w:val="21"/>
        </w:rPr>
        <w:t>。</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bCs/>
          <w:szCs w:val="21"/>
        </w:rPr>
        <w:t>最</w:t>
      </w:r>
      <w:r>
        <w:rPr>
          <w:rFonts w:hint="eastAsia" w:ascii="宋体" w:hAnsi="宋体" w:cs="宋体"/>
          <w:kern w:val="0"/>
          <w:szCs w:val="21"/>
          <w:lang w:val="zh-CN"/>
        </w:rPr>
        <w:t>后</w:t>
      </w:r>
      <w:r>
        <w:rPr>
          <w:rFonts w:hint="eastAsia" w:ascii="宋体" w:hAnsi="宋体"/>
          <w:bCs/>
          <w:szCs w:val="21"/>
        </w:rPr>
        <w:t>报价及</w:t>
      </w:r>
      <w:r>
        <w:rPr>
          <w:rFonts w:hint="eastAsia" w:ascii="宋体" w:hAnsi="宋体" w:cs="宋体"/>
          <w:kern w:val="0"/>
          <w:szCs w:val="21"/>
        </w:rPr>
        <w:t>政府采购政策规定的价格扣除情况，谈判小组应召集所有参加最后报价的供应商当场开封</w:t>
      </w:r>
      <w:r>
        <w:rPr>
          <w:rFonts w:hint="eastAsia" w:ascii="宋体" w:hAnsi="宋体"/>
          <w:bCs/>
          <w:szCs w:val="21"/>
        </w:rPr>
        <w:t>公布，并由供应商代表签字确认。</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30.5提交首次响应文件的供应商，在提交最后报价之前，可以根据谈判情况退出谈判，</w:t>
      </w:r>
      <w:r>
        <w:rPr>
          <w:rFonts w:hint="eastAsia" w:ascii="宋体" w:hAnsi="宋体" w:cs="宋体"/>
          <w:kern w:val="0"/>
        </w:rPr>
        <w:t>并书面通知采购代理机构或者谈判小组。</w:t>
      </w:r>
      <w:r>
        <w:rPr>
          <w:rFonts w:hint="eastAsia" w:ascii="宋体" w:hAnsi="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rPr>
        <w:t>18.4</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退还退出谈判的供应商的保证金。</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bCs/>
          <w:szCs w:val="21"/>
        </w:rPr>
        <w:t>30.6</w:t>
      </w:r>
      <w:r>
        <w:rPr>
          <w:rFonts w:hint="eastAsia" w:ascii="宋体" w:hAnsi="宋体" w:cs="宋体"/>
          <w:kern w:val="0"/>
          <w:szCs w:val="21"/>
        </w:rPr>
        <w:t>提交首次响应文件的供应商，未按谈判文件规定及谈判小组要求提交最后报价(或者</w:t>
      </w:r>
      <w:r>
        <w:rPr>
          <w:rFonts w:hint="eastAsia" w:ascii="宋体" w:hAnsi="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rPr>
        <w:t>30.5</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退出谈判的，供应商的保证金不予退还。</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30.7谈判文件在谈判过程中未发生实质性变动的，参加谈判供应商的次轮报价不得高于上轮报价，否则视为无效响应。</w:t>
      </w:r>
    </w:p>
    <w:p>
      <w:pPr>
        <w:widowControl/>
        <w:adjustRightInd w:val="0"/>
        <w:snapToGrid w:val="0"/>
        <w:spacing w:line="360" w:lineRule="auto"/>
        <w:jc w:val="left"/>
        <w:rPr>
          <w:rFonts w:hint="eastAsia" w:ascii="宋体" w:hAnsi="宋体"/>
          <w:b/>
          <w:bCs/>
          <w:szCs w:val="21"/>
        </w:rPr>
      </w:pPr>
      <w:r>
        <w:rPr>
          <w:rFonts w:hint="eastAsia" w:ascii="宋体" w:hAnsi="宋体" w:cs="宋体"/>
          <w:b/>
          <w:kern w:val="0"/>
          <w:szCs w:val="21"/>
        </w:rPr>
        <w:t>31.</w:t>
      </w:r>
      <w:r>
        <w:rPr>
          <w:rFonts w:hint="eastAsia" w:ascii="宋体" w:hAnsi="宋体"/>
          <w:b/>
          <w:bCs/>
          <w:szCs w:val="21"/>
        </w:rPr>
        <w:t>提出成交供应商</w:t>
      </w:r>
    </w:p>
    <w:p>
      <w:pPr>
        <w:widowControl/>
        <w:adjustRightInd w:val="0"/>
        <w:snapToGrid w:val="0"/>
        <w:spacing w:line="360" w:lineRule="auto"/>
        <w:ind w:firstLine="420" w:firstLineChars="200"/>
        <w:jc w:val="left"/>
        <w:rPr>
          <w:rFonts w:hint="eastAsia" w:ascii="宋体" w:hAnsi="宋体"/>
          <w:bCs/>
          <w:szCs w:val="21"/>
        </w:rPr>
      </w:pPr>
      <w:r>
        <w:rPr>
          <w:rFonts w:hint="eastAsia" w:ascii="宋体" w:hAnsi="宋体"/>
          <w:bCs/>
          <w:szCs w:val="21"/>
        </w:rPr>
        <w:t>31.1</w:t>
      </w:r>
      <w:r>
        <w:rPr>
          <w:rFonts w:hint="eastAsia" w:ascii="宋体" w:hAnsi="宋体" w:cs="宋体"/>
          <w:kern w:val="0"/>
          <w:szCs w:val="21"/>
        </w:rPr>
        <w:t>谈判小组应当从质量和服务均能满足采购文件实质性响应要求的供应商中，按照最后报价由低到高的顺序提出3名以上成交候选人，并编写评审报告。供应商符合本章第9.2</w:t>
      </w:r>
      <w:r>
        <w:rPr>
          <w:rFonts w:hint="eastAsia" w:ascii="宋体" w:hAnsi="宋体" w:cs="宋体"/>
          <w:kern w:val="0"/>
          <w:szCs w:val="21"/>
          <w:lang w:val="zh-CN"/>
        </w:rPr>
        <w:t>款</w:t>
      </w:r>
      <w:r>
        <w:rPr>
          <w:rFonts w:hint="eastAsia" w:ascii="宋体" w:hAnsi="宋体" w:cs="宋体"/>
          <w:kern w:val="0"/>
          <w:szCs w:val="21"/>
        </w:rPr>
        <w:t>关于政府采购政策规定的，最后报价按本章第9.2</w:t>
      </w:r>
      <w:r>
        <w:rPr>
          <w:rFonts w:hint="eastAsia" w:ascii="宋体" w:hAnsi="宋体" w:cs="宋体"/>
          <w:kern w:val="0"/>
          <w:szCs w:val="21"/>
          <w:lang w:val="zh-CN"/>
        </w:rPr>
        <w:t>款、</w:t>
      </w:r>
      <w:r>
        <w:rPr>
          <w:rFonts w:hint="eastAsia" w:ascii="宋体" w:hAnsi="宋体" w:cs="宋体"/>
          <w:kern w:val="0"/>
          <w:szCs w:val="21"/>
        </w:rPr>
        <w:t>第9.3</w:t>
      </w:r>
      <w:r>
        <w:rPr>
          <w:rFonts w:hint="eastAsia" w:ascii="宋体" w:hAnsi="宋体" w:cs="宋体"/>
          <w:kern w:val="0"/>
          <w:szCs w:val="21"/>
          <w:lang w:val="zh-CN"/>
        </w:rPr>
        <w:t>款、第</w:t>
      </w:r>
      <w:r>
        <w:rPr>
          <w:rFonts w:hint="eastAsia" w:ascii="宋体" w:hAnsi="宋体" w:cs="宋体"/>
          <w:kern w:val="0"/>
          <w:szCs w:val="21"/>
        </w:rPr>
        <w:t>9.4款规定进行价格扣除，并按价格扣除后的最后报价排序</w:t>
      </w:r>
      <w:r>
        <w:rPr>
          <w:rFonts w:hint="eastAsia" w:ascii="宋体" w:hAnsi="宋体"/>
          <w:bCs/>
          <w:szCs w:val="21"/>
        </w:rPr>
        <w:t>。</w:t>
      </w:r>
    </w:p>
    <w:p>
      <w:pPr>
        <w:widowControl/>
        <w:adjustRightInd w:val="0"/>
        <w:snapToGrid w:val="0"/>
        <w:spacing w:line="360" w:lineRule="auto"/>
        <w:ind w:firstLine="420" w:firstLineChars="200"/>
        <w:jc w:val="left"/>
        <w:rPr>
          <w:rFonts w:hint="eastAsia"/>
          <w:szCs w:val="21"/>
        </w:rPr>
      </w:pPr>
      <w:r>
        <w:rPr>
          <w:rFonts w:hint="eastAsia" w:ascii="宋体" w:hAnsi="宋体"/>
          <w:szCs w:val="21"/>
        </w:rPr>
        <w:t>31.2按本章第31.1</w:t>
      </w:r>
      <w:r>
        <w:rPr>
          <w:rFonts w:hint="eastAsia"/>
          <w:szCs w:val="21"/>
        </w:rPr>
        <w:t>条按价格扣除后的最后报价排序</w:t>
      </w:r>
      <w:r>
        <w:rPr>
          <w:szCs w:val="21"/>
        </w:rPr>
        <w:t>相同的，</w:t>
      </w:r>
      <w:r>
        <w:rPr>
          <w:rFonts w:hint="eastAsia"/>
          <w:szCs w:val="21"/>
        </w:rPr>
        <w:t>由采购人确定</w:t>
      </w:r>
      <w:r>
        <w:rPr>
          <w:rFonts w:hint="eastAsia" w:ascii="宋体" w:hAnsi="宋体"/>
          <w:bCs/>
          <w:szCs w:val="21"/>
        </w:rPr>
        <w:t>成交供应商。</w:t>
      </w:r>
    </w:p>
    <w:p>
      <w:pPr>
        <w:tabs>
          <w:tab w:val="left" w:pos="0"/>
        </w:tabs>
        <w:adjustRightInd w:val="0"/>
        <w:snapToGrid w:val="0"/>
        <w:spacing w:line="360" w:lineRule="auto"/>
        <w:rPr>
          <w:rFonts w:hint="eastAsia" w:ascii="宋体" w:hAnsi="宋体"/>
          <w:b/>
          <w:bCs/>
          <w:szCs w:val="21"/>
        </w:rPr>
      </w:pPr>
      <w:r>
        <w:rPr>
          <w:rFonts w:hint="eastAsia" w:ascii="宋体" w:hAnsi="宋体"/>
          <w:b/>
          <w:bCs/>
          <w:szCs w:val="21"/>
        </w:rPr>
        <w:t>32.确定成交供应商</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32.1采购代理机构应当在评审结束后2个工作日内将评审报告送采购人确认。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32.2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widowControl/>
        <w:adjustRightInd w:val="0"/>
        <w:snapToGrid w:val="0"/>
        <w:spacing w:line="360" w:lineRule="auto"/>
        <w:ind w:firstLine="420"/>
        <w:jc w:val="left"/>
        <w:rPr>
          <w:rFonts w:hint="eastAsia" w:ascii="宋体" w:hAnsi="宋体"/>
          <w:bCs/>
          <w:szCs w:val="21"/>
        </w:rPr>
      </w:pPr>
      <w:r>
        <w:rPr>
          <w:rFonts w:hint="eastAsia" w:ascii="宋体" w:hAnsi="宋体" w:cs="宋体"/>
          <w:kern w:val="0"/>
          <w:szCs w:val="21"/>
        </w:rPr>
        <w:t>32.3最后报价确定遵守本章第31</w:t>
      </w:r>
      <w:r>
        <w:rPr>
          <w:rFonts w:hint="eastAsia" w:ascii="宋体" w:hAnsi="宋体"/>
          <w:bCs/>
          <w:szCs w:val="21"/>
        </w:rPr>
        <w:t>条</w:t>
      </w:r>
      <w:r>
        <w:rPr>
          <w:rFonts w:hint="eastAsia" w:ascii="宋体" w:hAnsi="宋体" w:cs="宋体"/>
          <w:kern w:val="0"/>
          <w:szCs w:val="21"/>
        </w:rPr>
        <w:t>的</w:t>
      </w:r>
      <w:r>
        <w:rPr>
          <w:rFonts w:hint="eastAsia" w:ascii="宋体" w:hAnsi="宋体"/>
          <w:bCs/>
          <w:szCs w:val="21"/>
        </w:rPr>
        <w:t>规定。</w:t>
      </w:r>
    </w:p>
    <w:p>
      <w:pPr>
        <w:pStyle w:val="22"/>
        <w:adjustRightInd w:val="0"/>
        <w:snapToGrid w:val="0"/>
        <w:spacing w:line="360" w:lineRule="auto"/>
        <w:ind w:left="632" w:hanging="632" w:hangingChars="300"/>
        <w:rPr>
          <w:rFonts w:hint="eastAsia" w:hAnsi="宋体"/>
          <w:b/>
        </w:rPr>
      </w:pPr>
      <w:r>
        <w:rPr>
          <w:rFonts w:hint="eastAsia" w:hAnsi="宋体"/>
          <w:b/>
        </w:rPr>
        <w:t>33.谈判的特殊情形</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kern w:val="0"/>
          <w:lang w:val="zh-CN"/>
        </w:rPr>
        <w:t>33.1</w:t>
      </w:r>
      <w:r>
        <w:rPr>
          <w:rFonts w:hint="eastAsia" w:ascii="宋体" w:hAnsi="宋体" w:cs="宋体"/>
          <w:kern w:val="0"/>
          <w:szCs w:val="21"/>
        </w:rPr>
        <w:t>公开招标的货物、服务采购项目，招标过程中提交投标文件或者经评审实质性响应招标文件要求的供应商只有两家时，采购人、采购代理机构按照</w:t>
      </w:r>
      <w:r>
        <w:rPr>
          <w:rFonts w:hint="eastAsia" w:ascii="宋体" w:hAnsi="宋体"/>
          <w:color w:val="000000"/>
          <w:szCs w:val="21"/>
        </w:rPr>
        <w:t>省级以上财政部门相关规定，</w:t>
      </w:r>
      <w:r>
        <w:rPr>
          <w:rFonts w:hint="eastAsia" w:ascii="宋体" w:hAnsi="宋体" w:cs="宋体"/>
          <w:color w:val="000000"/>
          <w:kern w:val="0"/>
          <w:szCs w:val="21"/>
        </w:rPr>
        <w:t>经本级</w:t>
      </w:r>
      <w:r>
        <w:rPr>
          <w:rFonts w:hint="eastAsia" w:ascii="宋体" w:hAnsi="宋体" w:cs="宋体"/>
          <w:kern w:val="0"/>
          <w:szCs w:val="21"/>
        </w:rPr>
        <w:t>财政部门批准后可以与该两家供应商进行竞争性谈判采购。符合本款情形的，本章第</w:t>
      </w:r>
      <w:r>
        <w:rPr>
          <w:rFonts w:hint="eastAsia" w:ascii="宋体" w:hAnsi="宋体"/>
          <w:kern w:val="0"/>
          <w:szCs w:val="21"/>
          <w:lang w:val="zh-CN"/>
        </w:rPr>
        <w:t>30.1款、第30.2款、第31.1款、第34.1款</w:t>
      </w:r>
      <w:r>
        <w:rPr>
          <w:rFonts w:hint="eastAsia" w:ascii="宋体" w:hAnsi="宋体" w:cs="宋体"/>
          <w:kern w:val="0"/>
          <w:szCs w:val="21"/>
        </w:rPr>
        <w:t>中规定的供应商最低数量可以为两家。</w:t>
      </w:r>
    </w:p>
    <w:p>
      <w:pPr>
        <w:pStyle w:val="22"/>
        <w:adjustRightInd w:val="0"/>
        <w:snapToGrid w:val="0"/>
        <w:spacing w:line="360" w:lineRule="auto"/>
        <w:ind w:left="632" w:hanging="632" w:hangingChars="300"/>
        <w:rPr>
          <w:rFonts w:hint="eastAsia" w:hAnsi="宋体"/>
          <w:b/>
        </w:rPr>
      </w:pPr>
      <w:r>
        <w:rPr>
          <w:rFonts w:hint="eastAsia" w:hAnsi="宋体"/>
          <w:b/>
        </w:rPr>
        <w:t>34.谈判终止</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bCs/>
          <w:szCs w:val="21"/>
        </w:rPr>
        <w:t>34.1</w:t>
      </w:r>
      <w:r>
        <w:rPr>
          <w:rFonts w:hint="eastAsia" w:ascii="宋体" w:hAnsi="宋体" w:cs="宋体"/>
          <w:kern w:val="0"/>
          <w:szCs w:val="21"/>
        </w:rPr>
        <w:t>出现下列情形之一的，采购人或者采购代理机构应当终止竞争性谈判采购活动，</w:t>
      </w:r>
      <w:r>
        <w:rPr>
          <w:rFonts w:hint="eastAsia" w:hAnsi="宋体"/>
        </w:rPr>
        <w:t>在</w:t>
      </w:r>
      <w:r>
        <w:rPr>
          <w:rFonts w:hint="eastAsia" w:ascii="宋体" w:hAnsi="宋体"/>
          <w:szCs w:val="21"/>
        </w:rPr>
        <w:t>省级以上财政部门</w:t>
      </w:r>
      <w:r>
        <w:rPr>
          <w:rFonts w:hint="eastAsia" w:hAnsi="宋体"/>
        </w:rPr>
        <w:t>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（1）因情况变化，不再符合规定的竞争性谈判采购方式适用情形的；</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（3）谈判邀请公告公示期满后,报名供应商不足3家的；</w:t>
      </w:r>
    </w:p>
    <w:p>
      <w:pPr>
        <w:widowControl/>
        <w:adjustRightInd w:val="0"/>
        <w:snapToGrid w:val="0"/>
        <w:spacing w:line="360" w:lineRule="auto"/>
        <w:ind w:firstLine="420"/>
        <w:jc w:val="left"/>
        <w:rPr>
          <w:rFonts w:hint="eastAsia" w:ascii="宋体" w:hAnsi="宋体" w:cs="宋体"/>
          <w:kern w:val="0"/>
          <w:szCs w:val="21"/>
        </w:rPr>
      </w:pPr>
      <w:r>
        <w:rPr>
          <w:rFonts w:hint="eastAsia" w:ascii="宋体" w:hAnsi="宋体" w:cs="宋体"/>
          <w:kern w:val="0"/>
          <w:szCs w:val="21"/>
        </w:rPr>
        <w:t>（4）在采购过程中符合竞争要求的供应商或者报价未超过采购预算的供应商不足3家的，或者提交最后报价的供应商少于3家的；</w:t>
      </w:r>
    </w:p>
    <w:p>
      <w:pPr>
        <w:widowControl/>
        <w:adjustRightInd w:val="0"/>
        <w:snapToGrid w:val="0"/>
        <w:spacing w:line="360" w:lineRule="auto"/>
        <w:ind w:firstLine="420"/>
        <w:jc w:val="left"/>
        <w:rPr>
          <w:rFonts w:hint="eastAsia" w:ascii="宋体" w:hAnsi="宋体"/>
          <w:b/>
          <w:bCs/>
          <w:szCs w:val="21"/>
        </w:rPr>
      </w:pPr>
      <w:r>
        <w:rPr>
          <w:rFonts w:hint="eastAsia" w:ascii="宋体" w:hAnsi="宋体" w:cs="宋体"/>
          <w:kern w:val="0"/>
          <w:szCs w:val="21"/>
        </w:rPr>
        <w:t>（5）</w:t>
      </w:r>
      <w:r>
        <w:rPr>
          <w:rFonts w:hint="eastAsia" w:ascii="宋体" w:hAnsi="宋体"/>
          <w:bCs/>
          <w:szCs w:val="21"/>
        </w:rPr>
        <w:t>因重大变故，采购任务取消的。</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35.1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pPr>
        <w:adjustRightInd w:val="0"/>
        <w:snapToGrid w:val="0"/>
        <w:spacing w:line="360" w:lineRule="auto"/>
        <w:rPr>
          <w:rFonts w:hint="eastAsia" w:ascii="宋体" w:hAnsi="宋体"/>
          <w:b/>
          <w:bCs/>
          <w:szCs w:val="21"/>
        </w:rPr>
      </w:pPr>
      <w:r>
        <w:rPr>
          <w:rFonts w:hint="eastAsia" w:ascii="宋体" w:hAnsi="宋体"/>
          <w:b/>
          <w:bCs/>
          <w:szCs w:val="21"/>
        </w:rPr>
        <w:t>36.保密及串通行为</w:t>
      </w:r>
    </w:p>
    <w:p>
      <w:pPr>
        <w:adjustRightInd w:val="0"/>
        <w:snapToGrid w:val="0"/>
        <w:spacing w:line="360" w:lineRule="auto"/>
        <w:ind w:firstLine="420" w:firstLineChars="200"/>
        <w:rPr>
          <w:rFonts w:hint="eastAsia" w:ascii="宋体" w:hAnsi="宋体"/>
        </w:rPr>
      </w:pPr>
      <w:r>
        <w:rPr>
          <w:rFonts w:hint="eastAsia" w:ascii="宋体" w:hAnsi="宋体"/>
        </w:rPr>
        <w:t>36.1谈判小组成员以及与评审工作有关的人员不得泄露评审情况以及评审过程中获悉的国家秘密、商业秘密。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36.2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采购人、采购代理机构、其他供应商恶意</w:t>
      </w:r>
      <w:r>
        <w:rPr>
          <w:rFonts w:hint="eastAsia" w:ascii="宋体" w:hAnsi="宋体"/>
          <w:szCs w:val="21"/>
        </w:rPr>
        <w:t>串通；不得向</w:t>
      </w:r>
      <w:r>
        <w:rPr>
          <w:rFonts w:hint="eastAsia" w:ascii="宋体" w:hAnsi="宋体" w:cs="宋体"/>
          <w:kern w:val="0"/>
          <w:szCs w:val="21"/>
        </w:rPr>
        <w:t>采购人、采购代理机构</w:t>
      </w:r>
      <w:r>
        <w:rPr>
          <w:rFonts w:hint="eastAsia" w:ascii="宋体" w:hAnsi="宋体"/>
          <w:szCs w:val="21"/>
        </w:rPr>
        <w:t>或者谈判小组成员行贿或者提供其他不正当利益；不得提供虚假材料谋取成交；不得以任何方式干扰、影响采购工作。</w:t>
      </w:r>
    </w:p>
    <w:p>
      <w:pPr>
        <w:pStyle w:val="37"/>
        <w:adjustRightInd w:val="0"/>
        <w:snapToGrid w:val="0"/>
        <w:spacing w:before="0" w:beforeAutospacing="0" w:after="0" w:afterAutospacing="0" w:line="360" w:lineRule="auto"/>
        <w:ind w:firstLine="420" w:firstLineChars="200"/>
        <w:rPr>
          <w:sz w:val="21"/>
          <w:szCs w:val="21"/>
          <w:lang w:val="zh-CN"/>
        </w:rPr>
      </w:pPr>
      <w:r>
        <w:rPr>
          <w:rFonts w:hint="eastAsia" w:cs="Arial"/>
          <w:sz w:val="21"/>
          <w:szCs w:val="21"/>
        </w:rPr>
        <w:t>36.3</w:t>
      </w:r>
      <w:r>
        <w:rPr>
          <w:rFonts w:cs="Arial"/>
          <w:sz w:val="21"/>
          <w:szCs w:val="21"/>
        </w:rPr>
        <w:t>有下列情形之一的，</w:t>
      </w:r>
      <w:r>
        <w:rPr>
          <w:sz w:val="21"/>
          <w:szCs w:val="21"/>
          <w:lang w:val="zh-CN"/>
        </w:rPr>
        <w:t>属于恶意串通，</w:t>
      </w:r>
      <w:r>
        <w:rPr>
          <w:sz w:val="21"/>
          <w:szCs w:val="21"/>
        </w:rPr>
        <w:t>成交无效，并</w:t>
      </w:r>
      <w:r>
        <w:rPr>
          <w:sz w:val="21"/>
          <w:szCs w:val="21"/>
          <w:lang w:val="zh-CN"/>
        </w:rPr>
        <w:t>依照《政府采购法》第七十七条的规定追究法律责任：</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（1）供应商直接或者间接从</w:t>
      </w:r>
      <w:r>
        <w:rPr>
          <w:rFonts w:hint="eastAsia" w:ascii="宋体" w:hAnsi="宋体"/>
          <w:bCs/>
          <w:szCs w:val="21"/>
        </w:rPr>
        <w:t>采购人、采购代理机构</w:t>
      </w:r>
      <w:r>
        <w:rPr>
          <w:rFonts w:hint="eastAsia" w:ascii="宋体" w:hAnsi="宋体"/>
          <w:szCs w:val="21"/>
        </w:rPr>
        <w:t>获得其他供应商的响应情况，并修改其响应文件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w:t>
      </w:r>
      <w:r>
        <w:rPr>
          <w:rFonts w:hint="eastAsia" w:ascii="宋体" w:hAnsi="宋体"/>
          <w:bCs/>
          <w:szCs w:val="21"/>
        </w:rPr>
        <w:t>采购人、采购代理机构</w:t>
      </w:r>
      <w:r>
        <w:rPr>
          <w:rFonts w:hint="eastAsia" w:ascii="宋体" w:hAnsi="宋体"/>
          <w:szCs w:val="21"/>
        </w:rPr>
        <w:t>授意供应商撤换、修改响应文件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（3）供应商之间协商技术方案、合同条款以及报价等响应文件实质性内容</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（4）属于同一集团、协会、商会等组织成员的供应商按照该组织要求协同参加竞争性谈判政府采购活动</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（5）供应商之间事先约定由某一特定供应商成交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（6）供应商之间商定部分供应商放弃</w:t>
      </w:r>
      <w:r>
        <w:rPr>
          <w:rFonts w:hint="eastAsia" w:ascii="宋体" w:hAnsi="宋体"/>
        </w:rPr>
        <w:t>提</w:t>
      </w:r>
      <w:r>
        <w:rPr>
          <w:rFonts w:hint="eastAsia" w:ascii="宋体" w:hAnsi="宋体"/>
          <w:szCs w:val="21"/>
        </w:rPr>
        <w:t>交响应文件或者退出谈判或者放弃成交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b/>
          <w:szCs w:val="21"/>
        </w:rPr>
      </w:pPr>
      <w:r>
        <w:rPr>
          <w:rFonts w:hint="eastAsia" w:ascii="宋体" w:hAnsi="宋体"/>
          <w:szCs w:val="21"/>
        </w:rPr>
        <w:t>（7）供应商与</w:t>
      </w:r>
      <w:r>
        <w:rPr>
          <w:rFonts w:hint="eastAsia" w:ascii="宋体" w:hAnsi="宋体"/>
          <w:bCs/>
          <w:szCs w:val="21"/>
        </w:rPr>
        <w:t>采购人、采购代理机构以及</w:t>
      </w:r>
      <w:r>
        <w:rPr>
          <w:rFonts w:hint="eastAsia" w:ascii="宋体" w:hAnsi="宋体"/>
          <w:szCs w:val="21"/>
        </w:rPr>
        <w:t>谈判小组成员之间、供应商相互之间，为谋求特定供应商成交或者排斥其他供应商的其他串通行为</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ascii="宋体" w:hAnsi="宋体" w:cs="Arial"/>
          <w:szCs w:val="21"/>
        </w:rPr>
        <w:t>（</w:t>
      </w:r>
      <w:r>
        <w:rPr>
          <w:rFonts w:hint="eastAsia" w:ascii="宋体" w:hAnsi="宋体" w:cs="Arial"/>
          <w:szCs w:val="21"/>
        </w:rPr>
        <w:t>8</w:t>
      </w:r>
      <w:r>
        <w:rPr>
          <w:rFonts w:ascii="宋体" w:hAnsi="宋体" w:cs="Arial"/>
          <w:szCs w:val="21"/>
        </w:rPr>
        <w:t>）</w:t>
      </w:r>
      <w:r>
        <w:rPr>
          <w:rFonts w:ascii="宋体" w:hAnsi="宋体"/>
          <w:szCs w:val="21"/>
        </w:rPr>
        <w:t>法律、行政法规或规章规定的其他串通行为。</w:t>
      </w:r>
    </w:p>
    <w:p>
      <w:pPr>
        <w:adjustRightInd w:val="0"/>
        <w:snapToGrid w:val="0"/>
        <w:spacing w:line="360" w:lineRule="auto"/>
        <w:rPr>
          <w:rFonts w:hint="eastAsia" w:ascii="黑体" w:hAnsi="宋体" w:eastAsia="黑体"/>
          <w:b/>
          <w:sz w:val="24"/>
        </w:rPr>
      </w:pPr>
      <w:r>
        <w:rPr>
          <w:rFonts w:hint="eastAsia" w:ascii="黑体" w:hAnsi="宋体" w:eastAsia="黑体"/>
          <w:b/>
          <w:sz w:val="24"/>
        </w:rPr>
        <w:t>六、成交结果信息公布与授予合同</w:t>
      </w:r>
    </w:p>
    <w:p>
      <w:pPr>
        <w:adjustRightInd w:val="0"/>
        <w:snapToGrid w:val="0"/>
        <w:spacing w:line="360" w:lineRule="auto"/>
        <w:rPr>
          <w:rFonts w:hint="eastAsia" w:ascii="宋体" w:hAnsi="宋体"/>
          <w:b/>
          <w:bCs/>
          <w:szCs w:val="21"/>
        </w:rPr>
      </w:pPr>
      <w:r>
        <w:rPr>
          <w:rFonts w:hint="eastAsia" w:ascii="宋体" w:hAnsi="宋体"/>
          <w:b/>
          <w:bCs/>
          <w:szCs w:val="21"/>
        </w:rPr>
        <w:t>37.成交信息的公布</w:t>
      </w:r>
    </w:p>
    <w:p>
      <w:pPr>
        <w:pStyle w:val="22"/>
        <w:adjustRightInd w:val="0"/>
        <w:snapToGrid w:val="0"/>
        <w:spacing w:line="360" w:lineRule="auto"/>
        <w:ind w:firstLine="420" w:firstLineChars="200"/>
        <w:rPr>
          <w:rFonts w:hint="eastAsia" w:hAnsi="宋体"/>
        </w:rPr>
      </w:pPr>
      <w:r>
        <w:rPr>
          <w:rFonts w:hint="eastAsia" w:hAnsi="宋体"/>
        </w:rPr>
        <w:t>37.1成交供应商确定后2个工作日内，采购人或者采购代理机构应将成交结果信息在</w:t>
      </w:r>
      <w:r>
        <w:rPr>
          <w:rFonts w:hint="eastAsia" w:hAnsi="宋体"/>
          <w:b/>
        </w:rPr>
        <w:t>谈判须知前附表</w:t>
      </w:r>
      <w:r>
        <w:rPr>
          <w:rFonts w:hint="eastAsia" w:hAnsi="宋体"/>
        </w:rPr>
        <w:t>指定的媒体上公布。</w:t>
      </w:r>
    </w:p>
    <w:p>
      <w:pPr>
        <w:adjustRightInd w:val="0"/>
        <w:snapToGrid w:val="0"/>
        <w:spacing w:line="360" w:lineRule="auto"/>
        <w:rPr>
          <w:rFonts w:hint="eastAsia" w:ascii="宋体" w:hAnsi="宋体"/>
          <w:b/>
          <w:bCs/>
          <w:szCs w:val="21"/>
        </w:rPr>
      </w:pPr>
      <w:r>
        <w:rPr>
          <w:rFonts w:hint="eastAsia" w:ascii="宋体" w:hAnsi="宋体"/>
          <w:b/>
          <w:bCs/>
          <w:szCs w:val="21"/>
        </w:rPr>
        <w:t>38.询问及质疑</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hint="eastAsia" w:hAnsi="宋体"/>
        </w:rPr>
      </w:pPr>
      <w:r>
        <w:rPr>
          <w:rFonts w:hint="eastAsia" w:ascii="宋体" w:hAnsi="宋体"/>
          <w:szCs w:val="21"/>
        </w:rPr>
        <w:t>38.2 供应商若认为谈判文件、采购过程和成交结果使自己的权益受到损害，可以按法律、规章及湖南省财政厅规范性文件规定向采购人或采购代理机构提出质疑。</w:t>
      </w:r>
    </w:p>
    <w:p>
      <w:pPr>
        <w:adjustRightInd w:val="0"/>
        <w:snapToGrid w:val="0"/>
        <w:spacing w:line="360" w:lineRule="auto"/>
        <w:rPr>
          <w:rFonts w:hint="eastAsia" w:ascii="宋体" w:hAnsi="宋体"/>
          <w:b/>
          <w:bCs/>
          <w:szCs w:val="21"/>
        </w:rPr>
      </w:pPr>
      <w:r>
        <w:rPr>
          <w:rFonts w:hint="eastAsia" w:ascii="宋体" w:hAnsi="宋体"/>
          <w:b/>
          <w:bCs/>
          <w:szCs w:val="21"/>
        </w:rPr>
        <w:t>39.成交通知</w:t>
      </w:r>
    </w:p>
    <w:p>
      <w:pPr>
        <w:pStyle w:val="22"/>
        <w:adjustRightInd w:val="0"/>
        <w:snapToGrid w:val="0"/>
        <w:spacing w:line="360" w:lineRule="auto"/>
        <w:ind w:firstLine="420" w:firstLineChars="200"/>
        <w:rPr>
          <w:rFonts w:hint="eastAsia" w:hAnsi="宋体"/>
        </w:rPr>
      </w:pPr>
      <w:r>
        <w:rPr>
          <w:rFonts w:hint="eastAsia" w:hAnsi="宋体"/>
        </w:rPr>
        <w:t>39.1成交供应商确定后，采购人或采购代理机构将以书面形式向成交供应商发出成交通知书。成交通知书对采购人和成交供应商具有同等法律效力。</w:t>
      </w:r>
    </w:p>
    <w:p>
      <w:pPr>
        <w:pStyle w:val="22"/>
        <w:adjustRightInd w:val="0"/>
        <w:snapToGrid w:val="0"/>
        <w:spacing w:line="360" w:lineRule="auto"/>
        <w:ind w:firstLine="420" w:firstLineChars="200"/>
        <w:rPr>
          <w:rFonts w:hint="eastAsia" w:hAnsi="宋体"/>
        </w:rPr>
      </w:pPr>
      <w:r>
        <w:rPr>
          <w:rFonts w:hint="eastAsia" w:hAnsi="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szCs w:val="21"/>
        </w:rPr>
      </w:pPr>
      <w:r>
        <w:rPr>
          <w:rFonts w:hint="eastAsia" w:ascii="宋体" w:hAnsi="宋体" w:cs="宋体"/>
          <w:kern w:val="0"/>
          <w:szCs w:val="21"/>
        </w:rPr>
        <w:t xml:space="preserve">39.3 </w:t>
      </w:r>
      <w:r>
        <w:rPr>
          <w:rFonts w:hint="eastAsia" w:ascii="宋体" w:hAnsi="宋体"/>
          <w:szCs w:val="21"/>
        </w:rPr>
        <w:t>成交供应商在收到采购代理机构的成交通知书后10日内，应按照</w:t>
      </w:r>
      <w:r>
        <w:rPr>
          <w:rFonts w:hint="eastAsia" w:ascii="宋体" w:hAnsi="宋体"/>
          <w:b/>
          <w:szCs w:val="21"/>
        </w:rPr>
        <w:t>谈判须知前附表</w:t>
      </w:r>
      <w:r>
        <w:rPr>
          <w:rFonts w:hint="eastAsia" w:ascii="宋体" w:hAnsi="宋体"/>
          <w:szCs w:val="21"/>
        </w:rPr>
        <w:t>的规定，向采购人提交履约担保。联合体成交的，履约担保由联合体各方或联合体中牵头人的名义提交。</w:t>
      </w:r>
    </w:p>
    <w:p>
      <w:pPr>
        <w:pStyle w:val="22"/>
        <w:adjustRightInd w:val="0"/>
        <w:snapToGrid w:val="0"/>
        <w:spacing w:line="360" w:lineRule="auto"/>
        <w:ind w:firstLine="420" w:firstLineChars="200"/>
        <w:rPr>
          <w:rFonts w:hint="eastAsia" w:hAnsi="宋体"/>
        </w:rPr>
      </w:pPr>
      <w:r>
        <w:rPr>
          <w:rFonts w:hint="eastAsia" w:hAnsi="宋体"/>
        </w:rPr>
        <w:t>39.4 成交供应商</w:t>
      </w:r>
      <w:r>
        <w:rPr>
          <w:rFonts w:hint="eastAsia" w:hAnsi="宋体"/>
          <w:spacing w:val="4"/>
        </w:rPr>
        <w:t>没有按照本章第38.3</w:t>
      </w:r>
      <w:r>
        <w:rPr>
          <w:rFonts w:hint="eastAsia" w:hAnsi="宋体" w:cs="宋体"/>
          <w:kern w:val="0"/>
          <w:lang w:val="zh-CN"/>
        </w:rPr>
        <w:t>款</w:t>
      </w:r>
      <w:r>
        <w:rPr>
          <w:rFonts w:hint="eastAsia" w:hAnsi="宋体"/>
          <w:spacing w:val="4"/>
        </w:rPr>
        <w:t>规定</w:t>
      </w:r>
      <w:r>
        <w:rPr>
          <w:rFonts w:hint="eastAsia" w:hAnsi="宋体"/>
        </w:rPr>
        <w:t>提交履约担保的</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adjustRightInd w:val="0"/>
        <w:snapToGrid w:val="0"/>
        <w:spacing w:line="360" w:lineRule="auto"/>
        <w:rPr>
          <w:rFonts w:hint="eastAsia" w:ascii="宋体" w:hAnsi="宋体"/>
          <w:b/>
          <w:bCs/>
          <w:szCs w:val="21"/>
        </w:rPr>
      </w:pPr>
      <w:r>
        <w:rPr>
          <w:rFonts w:hint="eastAsia" w:ascii="宋体" w:hAnsi="宋体"/>
          <w:b/>
          <w:bCs/>
          <w:szCs w:val="21"/>
        </w:rPr>
        <w:t>40.签订合同</w:t>
      </w:r>
    </w:p>
    <w:p>
      <w:pPr>
        <w:pStyle w:val="22"/>
        <w:adjustRightInd w:val="0"/>
        <w:snapToGrid w:val="0"/>
        <w:spacing w:line="360" w:lineRule="auto"/>
        <w:ind w:firstLine="420" w:firstLineChars="200"/>
        <w:rPr>
          <w:rFonts w:hint="eastAsia" w:hAnsi="宋体"/>
        </w:rPr>
      </w:pPr>
      <w:r>
        <w:rPr>
          <w:rFonts w:hint="eastAsia" w:hAnsi="宋体"/>
        </w:rPr>
        <w:t>40.1 谈判文件、成交供应商的响应文件及其补充的响应文件等均为签订政府采购合同的依据。</w:t>
      </w:r>
    </w:p>
    <w:p>
      <w:pPr>
        <w:pStyle w:val="22"/>
        <w:adjustRightInd w:val="0"/>
        <w:snapToGrid w:val="0"/>
        <w:spacing w:line="360" w:lineRule="auto"/>
        <w:ind w:firstLine="420" w:firstLineChars="200"/>
        <w:rPr>
          <w:rFonts w:hint="eastAsia" w:hAnsi="宋体"/>
        </w:rPr>
      </w:pPr>
      <w:r>
        <w:rPr>
          <w:rFonts w:hint="eastAsia" w:hAnsi="宋体"/>
        </w:rPr>
        <w:t>40.2 成交供应商应当在成交通知书发出之日起30日内与采购人签订政府采购合同。</w:t>
      </w:r>
    </w:p>
    <w:p>
      <w:pPr>
        <w:pStyle w:val="22"/>
        <w:adjustRightInd w:val="0"/>
        <w:snapToGrid w:val="0"/>
        <w:spacing w:line="360" w:lineRule="auto"/>
        <w:ind w:firstLine="420" w:firstLineChars="200"/>
        <w:rPr>
          <w:rFonts w:hAnsi="宋体"/>
        </w:rPr>
      </w:pPr>
      <w:r>
        <w:rPr>
          <w:rFonts w:hint="eastAsia" w:hAnsi="宋体"/>
        </w:rPr>
        <w:t>40.3 成交供应商应当按照合同约定履行义务。成交供应商不得向他人转让成交项目，也不得将成交项目分包后分别向他人转让。</w:t>
      </w:r>
    </w:p>
    <w:p>
      <w:pPr>
        <w:pStyle w:val="22"/>
        <w:adjustRightInd w:val="0"/>
        <w:snapToGrid w:val="0"/>
        <w:spacing w:line="360" w:lineRule="auto"/>
        <w:ind w:firstLine="420" w:firstLineChars="200"/>
        <w:rPr>
          <w:rFonts w:hint="eastAsia" w:hAnsi="宋体"/>
        </w:rPr>
      </w:pPr>
      <w:r>
        <w:rPr>
          <w:rFonts w:hint="eastAsia" w:hAnsi="宋体"/>
        </w:rPr>
        <w:t>40.4 成交供应商有下列情形之一的，责令限期改正，情节严重的，列入不良行为记录名单，在1至3年内禁止参加政府采购活动，并予以通报：</w:t>
      </w:r>
    </w:p>
    <w:p>
      <w:pPr>
        <w:pStyle w:val="22"/>
        <w:adjustRightInd w:val="0"/>
        <w:snapToGrid w:val="0"/>
        <w:spacing w:line="360" w:lineRule="auto"/>
        <w:ind w:firstLine="420" w:firstLineChars="200"/>
        <w:rPr>
          <w:rFonts w:hint="eastAsia" w:hAnsi="宋体"/>
        </w:rPr>
      </w:pPr>
      <w:r>
        <w:rPr>
          <w:rFonts w:hint="eastAsia" w:hAnsi="宋体"/>
        </w:rPr>
        <w:t>（一）成交后无正当理由不与采购人签订合同的；</w:t>
      </w:r>
    </w:p>
    <w:p>
      <w:pPr>
        <w:pStyle w:val="22"/>
        <w:adjustRightInd w:val="0"/>
        <w:snapToGrid w:val="0"/>
        <w:spacing w:line="360" w:lineRule="auto"/>
        <w:ind w:firstLine="420" w:firstLineChars="200"/>
        <w:rPr>
          <w:rFonts w:hint="eastAsia" w:hAnsi="宋体"/>
        </w:rPr>
      </w:pPr>
      <w:r>
        <w:rPr>
          <w:rFonts w:hint="eastAsia" w:hAnsi="宋体"/>
        </w:rPr>
        <w:t>（二）未按照采购文件确定的事项签订政府采购合同，或者与采购人另行订立背离合同实质性内容的协议的；</w:t>
      </w:r>
    </w:p>
    <w:p>
      <w:pPr>
        <w:pStyle w:val="22"/>
        <w:adjustRightInd w:val="0"/>
        <w:snapToGrid w:val="0"/>
        <w:spacing w:line="360" w:lineRule="auto"/>
        <w:ind w:firstLine="420" w:firstLineChars="200"/>
        <w:rPr>
          <w:rFonts w:hint="eastAsia" w:hAnsi="宋体"/>
        </w:rPr>
      </w:pPr>
      <w:r>
        <w:rPr>
          <w:rFonts w:hint="eastAsia" w:hAnsi="宋体"/>
        </w:rPr>
        <w:t>（三）拒绝履行合同义务的；</w:t>
      </w:r>
    </w:p>
    <w:p>
      <w:pPr>
        <w:pStyle w:val="22"/>
        <w:adjustRightInd w:val="0"/>
        <w:snapToGrid w:val="0"/>
        <w:spacing w:line="360" w:lineRule="auto"/>
        <w:ind w:firstLine="420" w:firstLineChars="200"/>
        <w:rPr>
          <w:rFonts w:hint="eastAsia" w:hAnsi="宋体" w:cs="宋体"/>
          <w:kern w:val="0"/>
        </w:rPr>
      </w:pPr>
      <w:r>
        <w:rPr>
          <w:rFonts w:hint="eastAsia" w:hAnsi="宋体"/>
        </w:rPr>
        <w:t>（四）</w:t>
      </w:r>
      <w:r>
        <w:rPr>
          <w:rFonts w:hint="eastAsia" w:hAnsi="宋体" w:cs="宋体"/>
          <w:kern w:val="0"/>
        </w:rPr>
        <w:t>违反法律、规章、规范性文件规定的。</w:t>
      </w:r>
    </w:p>
    <w:p>
      <w:pPr>
        <w:pStyle w:val="22"/>
        <w:adjustRightInd w:val="0"/>
        <w:snapToGrid w:val="0"/>
        <w:spacing w:line="360" w:lineRule="auto"/>
        <w:jc w:val="left"/>
        <w:rPr>
          <w:rFonts w:hint="eastAsia" w:ascii="黑体" w:hAnsi="宋体" w:eastAsia="黑体"/>
          <w:b/>
          <w:sz w:val="24"/>
          <w:szCs w:val="24"/>
        </w:rPr>
      </w:pPr>
      <w:r>
        <w:rPr>
          <w:rFonts w:hint="eastAsia" w:ascii="黑体" w:hAnsi="宋体" w:eastAsia="黑体"/>
          <w:b/>
          <w:sz w:val="24"/>
          <w:szCs w:val="24"/>
        </w:rPr>
        <w:t>七、其他规定</w:t>
      </w:r>
    </w:p>
    <w:p>
      <w:pPr>
        <w:adjustRightInd w:val="0"/>
        <w:snapToGrid w:val="0"/>
        <w:spacing w:line="360" w:lineRule="auto"/>
        <w:jc w:val="left"/>
        <w:rPr>
          <w:rFonts w:hint="eastAsia" w:ascii="宋体" w:hAnsi="宋体"/>
          <w:b/>
          <w:szCs w:val="21"/>
        </w:rPr>
      </w:pPr>
      <w:r>
        <w:rPr>
          <w:rFonts w:hint="eastAsia" w:ascii="宋体" w:hAnsi="宋体"/>
          <w:b/>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szCs w:val="21"/>
        </w:rPr>
      </w:pPr>
      <w:r>
        <w:rPr>
          <w:rFonts w:hint="eastAsia" w:ascii="宋体" w:hAnsi="宋体"/>
          <w:szCs w:val="21"/>
        </w:rPr>
        <w:t>41.1成交供应商应按</w:t>
      </w:r>
      <w:r>
        <w:rPr>
          <w:rFonts w:hint="eastAsia" w:ascii="宋体" w:hAnsi="宋体"/>
          <w:b/>
          <w:szCs w:val="21"/>
        </w:rPr>
        <w:t>谈判须知前附表</w:t>
      </w:r>
      <w:r>
        <w:rPr>
          <w:rFonts w:hint="eastAsia" w:ascii="宋体" w:hAnsi="宋体"/>
          <w:szCs w:val="21"/>
        </w:rPr>
        <w:t>规定交纳采购代理服务费。</w:t>
      </w:r>
    </w:p>
    <w:p>
      <w:pPr>
        <w:tabs>
          <w:tab w:val="left" w:pos="420"/>
          <w:tab w:val="left" w:pos="7560"/>
          <w:tab w:val="left" w:pos="7740"/>
          <w:tab w:val="left" w:pos="7920"/>
        </w:tabs>
        <w:adjustRightInd w:val="0"/>
        <w:snapToGrid w:val="0"/>
        <w:spacing w:line="360" w:lineRule="auto"/>
        <w:rPr>
          <w:rFonts w:hint="eastAsia" w:hAnsi="宋体"/>
          <w:b/>
        </w:rPr>
      </w:pPr>
      <w:r>
        <w:rPr>
          <w:rFonts w:hint="eastAsia" w:ascii="宋体" w:hAnsi="宋体"/>
          <w:b/>
          <w:szCs w:val="21"/>
        </w:rPr>
        <w:t>42.</w:t>
      </w:r>
      <w:r>
        <w:rPr>
          <w:rFonts w:hint="eastAsia" w:hAnsi="宋体"/>
          <w:b/>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szCs w:val="21"/>
        </w:rPr>
      </w:pPr>
      <w:r>
        <w:rPr>
          <w:rFonts w:hint="eastAsia" w:ascii="宋体" w:hAnsi="宋体"/>
        </w:rPr>
        <w:t>42.1</w:t>
      </w:r>
      <w:r>
        <w:rPr>
          <w:rFonts w:hint="eastAsia" w:ascii="宋体" w:hAnsi="宋体"/>
          <w:szCs w:val="21"/>
        </w:rPr>
        <w:t>谈判文件</w:t>
      </w:r>
      <w:r>
        <w:rPr>
          <w:rFonts w:hint="eastAsia" w:hAnsi="宋体"/>
        </w:rPr>
        <w:t>的其他规定</w:t>
      </w:r>
      <w:r>
        <w:rPr>
          <w:rFonts w:hint="eastAsia" w:ascii="宋体" w:hAnsi="宋体"/>
          <w:szCs w:val="21"/>
        </w:rPr>
        <w:t>见</w:t>
      </w:r>
      <w:r>
        <w:rPr>
          <w:rFonts w:hint="eastAsia" w:ascii="宋体" w:hAnsi="宋体"/>
          <w:b/>
          <w:szCs w:val="21"/>
        </w:rPr>
        <w:t>谈判须知前附表</w:t>
      </w:r>
      <w:r>
        <w:rPr>
          <w:rFonts w:hint="eastAsia" w:ascii="宋体" w:hAnsi="宋体"/>
          <w:szCs w:val="21"/>
        </w:rPr>
        <w:t>。</w:t>
      </w: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adjustRightInd w:val="0"/>
        <w:snapToGrid w:val="0"/>
        <w:spacing w:before="120" w:beforeLines="50" w:line="360" w:lineRule="auto"/>
        <w:ind w:right="23" w:rightChars="11"/>
        <w:rPr>
          <w:rFonts w:hint="eastAsia" w:ascii="宋体" w:hAnsi="宋体"/>
          <w:color w:val="auto"/>
          <w:szCs w:val="21"/>
        </w:rPr>
      </w:pPr>
    </w:p>
    <w:p>
      <w:pPr>
        <w:pStyle w:val="2"/>
        <w:jc w:val="center"/>
        <w:rPr>
          <w:rFonts w:hint="eastAsia" w:ascii="黑体" w:hAnsi="华文中宋" w:eastAsia="黑体"/>
          <w:b w:val="0"/>
          <w:bCs w:val="0"/>
          <w:color w:val="auto"/>
          <w:szCs w:val="32"/>
        </w:rPr>
      </w:pPr>
      <w:bookmarkStart w:id="4" w:name="_Toc19693"/>
      <w:r>
        <w:rPr>
          <w:rFonts w:hint="eastAsia"/>
          <w:color w:val="auto"/>
        </w:rPr>
        <w:t>第三章  政府采购合同格式条款</w:t>
      </w:r>
      <w:bookmarkEnd w:id="4"/>
    </w:p>
    <w:p>
      <w:pPr>
        <w:spacing w:line="400" w:lineRule="exact"/>
        <w:ind w:right="23" w:rightChars="11"/>
        <w:jc w:val="center"/>
        <w:rPr>
          <w:rFonts w:hint="eastAsia" w:ascii="黑体" w:hAnsi="宋体" w:eastAsia="黑体"/>
          <w:b/>
          <w:color w:val="auto"/>
          <w:sz w:val="32"/>
          <w:szCs w:val="32"/>
        </w:rPr>
      </w:pPr>
    </w:p>
    <w:p>
      <w:pPr>
        <w:pStyle w:val="3"/>
        <w:jc w:val="center"/>
        <w:rPr>
          <w:rFonts w:ascii="黑体" w:eastAsia="黑体"/>
          <w:b/>
          <w:color w:val="auto"/>
          <w:szCs w:val="36"/>
        </w:rPr>
      </w:pPr>
      <w:bookmarkStart w:id="5" w:name="_Toc25445"/>
      <w:r>
        <w:rPr>
          <w:rFonts w:hint="eastAsia"/>
          <w:color w:val="auto"/>
        </w:rPr>
        <w:t>政府采购合同协议书</w:t>
      </w:r>
      <w:bookmarkEnd w:id="5"/>
    </w:p>
    <w:p>
      <w:pPr>
        <w:jc w:val="center"/>
        <w:rPr>
          <w:rFonts w:hint="eastAsia" w:ascii="黑体" w:hAnsi="宋体" w:eastAsia="黑体"/>
          <w:b/>
          <w:color w:val="auto"/>
          <w:sz w:val="36"/>
          <w:szCs w:val="36"/>
        </w:rPr>
      </w:pPr>
    </w:p>
    <w:p>
      <w:pPr>
        <w:jc w:val="center"/>
        <w:rPr>
          <w:rFonts w:hint="eastAsia" w:ascii="黑体" w:hAnsi="宋体" w:eastAsia="黑体"/>
          <w:b/>
          <w:sz w:val="36"/>
          <w:szCs w:val="36"/>
        </w:rPr>
      </w:pPr>
    </w:p>
    <w:p>
      <w:pPr>
        <w:ind w:firstLine="5280" w:firstLineChars="2200"/>
        <w:rPr>
          <w:rFonts w:hint="eastAsia" w:ascii="黑体" w:eastAsia="黑体"/>
          <w:b/>
          <w:sz w:val="32"/>
          <w:szCs w:val="32"/>
        </w:rPr>
      </w:pPr>
      <w:r>
        <w:rPr>
          <w:rFonts w:hint="eastAsia" w:ascii="宋体" w:hAnsi="宋体"/>
          <w:sz w:val="24"/>
        </w:rPr>
        <w:t>采购合同编号：</w:t>
      </w:r>
      <w:r>
        <w:rPr>
          <w:rFonts w:ascii="宋体" w:hAnsi="宋体"/>
          <w:sz w:val="24"/>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采购人 （全称）：</w:t>
      </w:r>
      <w:r>
        <w:rPr>
          <w:rFonts w:hint="eastAsia" w:ascii="宋体" w:hAnsi="宋体"/>
          <w:szCs w:val="21"/>
          <w:u w:val="single"/>
        </w:rPr>
        <w:t xml:space="preserve">                             </w:t>
      </w:r>
      <w:r>
        <w:rPr>
          <w:rFonts w:hint="eastAsia" w:ascii="宋体" w:hAnsi="宋体"/>
          <w:szCs w:val="21"/>
        </w:rPr>
        <w:t>（甲方）</w:t>
      </w:r>
    </w:p>
    <w:p>
      <w:pPr>
        <w:adjustRightInd w:val="0"/>
        <w:snapToGrid w:val="0"/>
        <w:spacing w:line="360" w:lineRule="auto"/>
        <w:rPr>
          <w:rFonts w:hint="eastAsia" w:ascii="宋体" w:hAnsi="宋体"/>
          <w:szCs w:val="21"/>
        </w:rPr>
      </w:pPr>
      <w:r>
        <w:rPr>
          <w:rFonts w:hint="eastAsia" w:ascii="宋体" w:hAnsi="宋体"/>
          <w:szCs w:val="21"/>
        </w:rPr>
        <w:t>供应商 （全称）：</w:t>
      </w:r>
      <w:r>
        <w:rPr>
          <w:rFonts w:hint="eastAsia" w:ascii="宋体" w:hAnsi="宋体"/>
          <w:szCs w:val="21"/>
          <w:u w:val="single"/>
        </w:rPr>
        <w:t xml:space="preserve">                             </w:t>
      </w:r>
      <w:r>
        <w:rPr>
          <w:rFonts w:hint="eastAsia" w:ascii="宋体" w:hAnsi="宋体"/>
          <w:szCs w:val="21"/>
        </w:rPr>
        <w:t>（乙方）</w:t>
      </w:r>
    </w:p>
    <w:p>
      <w:pPr>
        <w:pStyle w:val="18"/>
        <w:adjustRightInd w:val="0"/>
        <w:snapToGrid w:val="0"/>
        <w:spacing w:after="0" w:line="360" w:lineRule="auto"/>
        <w:rPr>
          <w:rFonts w:hint="eastAsia" w:ascii="宋体" w:hAnsi="宋体"/>
          <w:szCs w:val="21"/>
        </w:rPr>
      </w:pPr>
    </w:p>
    <w:p>
      <w:pPr>
        <w:pStyle w:val="18"/>
        <w:adjustRightInd w:val="0"/>
        <w:snapToGrid w:val="0"/>
        <w:spacing w:after="0" w:line="360" w:lineRule="auto"/>
        <w:ind w:left="0" w:leftChars="0" w:firstLine="420" w:firstLineChars="200"/>
        <w:rPr>
          <w:rFonts w:hint="eastAsia"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1.项目信息</w:t>
      </w:r>
    </w:p>
    <w:p>
      <w:pPr>
        <w:pStyle w:val="18"/>
        <w:adjustRightInd w:val="0"/>
        <w:snapToGrid w:val="0"/>
        <w:spacing w:after="0" w:line="360" w:lineRule="auto"/>
        <w:rPr>
          <w:rFonts w:hint="eastAsia" w:ascii="宋体" w:hAnsi="宋体"/>
          <w:szCs w:val="21"/>
        </w:rPr>
      </w:pPr>
      <w:r>
        <w:rPr>
          <w:rFonts w:hint="eastAsia" w:ascii="宋体" w:hAnsi="宋体"/>
          <w:szCs w:val="21"/>
        </w:rPr>
        <w:t>（1）采购项目名称：</w:t>
      </w:r>
      <w:r>
        <w:rPr>
          <w:rFonts w:ascii="宋体" w:hAnsi="宋体"/>
          <w:szCs w:val="21"/>
          <w:u w:val="single"/>
        </w:rPr>
        <w:t xml:space="preserve">                                          </w:t>
      </w:r>
    </w:p>
    <w:p>
      <w:pPr>
        <w:pStyle w:val="18"/>
        <w:adjustRightInd w:val="0"/>
        <w:snapToGrid w:val="0"/>
        <w:spacing w:after="0" w:line="360" w:lineRule="auto"/>
        <w:rPr>
          <w:rFonts w:hint="eastAsia" w:ascii="宋体" w:hAnsi="宋体"/>
          <w:szCs w:val="21"/>
        </w:rPr>
      </w:pPr>
      <w:r>
        <w:rPr>
          <w:rFonts w:hint="eastAsia" w:ascii="宋体" w:hAnsi="宋体"/>
          <w:szCs w:val="21"/>
        </w:rPr>
        <w:t>（2）采购计划编号：</w:t>
      </w:r>
      <w:r>
        <w:rPr>
          <w:rFonts w:ascii="宋体" w:hAnsi="宋体"/>
          <w:szCs w:val="21"/>
          <w:u w:val="single"/>
        </w:rPr>
        <w:t xml:space="preserve">                          </w:t>
      </w:r>
      <w:r>
        <w:rPr>
          <w:rFonts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（3）项目内容：</w:t>
      </w:r>
      <w:r>
        <w:rPr>
          <w:rFonts w:hint="eastAsia" w:ascii="宋体" w:hAnsi="宋体"/>
          <w:szCs w:val="21"/>
          <w:u w:val="single"/>
        </w:rPr>
        <w:t xml:space="preserve">                             </w:t>
      </w:r>
    </w:p>
    <w:p>
      <w:pPr>
        <w:adjustRightInd w:val="0"/>
        <w:snapToGrid w:val="0"/>
        <w:spacing w:line="360" w:lineRule="auto"/>
        <w:ind w:firstLine="413" w:firstLineChars="196"/>
        <w:rPr>
          <w:rFonts w:hint="eastAsia" w:ascii="宋体" w:hAnsi="宋体"/>
          <w:b/>
          <w:szCs w:val="21"/>
        </w:rPr>
      </w:pPr>
      <w:r>
        <w:rPr>
          <w:rFonts w:hint="eastAsia" w:ascii="宋体" w:hAnsi="宋体"/>
          <w:b/>
          <w:szCs w:val="21"/>
        </w:rPr>
        <w:t>2.合同金额</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360" w:lineRule="auto"/>
        <w:ind w:firstLine="1260" w:firstLineChars="600"/>
        <w:rPr>
          <w:rFonts w:hint="eastAsia" w:ascii="宋体" w:hAnsi="宋体"/>
          <w:b/>
          <w:szCs w:val="21"/>
        </w:rPr>
      </w:pP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（2）具体标的见附件。</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（3）合同价格形式：</w:t>
      </w:r>
      <w:r>
        <w:rPr>
          <w:rFonts w:hint="eastAsia" w:ascii="宋体" w:hAnsi="宋体"/>
          <w:szCs w:val="21"/>
          <w:u w:val="single"/>
        </w:rPr>
        <w:t xml:space="preserve"> 固定总价合同     </w:t>
      </w:r>
      <w:r>
        <w:rPr>
          <w:rFonts w:hint="eastAsia" w:ascii="宋体" w:hAnsi="宋体"/>
          <w:szCs w:val="21"/>
        </w:rPr>
        <w:t xml:space="preserve"> 。</w:t>
      </w:r>
    </w:p>
    <w:p>
      <w:pPr>
        <w:adjustRightInd w:val="0"/>
        <w:snapToGrid w:val="0"/>
        <w:spacing w:line="360" w:lineRule="auto"/>
        <w:ind w:firstLine="422" w:firstLineChars="200"/>
        <w:rPr>
          <w:rFonts w:hint="eastAsia"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spacing w:line="360" w:lineRule="auto"/>
        <w:ind w:firstLine="630" w:firstLineChars="300"/>
        <w:rPr>
          <w:rFonts w:hint="eastAsia"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spacing w:line="360" w:lineRule="auto"/>
        <w:ind w:firstLine="630" w:firstLineChars="300"/>
        <w:rPr>
          <w:rFonts w:hint="eastAsia"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spacing w:line="360" w:lineRule="auto"/>
        <w:ind w:firstLine="630" w:firstLineChars="300"/>
        <w:rPr>
          <w:rFonts w:hint="eastAsia" w:ascii="宋体" w:hAnsi="宋体"/>
          <w:szCs w:val="21"/>
        </w:rPr>
      </w:pPr>
      <w:r>
        <w:rPr>
          <w:rFonts w:hint="eastAsia" w:ascii="宋体" w:hAnsi="宋体"/>
          <w:szCs w:val="21"/>
        </w:rPr>
        <w:t>方式：</w:t>
      </w:r>
      <w:r>
        <w:rPr>
          <w:rFonts w:hint="eastAsia" w:ascii="宋体" w:hAnsi="宋体"/>
          <w:szCs w:val="21"/>
          <w:u w:val="single"/>
        </w:rPr>
        <w:t xml:space="preserve">                             </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4.付款：</w:t>
      </w:r>
    </w:p>
    <w:p>
      <w:pPr>
        <w:ind w:firstLine="630" w:firstLineChars="300"/>
        <w:rPr>
          <w:rFonts w:hint="eastAsia" w:ascii="宋体" w:hAnsi="宋体"/>
          <w:bCs/>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ind w:firstLine="630" w:firstLineChars="300"/>
        <w:rPr>
          <w:rFonts w:hint="eastAsia" w:ascii="宋体" w:hAnsi="宋体"/>
          <w:szCs w:val="21"/>
        </w:rPr>
      </w:pPr>
      <w:r>
        <w:rPr>
          <w:rFonts w:hint="eastAsia" w:ascii="宋体" w:hAnsi="宋体"/>
          <w:bCs/>
          <w:szCs w:val="21"/>
        </w:rPr>
        <w:t>2、根据采购文件的约定需支付预付款的，须在合同签订前提交不超过合同金额10%的履约担保。</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5.解决合同纠纷方式</w:t>
      </w:r>
    </w:p>
    <w:p>
      <w:pPr>
        <w:adjustRightInd w:val="0"/>
        <w:snapToGrid w:val="0"/>
        <w:spacing w:line="360" w:lineRule="auto"/>
        <w:ind w:firstLine="420" w:firstLineChars="200"/>
        <w:rPr>
          <w:rFonts w:hint="eastAsia"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line="360" w:lineRule="auto"/>
        <w:ind w:firstLine="840" w:firstLineChars="400"/>
        <w:rPr>
          <w:rFonts w:hint="eastAsia" w:ascii="宋体" w:hAnsi="宋体"/>
          <w:szCs w:val="21"/>
        </w:rPr>
      </w:pPr>
      <w:r>
        <w:rPr>
          <w:rFonts w:hint="eastAsia" w:ascii="宋体" w:hAnsi="宋体"/>
          <w:szCs w:val="21"/>
        </w:rPr>
        <w:t>□ 提请仲裁       □ 向人民法院提起诉讼</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6.组成合同的文件</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（2）成交通知书</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（3）响应文件</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（4）政府采购合同格式条款及其附件</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（5）专用合同条款</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（6）通用合同条款（如果有）</w:t>
      </w:r>
    </w:p>
    <w:p>
      <w:pPr>
        <w:adjustRightInd w:val="0"/>
        <w:snapToGrid w:val="0"/>
        <w:spacing w:line="360" w:lineRule="auto"/>
        <w:ind w:firstLine="420" w:firstLineChars="200"/>
        <w:rPr>
          <w:rFonts w:hint="eastAsia" w:ascii="宋体" w:hAnsi="宋体"/>
          <w:szCs w:val="21"/>
        </w:rPr>
      </w:pPr>
      <w:r>
        <w:rPr>
          <w:rFonts w:hint="eastAsia" w:ascii="宋体" w:hAnsi="宋体"/>
          <w:szCs w:val="21"/>
        </w:rPr>
        <w:t>（7）标准、规范及有关技术文件，图纸，已标价工程量清单或预算书（如果有）</w:t>
      </w:r>
    </w:p>
    <w:p>
      <w:pPr>
        <w:adjustRightInd w:val="0"/>
        <w:snapToGrid w:val="0"/>
        <w:spacing w:line="360" w:lineRule="auto"/>
        <w:ind w:firstLine="420" w:firstLineChars="200"/>
        <w:rPr>
          <w:rFonts w:hint="eastAsia" w:ascii="宋体" w:hAnsi="宋体"/>
          <w:szCs w:val="21"/>
        </w:rPr>
      </w:pPr>
      <w:r>
        <w:rPr>
          <w:rFonts w:hint="eastAsia" w:ascii="宋体" w:hAnsi="宋体"/>
          <w:szCs w:val="21"/>
        </w:rPr>
        <w:t>（8）其他合同文件。</w:t>
      </w:r>
    </w:p>
    <w:p>
      <w:pPr>
        <w:adjustRightInd w:val="0"/>
        <w:snapToGrid w:val="0"/>
        <w:spacing w:line="360" w:lineRule="auto"/>
        <w:ind w:firstLine="310" w:firstLineChars="147"/>
        <w:rPr>
          <w:rFonts w:hint="eastAsia" w:ascii="宋体" w:hAnsi="宋体"/>
          <w:b/>
          <w:szCs w:val="21"/>
        </w:rPr>
      </w:pPr>
      <w:r>
        <w:rPr>
          <w:rFonts w:hint="eastAsia" w:ascii="宋体" w:hAnsi="宋体"/>
          <w:b/>
          <w:szCs w:val="21"/>
        </w:rPr>
        <w:t>7.合同生效</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360" w:lineRule="auto"/>
        <w:ind w:firstLine="310" w:firstLineChars="147"/>
        <w:rPr>
          <w:rFonts w:hint="eastAsia" w:ascii="宋体" w:hAnsi="宋体"/>
          <w:b/>
          <w:szCs w:val="21"/>
        </w:rPr>
      </w:pPr>
      <w:r>
        <w:rPr>
          <w:rFonts w:hint="eastAsia" w:ascii="宋体" w:hAnsi="宋体"/>
          <w:b/>
          <w:szCs w:val="21"/>
        </w:rPr>
        <w:t>8.合同份数</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份、政府采购监管部门1份、采购代理机构1份，均具有同等法律效力。</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hint="eastAsia"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    </w:t>
      </w:r>
    </w:p>
    <w:p>
      <w:pPr>
        <w:adjustRightInd w:val="0"/>
        <w:snapToGrid w:val="0"/>
        <w:spacing w:line="360" w:lineRule="auto"/>
        <w:rPr>
          <w:rFonts w:hint="eastAsia" w:ascii="宋体" w:hAnsi="宋体"/>
          <w:szCs w:val="21"/>
        </w:rPr>
      </w:pPr>
      <w:r>
        <w:rPr>
          <w:rFonts w:hint="eastAsia" w:ascii="宋体" w:hAnsi="宋体"/>
          <w:szCs w:val="21"/>
        </w:rPr>
        <w:t>甲      方：（公章）                     乙      方：（公章）</w:t>
      </w:r>
    </w:p>
    <w:p>
      <w:pPr>
        <w:adjustRightInd w:val="0"/>
        <w:snapToGrid w:val="0"/>
        <w:spacing w:line="360" w:lineRule="auto"/>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snapToGrid w:val="0"/>
        <w:spacing w:line="360" w:lineRule="auto"/>
        <w:jc w:val="center"/>
        <w:rPr>
          <w:rFonts w:hint="eastAsia"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snapToGrid w:val="0"/>
        <w:spacing w:line="360" w:lineRule="auto"/>
        <w:ind w:right="23" w:rightChars="11"/>
        <w:jc w:val="both"/>
        <w:rPr>
          <w:rFonts w:hint="eastAsia" w:ascii="宋体" w:hAnsi="宋体"/>
          <w:b/>
          <w:color w:val="auto"/>
          <w:szCs w:val="21"/>
        </w:rPr>
      </w:pPr>
    </w:p>
    <w:p>
      <w:pPr>
        <w:ind w:right="23" w:rightChars="11"/>
        <w:rPr>
          <w:rFonts w:hint="eastAsia"/>
          <w:color w:val="auto"/>
        </w:rPr>
      </w:pPr>
    </w:p>
    <w:p>
      <w:pPr>
        <w:pStyle w:val="3"/>
        <w:jc w:val="center"/>
        <w:rPr>
          <w:rFonts w:hint="eastAsia"/>
          <w:color w:val="auto"/>
        </w:rPr>
      </w:pPr>
      <w:r>
        <w:rPr>
          <w:rFonts w:hint="eastAsia"/>
          <w:color w:val="auto"/>
        </w:rPr>
        <w:br w:type="page"/>
      </w:r>
      <w:bookmarkStart w:id="6" w:name="_Toc29284"/>
    </w:p>
    <w:p>
      <w:pPr>
        <w:pStyle w:val="3"/>
        <w:jc w:val="center"/>
        <w:rPr>
          <w:rFonts w:hint="eastAsia"/>
          <w:color w:val="auto"/>
        </w:rPr>
      </w:pPr>
    </w:p>
    <w:p>
      <w:pPr>
        <w:pStyle w:val="3"/>
        <w:jc w:val="center"/>
        <w:rPr>
          <w:rFonts w:hint="eastAsia"/>
          <w:color w:val="auto"/>
        </w:rPr>
      </w:pPr>
      <w:r>
        <w:rPr>
          <w:rFonts w:hint="eastAsia"/>
          <w:color w:val="auto"/>
        </w:rPr>
        <w:t>二、通用合同条款</w:t>
      </w:r>
      <w:bookmarkEnd w:id="6"/>
    </w:p>
    <w:p>
      <w:pPr>
        <w:widowControl/>
        <w:ind w:right="23" w:rightChars="11"/>
        <w:rPr>
          <w:rFonts w:hint="eastAsia" w:ascii="宋体" w:hAnsi="宋体" w:cs="宋体"/>
          <w:color w:val="auto"/>
          <w:kern w:val="0"/>
          <w:szCs w:val="21"/>
        </w:rPr>
      </w:pPr>
    </w:p>
    <w:p>
      <w:pPr>
        <w:widowControl/>
        <w:spacing w:line="360" w:lineRule="auto"/>
        <w:ind w:firstLine="207" w:firstLineChars="98"/>
        <w:rPr>
          <w:rFonts w:hint="eastAsia"/>
          <w:b/>
        </w:rPr>
      </w:pPr>
    </w:p>
    <w:p>
      <w:pPr>
        <w:widowControl/>
        <w:spacing w:line="360" w:lineRule="auto"/>
        <w:ind w:firstLine="207" w:firstLineChars="98"/>
        <w:rPr>
          <w:rFonts w:hint="eastAsia"/>
          <w:b/>
        </w:rPr>
      </w:pPr>
    </w:p>
    <w:p>
      <w:pPr>
        <w:widowControl/>
        <w:spacing w:line="360" w:lineRule="auto"/>
        <w:ind w:firstLine="207" w:firstLineChars="98"/>
        <w:rPr>
          <w:rFonts w:hint="eastAsia"/>
          <w:b/>
        </w:rPr>
      </w:pPr>
    </w:p>
    <w:p>
      <w:pPr>
        <w:widowControl/>
        <w:spacing w:line="360" w:lineRule="auto"/>
        <w:ind w:firstLine="207" w:firstLineChars="98"/>
        <w:rPr>
          <w:rFonts w:hint="eastAsia"/>
          <w:b/>
        </w:rPr>
      </w:pPr>
    </w:p>
    <w:p>
      <w:pPr>
        <w:adjustRightInd w:val="0"/>
        <w:snapToGrid w:val="0"/>
        <w:spacing w:line="360" w:lineRule="auto"/>
        <w:ind w:firstLine="420" w:firstLineChars="200"/>
        <w:rPr>
          <w:rFonts w:hint="eastAsia" w:ascii="黑体" w:hAnsi="宋体" w:eastAsia="黑体"/>
          <w:b/>
          <w:bCs/>
          <w:sz w:val="30"/>
          <w:szCs w:val="30"/>
        </w:rPr>
      </w:pPr>
      <w:bookmarkStart w:id="7" w:name="_Toc21960"/>
      <w:r>
        <w:rPr>
          <w:rFonts w:hint="eastAsia" w:ascii="宋体" w:hAnsi="宋体"/>
          <w:bCs/>
          <w:szCs w:val="21"/>
        </w:rPr>
        <w:t>服务类政府采购合同格式文本</w:t>
      </w:r>
      <w:r>
        <w:rPr>
          <w:rFonts w:hint="eastAsia" w:ascii="宋体"/>
          <w:szCs w:val="21"/>
        </w:rPr>
        <w:t>省级以上政府部门或行业组织有标准或</w:t>
      </w:r>
      <w:r>
        <w:rPr>
          <w:rFonts w:ascii="宋体" w:hAnsi="宋体"/>
          <w:szCs w:val="21"/>
        </w:rPr>
        <w:t>示范</w:t>
      </w:r>
      <w:r>
        <w:rPr>
          <w:rFonts w:hint="eastAsia" w:ascii="宋体"/>
          <w:szCs w:val="21"/>
        </w:rPr>
        <w:t>文本的，应按照其文本确定</w:t>
      </w:r>
      <w:r>
        <w:rPr>
          <w:rFonts w:hint="eastAsia" w:ascii="宋体" w:hAnsi="宋体"/>
          <w:bCs/>
          <w:szCs w:val="21"/>
        </w:rPr>
        <w:t>合同格式</w:t>
      </w:r>
      <w:r>
        <w:rPr>
          <w:rFonts w:hint="eastAsia" w:ascii="宋体"/>
          <w:szCs w:val="21"/>
        </w:rPr>
        <w:t>。没有文本的，按照《中华人民共和国合同法》及采购项目特点自行拟定特定文本确定</w:t>
      </w:r>
      <w:r>
        <w:rPr>
          <w:rFonts w:hint="eastAsia" w:ascii="宋体" w:hAnsi="宋体"/>
          <w:bCs/>
          <w:szCs w:val="21"/>
        </w:rPr>
        <w:t>合同格式</w:t>
      </w:r>
      <w:r>
        <w:rPr>
          <w:rFonts w:hint="eastAsia" w:ascii="宋体"/>
          <w:szCs w:val="21"/>
        </w:rPr>
        <w:t>。</w:t>
      </w:r>
      <w:r>
        <w:rPr>
          <w:rFonts w:hint="eastAsia" w:ascii="宋体"/>
          <w:b/>
          <w:bCs/>
          <w:szCs w:val="21"/>
        </w:rPr>
        <w:t>（具体签订协议时确定）</w:t>
      </w: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p>
      <w:pPr>
        <w:widowControl/>
        <w:spacing w:line="360" w:lineRule="auto"/>
        <w:ind w:firstLine="207" w:firstLineChars="98"/>
        <w:jc w:val="center"/>
        <w:rPr>
          <w:rFonts w:hint="eastAsia"/>
          <w:b/>
        </w:rPr>
      </w:pPr>
    </w:p>
    <w:bookmarkEnd w:id="7"/>
    <w:p>
      <w:pPr>
        <w:widowControl/>
        <w:spacing w:line="360" w:lineRule="auto"/>
        <w:ind w:firstLine="207" w:firstLineChars="98"/>
        <w:rPr>
          <w:rFonts w:hint="eastAsia"/>
          <w:b/>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spacing w:line="360" w:lineRule="exact"/>
        <w:ind w:right="23" w:rightChars="11"/>
        <w:jc w:val="center"/>
        <w:rPr>
          <w:rFonts w:hint="eastAsia" w:ascii="黑体" w:hAnsi="宋体" w:eastAsia="黑体"/>
          <w:b/>
          <w:bCs/>
          <w:color w:val="auto"/>
          <w:sz w:val="32"/>
          <w:szCs w:val="32"/>
        </w:rPr>
      </w:pPr>
    </w:p>
    <w:p>
      <w:pPr>
        <w:pStyle w:val="2"/>
        <w:keepLines w:val="0"/>
        <w:pageBreakBefore w:val="0"/>
        <w:kinsoku/>
        <w:wordWrap/>
        <w:overflowPunct/>
        <w:topLinePunct w:val="0"/>
        <w:autoSpaceDE/>
        <w:autoSpaceDN/>
        <w:bidi w:val="0"/>
        <w:spacing w:line="360" w:lineRule="auto"/>
        <w:jc w:val="both"/>
        <w:textAlignment w:val="auto"/>
        <w:rPr>
          <w:rFonts w:hint="eastAsia"/>
          <w:color w:val="auto"/>
        </w:rPr>
      </w:pPr>
      <w:bookmarkStart w:id="8" w:name="_Toc15641"/>
    </w:p>
    <w:p>
      <w:pPr>
        <w:pStyle w:val="2"/>
        <w:keepLines w:val="0"/>
        <w:pageBreakBefore w:val="0"/>
        <w:numPr>
          <w:ilvl w:val="0"/>
          <w:numId w:val="0"/>
        </w:numPr>
        <w:kinsoku/>
        <w:wordWrap/>
        <w:overflowPunct/>
        <w:topLinePunct w:val="0"/>
        <w:autoSpaceDE/>
        <w:autoSpaceDN/>
        <w:bidi w:val="0"/>
        <w:spacing w:line="360" w:lineRule="auto"/>
        <w:ind w:leftChars="0"/>
        <w:jc w:val="center"/>
        <w:textAlignment w:val="auto"/>
        <w:rPr>
          <w:rFonts w:hint="eastAsia"/>
          <w:color w:val="auto"/>
        </w:rPr>
      </w:pPr>
      <w:r>
        <w:rPr>
          <w:rFonts w:hint="eastAsia"/>
          <w:color w:val="auto"/>
          <w:lang w:eastAsia="zh-CN"/>
        </w:rPr>
        <w:br w:type="textWrapping"/>
      </w:r>
      <w:r>
        <w:rPr>
          <w:rFonts w:hint="eastAsia"/>
          <w:color w:val="auto"/>
          <w:lang w:eastAsia="zh-CN"/>
        </w:rPr>
        <w:t>第四章</w:t>
      </w:r>
      <w:r>
        <w:rPr>
          <w:rFonts w:hint="eastAsia"/>
          <w:color w:val="auto"/>
          <w:lang w:val="en-US" w:eastAsia="zh-CN"/>
        </w:rPr>
        <w:t xml:space="preserve"> </w:t>
      </w:r>
      <w:r>
        <w:rPr>
          <w:rFonts w:hint="eastAsia"/>
          <w:color w:val="auto"/>
        </w:rPr>
        <w:t>采购需求</w:t>
      </w:r>
      <w:bookmarkEnd w:id="8"/>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23" w:rightChars="11"/>
        <w:jc w:val="both"/>
        <w:textAlignment w:val="auto"/>
        <w:outlineLvl w:val="9"/>
        <w:rPr>
          <w:rFonts w:hint="eastAsia" w:ascii="宋体" w:hAnsi="宋体" w:eastAsia="宋体" w:cs="宋体"/>
          <w:color w:val="auto"/>
          <w:sz w:val="21"/>
          <w:szCs w:val="21"/>
          <w:highlight w:val="none"/>
        </w:rPr>
      </w:pPr>
      <w:bookmarkStart w:id="9" w:name="_Toc300678508"/>
      <w:r>
        <w:rPr>
          <w:rFonts w:hint="eastAsia" w:ascii="宋体" w:hAnsi="宋体" w:eastAsia="宋体" w:cs="宋体"/>
          <w:b/>
          <w:color w:val="auto"/>
          <w:sz w:val="21"/>
          <w:szCs w:val="21"/>
          <w:highlight w:val="none"/>
        </w:rPr>
        <w:t>采购项目名称 ：</w:t>
      </w:r>
      <w:r>
        <w:rPr>
          <w:rFonts w:hint="eastAsia"/>
          <w:color w:val="auto"/>
          <w:highlight w:val="none"/>
          <w:lang w:val="en-US" w:eastAsia="zh-CN"/>
        </w:rPr>
        <w:t xml:space="preserve">宁乡市金玉路金鑫北路提质改造项目监理 </w:t>
      </w:r>
    </w:p>
    <w:bookmarkEnd w:id="9"/>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23" w:rightChars="11"/>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采购预算</w:t>
      </w:r>
      <w:r>
        <w:rPr>
          <w:rFonts w:hint="eastAsia" w:ascii="宋体" w:hAnsi="宋体" w:eastAsia="宋体" w:cs="宋体"/>
          <w:color w:val="auto"/>
          <w:sz w:val="21"/>
          <w:szCs w:val="21"/>
          <w:highlight w:val="none"/>
        </w:rPr>
        <w:t>：</w:t>
      </w:r>
      <w:r>
        <w:rPr>
          <w:rFonts w:hint="eastAsia" w:ascii="宋体" w:hAnsi="宋体" w:cs="宋体"/>
          <w:b w:val="0"/>
          <w:bCs w:val="0"/>
          <w:color w:val="auto"/>
          <w:sz w:val="21"/>
          <w:szCs w:val="21"/>
          <w:highlight w:val="none"/>
          <w:lang w:val="en-US" w:eastAsia="zh-CN"/>
        </w:rPr>
        <w:t>264852.95</w:t>
      </w:r>
      <w:r>
        <w:rPr>
          <w:rFonts w:hint="eastAsia" w:ascii="宋体" w:hAnsi="宋体" w:eastAsia="宋体" w:cs="宋体"/>
          <w:color w:val="auto"/>
          <w:sz w:val="21"/>
          <w:szCs w:val="21"/>
          <w:highlight w:val="none"/>
        </w:rPr>
        <w:t>元</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23" w:rightChars="11"/>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项目概况</w:t>
      </w:r>
      <w:r>
        <w:rPr>
          <w:rFonts w:hint="eastAsia" w:ascii="宋体" w:hAnsi="宋体" w:eastAsia="宋体" w:cs="宋体"/>
          <w:b/>
          <w:color w:val="auto"/>
          <w:sz w:val="21"/>
          <w:szCs w:val="21"/>
          <w:highlight w:val="none"/>
        </w:rPr>
        <w:t>及</w:t>
      </w:r>
      <w:r>
        <w:rPr>
          <w:rFonts w:hint="eastAsia" w:ascii="宋体" w:hAnsi="宋体" w:eastAsia="宋体" w:cs="宋体"/>
          <w:b/>
          <w:color w:val="auto"/>
          <w:sz w:val="21"/>
          <w:szCs w:val="21"/>
          <w:highlight w:val="none"/>
          <w:lang w:eastAsia="zh-CN"/>
        </w:rPr>
        <w:t>采购</w:t>
      </w:r>
      <w:r>
        <w:rPr>
          <w:rFonts w:hint="eastAsia" w:ascii="宋体" w:hAnsi="宋体" w:eastAsia="宋体" w:cs="宋体"/>
          <w:b/>
          <w:color w:val="auto"/>
          <w:sz w:val="21"/>
          <w:szCs w:val="21"/>
          <w:highlight w:val="none"/>
        </w:rPr>
        <w:t>要求</w:t>
      </w:r>
    </w:p>
    <w:p>
      <w:pPr>
        <w:keepLines w:val="0"/>
        <w:pageBreakBefore w:val="0"/>
        <w:numPr>
          <w:ilvl w:val="0"/>
          <w:numId w:val="4"/>
        </w:numPr>
        <w:kinsoku/>
        <w:wordWrap/>
        <w:overflowPunct/>
        <w:topLinePunct w:val="0"/>
        <w:autoSpaceDE/>
        <w:autoSpaceDN/>
        <w:bidi w:val="0"/>
        <w:adjustRightInd w:val="0"/>
        <w:snapToGrid w:val="0"/>
        <w:spacing w:line="360" w:lineRule="auto"/>
        <w:ind w:left="105" w:leftChars="0" w:firstLine="315" w:firstLineChars="150"/>
        <w:textAlignment w:val="auto"/>
        <w:rPr>
          <w:rFonts w:hint="eastAsia"/>
          <w:color w:val="auto"/>
          <w:highlight w:val="none"/>
          <w:lang w:val="en-US" w:eastAsia="zh-CN"/>
        </w:rPr>
      </w:pPr>
      <w:r>
        <w:rPr>
          <w:rFonts w:hint="eastAsia" w:ascii="宋体" w:hAnsi="宋体"/>
          <w:b w:val="0"/>
          <w:bCs w:val="0"/>
          <w:color w:val="auto"/>
          <w:szCs w:val="21"/>
          <w:highlight w:val="none"/>
          <w:shd w:val="clear" w:color="auto" w:fill="auto"/>
          <w:lang w:val="en-US" w:eastAsia="zh-CN"/>
        </w:rPr>
        <w:t>项目概况</w:t>
      </w:r>
      <w:r>
        <w:rPr>
          <w:rFonts w:hint="eastAsia" w:ascii="宋体" w:hAnsi="宋体"/>
          <w:b w:val="0"/>
          <w:bCs w:val="0"/>
          <w:color w:val="auto"/>
          <w:szCs w:val="21"/>
          <w:highlight w:val="none"/>
          <w:lang w:val="en-US" w:eastAsia="zh-CN"/>
        </w:rPr>
        <w:t>：本项目已经已由宁乡市发展和改革局以宁发改投[2018]21号批准建设，建设规模：</w:t>
      </w:r>
      <w:bookmarkStart w:id="10" w:name="S_0_006_aaa"/>
      <w:bookmarkStart w:id="11" w:name="S_0_006"/>
      <w:r>
        <w:rPr>
          <w:rFonts w:hint="eastAsia" w:ascii="宋体" w:hAnsi="宋体"/>
          <w:b w:val="0"/>
          <w:bCs w:val="0"/>
          <w:color w:val="auto"/>
          <w:szCs w:val="21"/>
          <w:highlight w:val="none"/>
          <w:lang w:val="en-US" w:eastAsia="zh-CN"/>
        </w:rPr>
        <w:t>项目等级采用城市支路，沥青砼路面，提质改造道路全长约1227m，其中金玉路长约746m，金鑫北路长约481m，建设内容包括车行道15362平方米，人行道7591平方米，土方工程14410平立方米，给排水管道3440m，预埋管线3260m，以及路面标线、标示标牌、绿化、亮化、交通信号灯改造、原有路面杆线拆除和迁移等相关配套设施建设。</w:t>
      </w:r>
      <w:bookmarkEnd w:id="10"/>
      <w:bookmarkEnd w:id="11"/>
      <w:r>
        <w:rPr>
          <w:rFonts w:hint="eastAsia" w:ascii="宋体" w:hAnsi="宋体"/>
          <w:b w:val="0"/>
          <w:bCs w:val="0"/>
          <w:color w:val="auto"/>
          <w:szCs w:val="21"/>
          <w:highlight w:val="none"/>
          <w:lang w:val="en-US" w:eastAsia="zh-CN"/>
        </w:rPr>
        <w:t>建设资金来自</w:t>
      </w:r>
      <w:bookmarkStart w:id="12" w:name="S_0_008_aaa"/>
      <w:bookmarkStart w:id="13" w:name="S_0_008"/>
      <w:r>
        <w:rPr>
          <w:rFonts w:hint="eastAsia" w:ascii="宋体" w:hAnsi="宋体"/>
          <w:b w:val="0"/>
          <w:bCs w:val="0"/>
          <w:color w:val="auto"/>
          <w:szCs w:val="21"/>
          <w:highlight w:val="none"/>
          <w:lang w:val="en-US" w:eastAsia="zh-CN"/>
        </w:rPr>
        <w:t xml:space="preserve">国有企业自筹资金 </w:t>
      </w:r>
      <w:bookmarkEnd w:id="12"/>
      <w:bookmarkEnd w:id="13"/>
      <w:r>
        <w:rPr>
          <w:rFonts w:hint="eastAsia" w:ascii="宋体" w:hAnsi="宋体"/>
          <w:b w:val="0"/>
          <w:bCs w:val="0"/>
          <w:color w:val="auto"/>
          <w:szCs w:val="21"/>
          <w:highlight w:val="none"/>
          <w:lang w:val="en-US" w:eastAsia="zh-CN"/>
        </w:rPr>
        <w:t>。</w:t>
      </w:r>
    </w:p>
    <w:p>
      <w:pPr>
        <w:keepLines w:val="0"/>
        <w:pageBreakBefore w:val="0"/>
        <w:numPr>
          <w:ilvl w:val="0"/>
          <w:numId w:val="4"/>
        </w:numPr>
        <w:kinsoku/>
        <w:wordWrap/>
        <w:overflowPunct/>
        <w:topLinePunct w:val="0"/>
        <w:autoSpaceDE/>
        <w:autoSpaceDN/>
        <w:bidi w:val="0"/>
        <w:adjustRightInd w:val="0"/>
        <w:snapToGrid w:val="0"/>
        <w:spacing w:line="360" w:lineRule="auto"/>
        <w:ind w:left="105" w:leftChars="0" w:firstLine="315" w:firstLineChars="150"/>
        <w:textAlignment w:val="auto"/>
        <w:rPr>
          <w:rFonts w:hint="eastAsia"/>
          <w:color w:val="auto"/>
          <w:highlight w:val="none"/>
          <w:lang w:val="en-US" w:eastAsia="zh-CN"/>
        </w:rPr>
      </w:pPr>
      <w:r>
        <w:rPr>
          <w:rFonts w:hint="eastAsia"/>
          <w:color w:val="auto"/>
          <w:highlight w:val="none"/>
          <w:lang w:val="en-US" w:eastAsia="zh-CN"/>
        </w:rPr>
        <w:t>监理服务期：从施工准备阶段开始经施工阶段至项目验收结束；</w:t>
      </w:r>
    </w:p>
    <w:p>
      <w:pPr>
        <w:keepLines w:val="0"/>
        <w:pageBreakBefore w:val="0"/>
        <w:numPr>
          <w:ilvl w:val="0"/>
          <w:numId w:val="4"/>
        </w:numPr>
        <w:kinsoku/>
        <w:wordWrap/>
        <w:overflowPunct/>
        <w:topLinePunct w:val="0"/>
        <w:autoSpaceDE/>
        <w:autoSpaceDN/>
        <w:bidi w:val="0"/>
        <w:adjustRightInd w:val="0"/>
        <w:snapToGrid w:val="0"/>
        <w:spacing w:line="360" w:lineRule="auto"/>
        <w:ind w:left="105" w:leftChars="0" w:firstLine="315" w:firstLineChars="150"/>
        <w:textAlignment w:val="auto"/>
        <w:rPr>
          <w:rFonts w:hint="eastAsia" w:ascii="宋体" w:hAnsi="宋体" w:cs="宋体"/>
          <w:color w:val="auto"/>
          <w:szCs w:val="21"/>
          <w:highlight w:val="none"/>
        </w:rPr>
      </w:pPr>
      <w:r>
        <w:rPr>
          <w:rFonts w:hint="eastAsia" w:ascii="宋体" w:hAnsi="宋体"/>
          <w:b w:val="0"/>
          <w:bCs w:val="0"/>
          <w:color w:val="auto"/>
          <w:szCs w:val="21"/>
          <w:highlight w:val="none"/>
          <w:lang w:val="en-US" w:eastAsia="zh-CN"/>
        </w:rPr>
        <w:t>采购要求：</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lang w:eastAsia="zh-CN"/>
        </w:rPr>
        <w:t>工作内容</w:t>
      </w:r>
      <w:r>
        <w:rPr>
          <w:rFonts w:hint="eastAsia" w:ascii="宋体" w:hAnsi="宋体" w:cs="宋体"/>
          <w:color w:val="auto"/>
          <w:szCs w:val="21"/>
          <w:highlight w:val="none"/>
        </w:rPr>
        <w:t>：项目实施准备阶段、施工阶段、缺陷责任期施工和保修阶段的设施建设以及其他工程施工阶段的监理服务工作及施工过程中环境保护和施工质量</w:t>
      </w:r>
      <w:r>
        <w:rPr>
          <w:rFonts w:hint="eastAsia" w:ascii="宋体" w:hAnsi="宋体" w:cs="宋体"/>
          <w:color w:val="auto"/>
          <w:szCs w:val="21"/>
          <w:highlight w:val="none"/>
          <w:lang w:eastAsia="zh-CN"/>
        </w:rPr>
        <w:t>进度</w:t>
      </w:r>
      <w:r>
        <w:rPr>
          <w:rFonts w:hint="eastAsia" w:ascii="宋体" w:hAnsi="宋体" w:cs="宋体"/>
          <w:color w:val="auto"/>
          <w:szCs w:val="21"/>
          <w:highlight w:val="none"/>
        </w:rPr>
        <w:t>安全的监理</w:t>
      </w:r>
      <w:r>
        <w:rPr>
          <w:rFonts w:hint="eastAsia" w:ascii="宋体" w:hAnsi="宋体" w:cs="宋体"/>
          <w:color w:val="auto"/>
          <w:szCs w:val="21"/>
          <w:highlight w:val="none"/>
          <w:lang w:eastAsia="zh-CN"/>
        </w:rPr>
        <w:t>，并配合采购人做好结算审计工作。</w:t>
      </w:r>
      <w:r>
        <w:rPr>
          <w:rFonts w:hint="eastAsia" w:ascii="宋体" w:hAnsi="宋体" w:cs="宋体"/>
          <w:color w:val="auto"/>
          <w:szCs w:val="21"/>
          <w:highlight w:val="none"/>
        </w:rPr>
        <w:t xml:space="preserve">   </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监理过程中各项资料完善。</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质量控制目标：合格。</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安全控制目标：无安全责任事故。</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进度控制目标：在施工合同工期内完成工程竣工验收。</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lang w:eastAsia="zh-CN"/>
        </w:rPr>
        <w:t>对施工单位的原材料检查、把关。</w:t>
      </w:r>
    </w:p>
    <w:p>
      <w:pPr>
        <w:keepLines w:val="0"/>
        <w:pageBreakBefore w:val="0"/>
        <w:numPr>
          <w:ilvl w:val="0"/>
          <w:numId w:val="5"/>
        </w:numPr>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b w:val="0"/>
          <w:bCs w:val="0"/>
          <w:color w:val="auto"/>
          <w:szCs w:val="21"/>
          <w:highlight w:val="none"/>
          <w:lang w:val="en-US" w:eastAsia="zh-CN"/>
        </w:rPr>
      </w:pPr>
      <w:r>
        <w:rPr>
          <w:rFonts w:hint="eastAsia" w:ascii="宋体" w:hAnsi="宋体" w:cs="宋体"/>
          <w:color w:val="auto"/>
          <w:szCs w:val="21"/>
          <w:highlight w:val="none"/>
        </w:rPr>
        <w:t>其他合同中约定的内容。</w:t>
      </w:r>
    </w:p>
    <w:p>
      <w:pPr>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color w:val="auto"/>
          <w:szCs w:val="21"/>
          <w:highlight w:val="none"/>
          <w:lang w:val="en-US" w:eastAsia="zh-CN"/>
        </w:rPr>
      </w:pPr>
      <w:r>
        <w:rPr>
          <w:rFonts w:hint="eastAsia" w:ascii="宋体" w:hAnsi="宋体"/>
          <w:b/>
          <w:bCs w:val="0"/>
          <w:color w:val="auto"/>
          <w:szCs w:val="21"/>
          <w:highlight w:val="none"/>
          <w:lang w:eastAsia="zh-CN"/>
        </w:rPr>
        <w:t>四、</w:t>
      </w:r>
      <w:r>
        <w:rPr>
          <w:rFonts w:hint="eastAsia" w:ascii="宋体" w:hAnsi="宋体"/>
          <w:b/>
          <w:bCs w:val="0"/>
          <w:color w:val="auto"/>
          <w:szCs w:val="21"/>
          <w:highlight w:val="none"/>
        </w:rPr>
        <w:t>其他要求及说明</w:t>
      </w:r>
      <w:r>
        <w:rPr>
          <w:rFonts w:hint="eastAsia" w:ascii="宋体" w:hAnsi="宋体"/>
          <w:color w:val="auto"/>
          <w:szCs w:val="21"/>
          <w:highlight w:val="none"/>
          <w:lang w:val="en-US" w:eastAsia="zh-CN"/>
        </w:rPr>
        <w:t xml:space="preserve">  </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bookmarkStart w:id="14" w:name="_Toc11673"/>
      <w:bookmarkStart w:id="15" w:name="_Toc369592205"/>
      <w:bookmarkStart w:id="16" w:name="_Toc354410539"/>
      <w:bookmarkStart w:id="17" w:name="_Toc353463046"/>
      <w:r>
        <w:rPr>
          <w:rFonts w:hint="eastAsia" w:ascii="宋体" w:hAnsi="宋体" w:cs="宋体"/>
          <w:color w:val="auto"/>
          <w:szCs w:val="21"/>
          <w:highlight w:val="none"/>
          <w:lang w:val="en-US" w:eastAsia="zh-CN"/>
        </w:rPr>
        <w:t xml:space="preserve">    1、</w:t>
      </w:r>
      <w:r>
        <w:rPr>
          <w:rFonts w:hint="eastAsia" w:ascii="宋体" w:hAnsi="宋体" w:cs="宋体"/>
          <w:color w:val="auto"/>
          <w:szCs w:val="21"/>
          <w:highlight w:val="none"/>
        </w:rPr>
        <w:t>确定监理服务的原则</w:t>
      </w:r>
      <w:bookmarkEnd w:id="14"/>
      <w:bookmarkEnd w:id="15"/>
      <w:bookmarkEnd w:id="16"/>
      <w:bookmarkEnd w:id="17"/>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监理工作应按照确保质量、进度，降低项目预算、合同管理及做好相关协调工作的原则进行。监理单位要制定本工程的监理规划报业主批准后实施。总监理工程师要组织各专业制度监理实施细则报业主有关部门备案，各专业按实施细则进行监理。</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监理单位应根据自身的经验及专业角度向业主提供可行性咨询意见，为保证高效优质地完成任务，监理单位应站在国家和业主的角度提出合理化建议等咨询服务。</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bookmarkStart w:id="18" w:name="_Toc354410541"/>
      <w:bookmarkStart w:id="19" w:name="_Toc369592207"/>
      <w:bookmarkStart w:id="20" w:name="_Toc353463048"/>
      <w:bookmarkStart w:id="21" w:name="_Toc18148"/>
      <w:r>
        <w:rPr>
          <w:rFonts w:hint="eastAsia" w:ascii="宋体" w:hAnsi="宋体" w:cs="宋体"/>
          <w:color w:val="auto"/>
          <w:szCs w:val="21"/>
          <w:highlight w:val="none"/>
          <w:lang w:val="en-US" w:eastAsia="zh-CN"/>
        </w:rPr>
        <w:t xml:space="preserve">    2、</w:t>
      </w:r>
      <w:r>
        <w:rPr>
          <w:rFonts w:hint="eastAsia" w:ascii="宋体" w:hAnsi="宋体" w:cs="宋体"/>
          <w:color w:val="auto"/>
          <w:szCs w:val="21"/>
          <w:highlight w:val="none"/>
        </w:rPr>
        <w:t>监理大纲</w:t>
      </w:r>
      <w:bookmarkEnd w:id="18"/>
      <w:bookmarkEnd w:id="19"/>
      <w:bookmarkEnd w:id="20"/>
      <w:bookmarkEnd w:id="21"/>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编制的程序与依据应符合国家相关政策、法规的要求；</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监理大纲的编制要求符合工程实际要求，对整个工程监理工作具有指导性作用；</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监理大纲的编写应明确监理组织机构及工作目标，确定具体的监理工作制度、程序、方法和措施。</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 xml:space="preserve">   3、对监理人员的配备要求</w:t>
      </w:r>
    </w:p>
    <w:p>
      <w:pPr>
        <w:keepLines w:val="0"/>
        <w:pageBreakBefore w:val="0"/>
        <w:kinsoku/>
        <w:wordWrap/>
        <w:overflowPunct/>
        <w:topLinePunct w:val="0"/>
        <w:autoSpaceDE/>
        <w:autoSpaceDN/>
        <w:bidi w:val="0"/>
        <w:adjustRightInd w:val="0"/>
        <w:snapToGrid w:val="0"/>
        <w:spacing w:line="360" w:lineRule="auto"/>
        <w:ind w:left="0" w:leftChars="0" w:firstLine="420" w:firstLineChars="0"/>
        <w:textAlignment w:val="auto"/>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1）现场监理部关键岗位人员数量总监理工程师1人，专业监理工程师1人，监理员2人，专业监理工程师、监理员、总监代表（如有）不得有在监项目，需提供无在监证明或官方查询网址。不接受投标申请人的法定代表人和总经理作为本项目的现场监理部关键岗位人员；拟任总监理工程师应具有国家注册监理工程师注册证书（市政公用工程）,注册单位应与投标人名称一致，在长沙地区（即长、望、浏、宁）最多有2个作为总监的在监项目，拟任总监理工程师已在其它项目任总监的应配备总监代表，总监代表应具有市政公用工程专业国家注册监理工程师证或湖南省总监理工程师代表培训合格证；拟任专业监理工程师应具有国家监理工程师注册证书或湖南省监理工程师证书或湖南省专业监理工程师培训合格证书；拟任监理员应具有国家注册监理工程师证书或湖南省总监理工程师代表培训合格证书或湖南省监理工程师证书或湖南省监理员证书。</w:t>
      </w:r>
    </w:p>
    <w:p>
      <w:pPr>
        <w:keepLines w:val="0"/>
        <w:pageBreakBefore w:val="0"/>
        <w:kinsoku/>
        <w:wordWrap/>
        <w:overflowPunct/>
        <w:topLinePunct w:val="0"/>
        <w:autoSpaceDE/>
        <w:autoSpaceDN/>
        <w:bidi w:val="0"/>
        <w:adjustRightInd w:val="0"/>
        <w:snapToGrid w:val="0"/>
        <w:spacing w:line="360" w:lineRule="auto"/>
        <w:ind w:left="0" w:leftChars="0" w:firstLine="420" w:firstLineChars="0"/>
        <w:textAlignment w:val="auto"/>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（2）拟任本次投标的关键岗位人员必须是本企业在职人员（须提供劳动保障部门出具的近三个月（2019年3月至2019年5月）的社保证明资料）</w:t>
      </w:r>
    </w:p>
    <w:p>
      <w:pPr>
        <w:keepLines w:val="0"/>
        <w:pageBreakBefore w:val="0"/>
        <w:kinsoku/>
        <w:wordWrap/>
        <w:overflowPunct/>
        <w:topLinePunct w:val="0"/>
        <w:autoSpaceDE/>
        <w:autoSpaceDN/>
        <w:bidi w:val="0"/>
        <w:spacing w:line="360" w:lineRule="auto"/>
        <w:ind w:left="628" w:leftChars="1" w:hanging="626" w:hangingChars="297"/>
        <w:textAlignment w:val="auto"/>
        <w:rPr>
          <w:rFonts w:hint="eastAsia" w:ascii="宋体" w:hAnsi="宋体"/>
          <w:b/>
          <w:bCs/>
          <w:color w:val="auto"/>
          <w:szCs w:val="21"/>
          <w:highlight w:val="none"/>
        </w:rPr>
      </w:pPr>
      <w:r>
        <w:rPr>
          <w:rFonts w:hint="eastAsia" w:ascii="宋体" w:hAnsi="宋体"/>
          <w:b/>
          <w:bCs/>
          <w:color w:val="auto"/>
          <w:szCs w:val="21"/>
          <w:highlight w:val="none"/>
          <w:lang w:val="en-US" w:eastAsia="zh-CN"/>
        </w:rPr>
        <w:t>五、</w:t>
      </w:r>
      <w:r>
        <w:rPr>
          <w:rFonts w:hint="eastAsia" w:ascii="宋体" w:hAnsi="宋体"/>
          <w:b/>
          <w:bCs/>
          <w:color w:val="auto"/>
          <w:szCs w:val="21"/>
          <w:highlight w:val="none"/>
        </w:rPr>
        <w:t>结算方法</w:t>
      </w:r>
    </w:p>
    <w:p>
      <w:pPr>
        <w:keepLines w:val="0"/>
        <w:pageBreakBefore w:val="0"/>
        <w:kinsoku/>
        <w:wordWrap/>
        <w:overflowPunct/>
        <w:topLinePunct w:val="0"/>
        <w:autoSpaceDE/>
        <w:autoSpaceDN/>
        <w:bidi w:val="0"/>
        <w:spacing w:line="360" w:lineRule="auto"/>
        <w:ind w:left="625" w:leftChars="1" w:hanging="623" w:hangingChars="297"/>
        <w:textAlignment w:val="auto"/>
        <w:rPr>
          <w:rFonts w:hint="eastAsia" w:ascii="宋体" w:hAnsi="宋体"/>
          <w:bCs/>
          <w:color w:val="auto"/>
          <w:szCs w:val="21"/>
          <w:highlight w:val="none"/>
        </w:rPr>
      </w:pPr>
      <w:r>
        <w:rPr>
          <w:rFonts w:hint="eastAsia" w:ascii="宋体" w:hAnsi="宋体"/>
          <w:bCs/>
          <w:color w:val="auto"/>
          <w:szCs w:val="21"/>
          <w:highlight w:val="none"/>
        </w:rPr>
        <w:t xml:space="preserve">    1.付款人：</w:t>
      </w:r>
      <w:r>
        <w:rPr>
          <w:rFonts w:hint="eastAsia" w:ascii="宋体" w:hAnsi="宋体" w:eastAsia="宋体" w:cs="Times New Roman"/>
          <w:bCs/>
          <w:color w:val="auto"/>
          <w:kern w:val="2"/>
          <w:sz w:val="21"/>
          <w:szCs w:val="21"/>
          <w:highlight w:val="none"/>
          <w:lang w:val="en-US" w:eastAsia="zh-CN" w:bidi="ar"/>
        </w:rPr>
        <w:t>宁乡市城市建设投资集团有限公司</w:t>
      </w:r>
      <w:r>
        <w:rPr>
          <w:rFonts w:hint="eastAsia" w:ascii="宋体" w:hAnsi="宋体"/>
          <w:bCs/>
          <w:color w:val="auto"/>
          <w:szCs w:val="21"/>
          <w:highlight w:val="none"/>
        </w:rPr>
        <w:t>。</w:t>
      </w:r>
    </w:p>
    <w:p>
      <w:pPr>
        <w:spacing w:line="480" w:lineRule="exact"/>
        <w:ind w:firstLine="420" w:firstLineChars="200"/>
        <w:rPr>
          <w:rFonts w:hint="eastAsia" w:ascii="宋体" w:hAnsi="宋体" w:eastAsia="宋体"/>
          <w:bCs/>
          <w:color w:val="auto"/>
          <w:szCs w:val="21"/>
          <w:highlight w:val="none"/>
          <w:lang w:eastAsia="zh-CN"/>
        </w:rPr>
      </w:pPr>
      <w:r>
        <w:rPr>
          <w:rFonts w:hint="eastAsia" w:ascii="宋体" w:hAnsi="宋体"/>
          <w:bCs/>
          <w:color w:val="auto"/>
          <w:szCs w:val="21"/>
          <w:highlight w:val="none"/>
        </w:rPr>
        <w:t>2.付款方式：</w:t>
      </w:r>
      <w:r>
        <w:rPr>
          <w:rFonts w:hint="eastAsia" w:ascii="宋体" w:hAnsi="宋体"/>
          <w:color w:val="auto"/>
          <w:szCs w:val="21"/>
          <w:highlight w:val="none"/>
          <w:u w:val="none"/>
          <w:lang w:val="en-US" w:eastAsia="zh-CN"/>
        </w:rPr>
        <w:t>监理费用按工程进度酌情支付，工程竣工验收合格、提交备案资料及办理监理结算资料后三个月内一次结清。</w:t>
      </w:r>
    </w:p>
    <w:p>
      <w:pPr>
        <w:keepLines w:val="0"/>
        <w:pageBreakBefore w:val="0"/>
        <w:kinsoku/>
        <w:wordWrap/>
        <w:overflowPunct/>
        <w:topLinePunct w:val="0"/>
        <w:autoSpaceDE/>
        <w:autoSpaceDN/>
        <w:bidi w:val="0"/>
        <w:spacing w:line="360" w:lineRule="auto"/>
        <w:ind w:left="-91" w:leftChars="-339" w:hanging="621" w:hangingChars="296"/>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3.验收合格项目定义：</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eq \o\ac(</w:instrText>
      </w:r>
      <w:r>
        <w:rPr>
          <w:rFonts w:hint="eastAsia" w:ascii="宋体" w:hAnsi="宋体"/>
          <w:color w:val="auto"/>
          <w:position w:val="-4"/>
          <w:sz w:val="31"/>
          <w:szCs w:val="21"/>
          <w:highlight w:val="none"/>
        </w:rPr>
        <w:instrText xml:space="preserve">○</w:instrText>
      </w:r>
      <w:r>
        <w:rPr>
          <w:rFonts w:hint="eastAsia" w:ascii="宋体" w:hAnsi="宋体"/>
          <w:color w:val="auto"/>
          <w:szCs w:val="21"/>
          <w:highlight w:val="none"/>
        </w:rPr>
        <w:instrText xml:space="preserve">,1)</w:instrText>
      </w:r>
      <w:r>
        <w:rPr>
          <w:rFonts w:ascii="宋体" w:hAnsi="宋体"/>
          <w:color w:val="auto"/>
          <w:szCs w:val="21"/>
          <w:highlight w:val="none"/>
        </w:rPr>
        <w:fldChar w:fldCharType="end"/>
      </w:r>
      <w:r>
        <w:rPr>
          <w:rFonts w:hint="eastAsia" w:ascii="宋体" w:hAnsi="宋体"/>
          <w:color w:val="auto"/>
          <w:szCs w:val="21"/>
          <w:highlight w:val="none"/>
        </w:rPr>
        <w:t>自行验收和委托验收合格的项目；</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eq \o\ac(</w:instrText>
      </w:r>
      <w:r>
        <w:rPr>
          <w:rFonts w:hint="eastAsia" w:ascii="宋体" w:hAnsi="宋体"/>
          <w:color w:val="auto"/>
          <w:position w:val="-4"/>
          <w:sz w:val="31"/>
          <w:szCs w:val="21"/>
          <w:highlight w:val="none"/>
        </w:rPr>
        <w:instrText xml:space="preserve">○</w:instrText>
      </w:r>
      <w:r>
        <w:rPr>
          <w:rFonts w:hint="eastAsia" w:ascii="宋体" w:hAnsi="宋体"/>
          <w:color w:val="auto"/>
          <w:szCs w:val="21"/>
          <w:highlight w:val="none"/>
        </w:rPr>
        <w:instrText xml:space="preserve">,2)</w:instrText>
      </w:r>
      <w:r>
        <w:rPr>
          <w:rFonts w:ascii="宋体" w:hAnsi="宋体"/>
          <w:color w:val="auto"/>
          <w:szCs w:val="21"/>
          <w:highlight w:val="none"/>
        </w:rPr>
        <w:fldChar w:fldCharType="end"/>
      </w:r>
      <w:r>
        <w:rPr>
          <w:rFonts w:hint="eastAsia" w:ascii="宋体" w:hAnsi="宋体"/>
          <w:color w:val="auto"/>
          <w:szCs w:val="21"/>
          <w:highlight w:val="none"/>
        </w:rPr>
        <w:t>不因监理方失职等原因导致的的项目不合格，且监理方已尽到监理职责，业主方可以认定此项目为监理方验收合格项目。</w:t>
      </w:r>
    </w:p>
    <w:p>
      <w:pPr>
        <w:keepLines w:val="0"/>
        <w:pageBreakBefore w:val="0"/>
        <w:kinsoku/>
        <w:wordWrap/>
        <w:overflowPunct/>
        <w:topLinePunct w:val="0"/>
        <w:autoSpaceDE/>
        <w:autoSpaceDN/>
        <w:bidi w:val="0"/>
        <w:spacing w:line="360" w:lineRule="auto"/>
        <w:ind w:left="10" w:hanging="10" w:hangingChars="5"/>
        <w:textAlignment w:val="auto"/>
        <w:rPr>
          <w:rFonts w:hint="eastAsia" w:ascii="宋体" w:hAnsi="宋体"/>
          <w:color w:val="auto"/>
          <w:szCs w:val="21"/>
          <w:highlight w:val="none"/>
          <w:lang w:val="en-US" w:eastAsia="zh-CN"/>
        </w:rPr>
      </w:pPr>
      <w:r>
        <w:rPr>
          <w:rFonts w:hint="eastAsia" w:ascii="宋体" w:hAnsi="宋体"/>
          <w:bCs/>
          <w:color w:val="auto"/>
          <w:szCs w:val="21"/>
          <w:highlight w:val="none"/>
        </w:rPr>
        <w:t xml:space="preserve">    4.</w:t>
      </w:r>
      <w:r>
        <w:rPr>
          <w:rFonts w:hint="eastAsia" w:ascii="宋体" w:hAnsi="宋体"/>
          <w:color w:val="auto"/>
          <w:szCs w:val="21"/>
          <w:highlight w:val="none"/>
          <w:lang w:val="en-US" w:eastAsia="zh-CN"/>
        </w:rPr>
        <w:t>根据宁乡市人民政府办公室《关于进一步加强建筑业、现代服务业企业注册登记及税收征管工作的通知》（宁政办函（2016）73号）文件精神要求，成交人需提供当地税务部门开具的发票，该项目所有税费在宁乡缴纳。</w:t>
      </w:r>
    </w:p>
    <w:p>
      <w:pPr>
        <w:keepLines w:val="0"/>
        <w:pageBreakBefore w:val="0"/>
        <w:kinsoku/>
        <w:wordWrap/>
        <w:overflowPunct/>
        <w:topLinePunct w:val="0"/>
        <w:autoSpaceDE/>
        <w:autoSpaceDN/>
        <w:bidi w:val="0"/>
        <w:spacing w:line="360" w:lineRule="auto"/>
        <w:ind w:left="10" w:hanging="10" w:hangingChars="5"/>
        <w:textAlignment w:val="auto"/>
        <w:rPr>
          <w:rFonts w:hint="eastAsia" w:ascii="宋体" w:hAnsi="宋体"/>
          <w:bCs/>
          <w:color w:val="auto"/>
          <w:szCs w:val="21"/>
          <w:highlight w:val="none"/>
          <w:lang w:val="en-US" w:eastAsia="zh-CN"/>
        </w:rPr>
      </w:pPr>
      <w:r>
        <w:rPr>
          <w:rFonts w:hint="eastAsia" w:ascii="宋体" w:hAnsi="宋体"/>
          <w:bCs/>
          <w:color w:val="auto"/>
          <w:szCs w:val="21"/>
          <w:highlight w:val="none"/>
          <w:lang w:val="en-US" w:eastAsia="zh-CN"/>
        </w:rPr>
        <w:t xml:space="preserve">    5.</w:t>
      </w:r>
      <w:r>
        <w:rPr>
          <w:rFonts w:hint="eastAsia" w:ascii="宋体" w:hAnsi="宋体"/>
          <w:bCs/>
          <w:color w:val="auto"/>
          <w:szCs w:val="21"/>
          <w:highlight w:val="none"/>
        </w:rPr>
        <w:t>根据宁乡县人民政府《宁乡县政府投资建设项目管理若干规定》（宁政发〔2016〕73号）第十七条规定：监理单位弄虚作假、超越权限，导致虚增工程量、多计价款的，不支付监理费，并由行业主管部门给予处罚；给项目业主造成损失的，依法承担经济和法律责任</w:t>
      </w:r>
      <w:r>
        <w:rPr>
          <w:rFonts w:hint="eastAsia" w:ascii="宋体" w:hAnsi="宋体"/>
          <w:bCs/>
          <w:color w:val="auto"/>
          <w:szCs w:val="21"/>
          <w:highlight w:val="none"/>
          <w:lang w:eastAsia="zh-CN"/>
        </w:rPr>
        <w:t>。</w:t>
      </w:r>
    </w:p>
    <w:p>
      <w:pPr>
        <w:keepLines w:val="0"/>
        <w:pageBreakBefore w:val="0"/>
        <w:kinsoku/>
        <w:wordWrap/>
        <w:overflowPunct/>
        <w:topLinePunct w:val="0"/>
        <w:autoSpaceDE/>
        <w:autoSpaceDN/>
        <w:bidi w:val="0"/>
        <w:spacing w:line="360" w:lineRule="auto"/>
        <w:ind w:firstLine="420"/>
        <w:textAlignment w:val="auto"/>
        <w:rPr>
          <w:rFonts w:hint="eastAsia" w:ascii="宋体" w:hAnsi="宋体"/>
          <w:bCs/>
          <w:color w:val="auto"/>
          <w:szCs w:val="21"/>
          <w:highlight w:val="none"/>
        </w:rPr>
      </w:pPr>
      <w:r>
        <w:rPr>
          <w:rFonts w:hint="eastAsia" w:ascii="宋体" w:hAnsi="宋体"/>
          <w:bCs/>
          <w:color w:val="auto"/>
          <w:szCs w:val="21"/>
          <w:highlight w:val="none"/>
          <w:lang w:val="en-US" w:eastAsia="zh-CN"/>
        </w:rPr>
        <w:t>6</w:t>
      </w:r>
      <w:r>
        <w:rPr>
          <w:rFonts w:hint="eastAsia" w:ascii="宋体" w:hAnsi="宋体"/>
          <w:bCs/>
          <w:color w:val="auto"/>
          <w:szCs w:val="21"/>
          <w:highlight w:val="none"/>
        </w:rPr>
        <w:t>.本项目采用费用包干方式建设</w:t>
      </w:r>
      <w:r>
        <w:rPr>
          <w:rFonts w:hint="eastAsia" w:ascii="宋体" w:hAnsi="宋体"/>
          <w:bCs/>
          <w:color w:val="auto"/>
          <w:szCs w:val="21"/>
          <w:highlight w:val="none"/>
          <w:lang w:eastAsia="zh-CN"/>
        </w:rPr>
        <w:t>，</w:t>
      </w:r>
      <w:r>
        <w:rPr>
          <w:rFonts w:hint="eastAsia" w:ascii="宋体" w:hAnsi="宋体"/>
          <w:bCs/>
          <w:color w:val="auto"/>
          <w:szCs w:val="21"/>
          <w:highlight w:val="none"/>
        </w:rPr>
        <w:t>如一旦中标，在项目实施中出现任何遗漏，均由中标人免费提供，采购人不再支付任何费用。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olor w:val="auto"/>
          <w:kern w:val="0"/>
          <w:highlight w:val="none"/>
        </w:rPr>
      </w:pPr>
      <w:r>
        <w:rPr>
          <w:rFonts w:hint="eastAsia" w:ascii="宋体" w:hAnsi="宋体"/>
          <w:bCs/>
          <w:color w:val="auto"/>
          <w:szCs w:val="21"/>
          <w:highlight w:val="none"/>
          <w:lang w:val="en-US" w:eastAsia="zh-CN"/>
        </w:rPr>
        <w:t>7.</w:t>
      </w:r>
      <w:r>
        <w:rPr>
          <w:rFonts w:hint="eastAsia" w:ascii="宋体" w:hAnsi="宋体"/>
          <w:color w:val="auto"/>
          <w:kern w:val="0"/>
          <w:highlight w:val="none"/>
        </w:rPr>
        <w:t>合同签订：</w:t>
      </w:r>
      <w:r>
        <w:rPr>
          <w:rFonts w:hint="eastAsia" w:ascii="宋体" w:hAnsi="宋体"/>
          <w:color w:val="auto"/>
          <w:kern w:val="0"/>
          <w:highlight w:val="none"/>
          <w:lang w:eastAsia="zh-CN"/>
        </w:rPr>
        <w:t>中标人收到中标通知书后</w:t>
      </w:r>
      <w:r>
        <w:rPr>
          <w:rFonts w:hint="eastAsia" w:ascii="宋体" w:hAnsi="宋体"/>
          <w:color w:val="auto"/>
          <w:kern w:val="0"/>
          <w:highlight w:val="none"/>
          <w:lang w:val="en-US" w:eastAsia="zh-CN"/>
        </w:rPr>
        <w:t>30天内签订合同。签订地点为宁乡市城市建设投资集团有限公司。</w:t>
      </w:r>
    </w:p>
    <w:p>
      <w:pPr>
        <w:keepLines w:val="0"/>
        <w:pageBreakBefore w:val="0"/>
        <w:kinsoku/>
        <w:wordWrap/>
        <w:overflowPunct/>
        <w:topLinePunct w:val="0"/>
        <w:autoSpaceDE/>
        <w:autoSpaceDN/>
        <w:bidi w:val="0"/>
        <w:spacing w:line="360" w:lineRule="auto"/>
        <w:ind w:left="10" w:hanging="11" w:hangingChars="5"/>
        <w:textAlignment w:val="auto"/>
        <w:rPr>
          <w:rFonts w:hint="eastAsia" w:ascii="宋体" w:hAnsi="宋体"/>
          <w:b/>
          <w:bCs w:val="0"/>
          <w:color w:val="auto"/>
          <w:szCs w:val="21"/>
          <w:highlight w:val="none"/>
          <w:lang w:eastAsia="zh-CN"/>
        </w:rPr>
      </w:pPr>
      <w:r>
        <w:rPr>
          <w:rFonts w:hint="eastAsia" w:ascii="宋体" w:hAnsi="宋体"/>
          <w:b/>
          <w:bCs w:val="0"/>
          <w:color w:val="auto"/>
          <w:szCs w:val="21"/>
          <w:highlight w:val="none"/>
          <w:lang w:eastAsia="zh-CN"/>
        </w:rPr>
        <w:t>六、承诺要求</w:t>
      </w:r>
    </w:p>
    <w:p>
      <w:pPr>
        <w:keepLines w:val="0"/>
        <w:pageBreakBefore w:val="0"/>
        <w:kinsoku/>
        <w:wordWrap/>
        <w:overflowPunct/>
        <w:topLinePunct w:val="0"/>
        <w:autoSpaceDE/>
        <w:autoSpaceDN/>
        <w:bidi w:val="0"/>
        <w:spacing w:line="360" w:lineRule="auto"/>
        <w:ind w:left="10" w:leftChars="5" w:firstLine="409" w:firstLineChars="194"/>
        <w:textAlignment w:val="auto"/>
        <w:rPr>
          <w:rFonts w:hint="eastAsia" w:ascii="宋体" w:hAnsi="宋体"/>
          <w:b/>
          <w:bCs w:val="0"/>
          <w:color w:val="auto"/>
          <w:szCs w:val="21"/>
          <w:highlight w:val="none"/>
          <w:lang w:eastAsia="zh-CN"/>
        </w:rPr>
      </w:pPr>
      <w:r>
        <w:rPr>
          <w:rStyle w:val="44"/>
          <w:rFonts w:hint="eastAsia" w:ascii="宋体" w:hAnsi="宋体" w:cs="宋体"/>
          <w:i w:val="0"/>
          <w:caps w:val="0"/>
          <w:color w:val="auto"/>
          <w:spacing w:val="0"/>
          <w:sz w:val="21"/>
          <w:szCs w:val="21"/>
          <w:highlight w:val="none"/>
          <w:shd w:val="clear" w:color="auto" w:fill="FFFFFF"/>
          <w:lang w:val="en-US" w:eastAsia="zh-CN"/>
        </w:rPr>
        <w:t>1.</w:t>
      </w:r>
      <w:r>
        <w:rPr>
          <w:rStyle w:val="44"/>
          <w:rFonts w:hint="eastAsia" w:ascii="宋体" w:hAnsi="宋体" w:eastAsia="宋体" w:cs="宋体"/>
          <w:i w:val="0"/>
          <w:caps w:val="0"/>
          <w:color w:val="auto"/>
          <w:spacing w:val="0"/>
          <w:sz w:val="21"/>
          <w:szCs w:val="21"/>
          <w:highlight w:val="none"/>
          <w:shd w:val="clear" w:color="auto" w:fill="FFFFFF"/>
        </w:rPr>
        <w:t>乙方中标后实际到岗人员必须为投标时关键岗位配备的人员，否则甲方有权取消乙方中标资格。对此，乙方须作出书面承诺。</w:t>
      </w:r>
    </w:p>
    <w:p>
      <w:pPr>
        <w:keepLines w:val="0"/>
        <w:pageBreakBefore w:val="0"/>
        <w:kinsoku/>
        <w:wordWrap/>
        <w:overflowPunct/>
        <w:topLinePunct w:val="0"/>
        <w:autoSpaceDE/>
        <w:autoSpaceDN/>
        <w:bidi w:val="0"/>
        <w:spacing w:line="360" w:lineRule="auto"/>
        <w:ind w:left="10" w:leftChars="5" w:firstLine="409" w:firstLineChars="194"/>
        <w:textAlignment w:val="auto"/>
        <w:rPr>
          <w:color w:val="auto"/>
          <w:highlight w:val="none"/>
        </w:rPr>
      </w:pPr>
      <w:r>
        <w:rPr>
          <w:rFonts w:hint="eastAsia" w:ascii="宋体" w:hAnsi="宋体"/>
          <w:b/>
          <w:bCs/>
          <w:color w:val="auto"/>
          <w:szCs w:val="21"/>
          <w:highlight w:val="none"/>
          <w:lang w:val="en-US" w:eastAsia="zh-CN"/>
        </w:rPr>
        <w:t>2.</w:t>
      </w:r>
      <w:r>
        <w:rPr>
          <w:rFonts w:hint="eastAsia" w:ascii="宋体" w:hAnsi="宋体"/>
          <w:b/>
          <w:bCs/>
          <w:color w:val="auto"/>
          <w:szCs w:val="21"/>
          <w:highlight w:val="none"/>
        </w:rPr>
        <w:t>对于上述项目要求，投标人应在投标文件中进行回应，作出承诺及说明。</w:t>
      </w:r>
    </w:p>
    <w:p>
      <w:pPr>
        <w:numPr>
          <w:ilvl w:val="0"/>
          <w:numId w:val="0"/>
        </w:numPr>
        <w:ind w:leftChars="0"/>
        <w:rPr>
          <w:rFonts w:hint="eastAsia"/>
        </w:rPr>
      </w:pPr>
    </w:p>
    <w:p>
      <w:pPr>
        <w:keepLines w:val="0"/>
        <w:pageBreakBefore w:val="0"/>
        <w:kinsoku/>
        <w:wordWrap/>
        <w:overflowPunct/>
        <w:topLinePunct w:val="0"/>
        <w:autoSpaceDE/>
        <w:autoSpaceDN/>
        <w:bidi w:val="0"/>
        <w:spacing w:line="360" w:lineRule="auto"/>
        <w:ind w:left="10" w:leftChars="5" w:firstLine="623" w:firstLineChars="194"/>
        <w:jc w:val="center"/>
        <w:textAlignment w:val="auto"/>
        <w:rPr>
          <w:rFonts w:hint="eastAsia" w:ascii="黑体" w:eastAsia="黑体"/>
          <w:b/>
          <w:color w:val="auto"/>
          <w:sz w:val="32"/>
          <w:szCs w:val="32"/>
        </w:rPr>
      </w:pPr>
      <w:bookmarkStart w:id="22" w:name="_Toc23541"/>
      <w:r>
        <w:rPr>
          <w:rStyle w:val="226"/>
          <w:rFonts w:hint="eastAsia"/>
          <w:color w:val="auto"/>
        </w:rPr>
        <w:br w:type="textWrapping"/>
      </w:r>
      <w:r>
        <w:rPr>
          <w:rStyle w:val="226"/>
          <w:rFonts w:hint="eastAsia"/>
          <w:color w:val="auto"/>
        </w:rPr>
        <w:t>第五章 响应文件组成</w:t>
      </w:r>
      <w:bookmarkEnd w:id="22"/>
    </w:p>
    <w:p>
      <w:pPr>
        <w:spacing w:line="360" w:lineRule="exact"/>
        <w:ind w:right="23" w:rightChars="11"/>
        <w:rPr>
          <w:rFonts w:hint="eastAsia" w:ascii="宋体"/>
          <w:color w:val="auto"/>
        </w:rPr>
      </w:pPr>
      <w:r>
        <w:rPr>
          <w:rFonts w:hint="eastAsia" w:ascii="宋体"/>
          <w:color w:val="auto"/>
        </w:rPr>
        <w:t>供应商的响应文件应包含以下</w:t>
      </w:r>
      <w:r>
        <w:rPr>
          <w:rFonts w:hint="eastAsia" w:ascii="宋体"/>
          <w:color w:val="auto"/>
          <w:lang w:eastAsia="zh-CN"/>
        </w:rPr>
        <w:t>九</w:t>
      </w:r>
      <w:r>
        <w:rPr>
          <w:rFonts w:hint="eastAsia" w:ascii="宋体"/>
          <w:color w:val="auto"/>
        </w:rPr>
        <w:t>个部分：</w:t>
      </w:r>
    </w:p>
    <w:p>
      <w:pPr>
        <w:spacing w:line="360" w:lineRule="exact"/>
        <w:ind w:right="23" w:rightChars="11"/>
        <w:rPr>
          <w:rFonts w:hint="eastAsia" w:ascii="宋体"/>
          <w:color w:val="auto"/>
        </w:rPr>
      </w:pPr>
    </w:p>
    <w:p>
      <w:pPr>
        <w:adjustRightInd w:val="0"/>
        <w:snapToGrid w:val="0"/>
        <w:spacing w:line="360" w:lineRule="auto"/>
        <w:jc w:val="left"/>
        <w:outlineLvl w:val="0"/>
        <w:rPr>
          <w:rFonts w:hint="eastAsia" w:ascii="宋体" w:hAnsi="宋体"/>
          <w:b/>
          <w:szCs w:val="21"/>
        </w:rPr>
      </w:pPr>
      <w:r>
        <w:rPr>
          <w:rFonts w:hint="eastAsia" w:ascii="宋体" w:hAnsi="宋体"/>
          <w:b/>
          <w:szCs w:val="21"/>
        </w:rPr>
        <w:t>一、谈判响应声明</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附件1：法定代表人身份证明(法定代表人参加谈判)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附件2：法定代表人授权书(委托代理人参加谈判)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lang w:eastAsia="zh-CN"/>
        </w:rPr>
        <w:t>附件</w:t>
      </w:r>
      <w:r>
        <w:rPr>
          <w:rFonts w:hint="eastAsia" w:ascii="宋体" w:hAnsi="宋体"/>
          <w:szCs w:val="21"/>
          <w:lang w:val="en-US" w:eastAsia="zh-CN"/>
        </w:rPr>
        <w:t>3：参加政府采购活动前三年内在经营活动中没有重大违法记录的书面声明</w:t>
      </w:r>
    </w:p>
    <w:p>
      <w:pPr>
        <w:adjustRightInd w:val="0"/>
        <w:snapToGrid w:val="0"/>
        <w:spacing w:line="360" w:lineRule="auto"/>
        <w:jc w:val="left"/>
        <w:outlineLvl w:val="0"/>
        <w:rPr>
          <w:rFonts w:hint="eastAsia" w:ascii="宋体" w:hAnsi="宋体"/>
          <w:b/>
          <w:szCs w:val="21"/>
        </w:rPr>
      </w:pPr>
      <w:r>
        <w:rPr>
          <w:rFonts w:hint="eastAsia" w:ascii="宋体" w:hAnsi="宋体"/>
          <w:b/>
          <w:szCs w:val="21"/>
        </w:rPr>
        <w:t>二、保证金缴纳证明材料</w:t>
      </w:r>
    </w:p>
    <w:p>
      <w:pPr>
        <w:adjustRightInd w:val="0"/>
        <w:snapToGrid w:val="0"/>
        <w:spacing w:line="360" w:lineRule="auto"/>
        <w:ind w:firstLine="420" w:firstLineChars="200"/>
        <w:jc w:val="left"/>
        <w:outlineLvl w:val="0"/>
        <w:rPr>
          <w:rFonts w:hint="eastAsia" w:ascii="宋体" w:hAnsi="宋体"/>
          <w:b/>
          <w:bCs/>
          <w:szCs w:val="21"/>
        </w:rPr>
      </w:pPr>
      <w:r>
        <w:rPr>
          <w:rFonts w:hint="eastAsia" w:ascii="宋体" w:hAnsi="宋体"/>
          <w:szCs w:val="21"/>
        </w:rPr>
        <w:t>附件</w:t>
      </w:r>
      <w:r>
        <w:rPr>
          <w:rFonts w:hint="eastAsia" w:ascii="宋体" w:hAnsi="宋体"/>
          <w:szCs w:val="21"/>
          <w:lang w:val="en-US" w:eastAsia="zh-CN"/>
        </w:rPr>
        <w:t>4</w:t>
      </w:r>
      <w:r>
        <w:rPr>
          <w:rFonts w:hint="eastAsia" w:ascii="宋体" w:hAnsi="宋体"/>
          <w:szCs w:val="21"/>
        </w:rPr>
        <w:t>：保证金退还申请书</w:t>
      </w:r>
    </w:p>
    <w:p>
      <w:pPr>
        <w:numPr>
          <w:ilvl w:val="0"/>
          <w:numId w:val="6"/>
        </w:numPr>
        <w:adjustRightInd w:val="0"/>
        <w:snapToGrid w:val="0"/>
        <w:spacing w:line="360" w:lineRule="auto"/>
        <w:jc w:val="left"/>
        <w:outlineLvl w:val="0"/>
        <w:rPr>
          <w:rFonts w:hint="eastAsia" w:ascii="宋体" w:hAnsi="宋体"/>
          <w:b/>
          <w:szCs w:val="21"/>
        </w:rPr>
      </w:pP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5</w:t>
      </w:r>
      <w:r>
        <w:rPr>
          <w:rFonts w:hint="eastAsia" w:ascii="宋体" w:hAnsi="宋体"/>
          <w:szCs w:val="21"/>
        </w:rPr>
        <w:t>：供应商基本情况表</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6</w:t>
      </w:r>
      <w:r>
        <w:rPr>
          <w:rFonts w:hint="eastAsia" w:ascii="宋体" w:hAnsi="宋体"/>
          <w:szCs w:val="21"/>
        </w:rPr>
        <w:t>：供应商的资格条件更新材料</w:t>
      </w:r>
    </w:p>
    <w:p>
      <w:pPr>
        <w:pStyle w:val="22"/>
        <w:adjustRightInd w:val="0"/>
        <w:snapToGrid w:val="0"/>
        <w:spacing w:line="360" w:lineRule="auto"/>
        <w:rPr>
          <w:rFonts w:hint="eastAsia" w:ascii="宋体" w:hAnsi="宋体"/>
          <w:bCs/>
          <w:szCs w:val="21"/>
        </w:rPr>
      </w:pPr>
      <w:r>
        <w:rPr>
          <w:rFonts w:hint="eastAsia" w:hAnsi="宋体"/>
          <w:b/>
        </w:rPr>
        <w:t>四、服务方案</w:t>
      </w:r>
    </w:p>
    <w:p>
      <w:pPr>
        <w:adjustRightInd w:val="0"/>
        <w:snapToGrid w:val="0"/>
        <w:ind w:firstLine="420" w:firstLineChars="200"/>
        <w:rPr>
          <w:rFonts w:hint="eastAsia" w:hAnsi="宋体"/>
        </w:rPr>
      </w:pPr>
      <w:r>
        <w:rPr>
          <w:rFonts w:hint="eastAsia" w:hAnsi="宋体"/>
        </w:rPr>
        <w:t>附件</w:t>
      </w:r>
      <w:r>
        <w:rPr>
          <w:rFonts w:hint="eastAsia" w:hAnsi="宋体"/>
          <w:lang w:val="en-US" w:eastAsia="zh-CN"/>
        </w:rPr>
        <w:t>7</w:t>
      </w:r>
      <w:r>
        <w:rPr>
          <w:rFonts w:hint="eastAsia" w:hAnsi="宋体"/>
        </w:rPr>
        <w:t>-</w:t>
      </w:r>
      <w:r>
        <w:rPr>
          <w:rFonts w:hint="eastAsia" w:hAnsi="宋体"/>
          <w:lang w:val="en-US" w:eastAsia="zh-CN"/>
        </w:rPr>
        <w:t>1</w:t>
      </w:r>
      <w:r>
        <w:rPr>
          <w:rFonts w:hint="eastAsia" w:hAnsi="宋体"/>
        </w:rPr>
        <w:t>：服务方案说明（服务类适用）</w:t>
      </w:r>
    </w:p>
    <w:p>
      <w:pPr>
        <w:adjustRightInd w:val="0"/>
        <w:snapToGrid w:val="0"/>
        <w:spacing w:line="360" w:lineRule="auto"/>
        <w:ind w:firstLine="420" w:firstLineChars="200"/>
        <w:rPr>
          <w:rFonts w:hint="eastAsia" w:ascii="宋体" w:hAnsi="宋体"/>
          <w:b/>
          <w:szCs w:val="21"/>
        </w:rPr>
      </w:pPr>
      <w:r>
        <w:rPr>
          <w:rFonts w:hint="eastAsia" w:hAnsi="宋体"/>
        </w:rPr>
        <w:t>附件</w:t>
      </w:r>
      <w:r>
        <w:rPr>
          <w:rFonts w:hint="eastAsia" w:hAnsi="宋体"/>
          <w:lang w:val="en-US" w:eastAsia="zh-CN"/>
        </w:rPr>
        <w:t>7</w:t>
      </w:r>
      <w:r>
        <w:rPr>
          <w:rFonts w:hint="eastAsia" w:hAnsi="宋体"/>
        </w:rPr>
        <w:t>-2：</w:t>
      </w:r>
      <w:r>
        <w:rPr>
          <w:rFonts w:hint="eastAsia" w:ascii="宋体" w:hAnsi="宋体"/>
          <w:szCs w:val="21"/>
        </w:rPr>
        <w:t>主要人员简历表(服务类适用)</w:t>
      </w:r>
    </w:p>
    <w:p>
      <w:pPr>
        <w:pStyle w:val="22"/>
        <w:adjustRightInd w:val="0"/>
        <w:snapToGrid w:val="0"/>
        <w:spacing w:line="360" w:lineRule="auto"/>
        <w:rPr>
          <w:rFonts w:hint="eastAsia" w:hAnsi="宋体"/>
          <w:b/>
        </w:rPr>
      </w:pPr>
      <w:r>
        <w:rPr>
          <w:rFonts w:hint="eastAsia" w:hAnsi="宋体"/>
          <w:b/>
        </w:rPr>
        <w:t>五、技术/商务响应与偏离表</w:t>
      </w:r>
    </w:p>
    <w:p>
      <w:pPr>
        <w:pStyle w:val="22"/>
        <w:adjustRightInd w:val="0"/>
        <w:snapToGrid w:val="0"/>
        <w:spacing w:line="360" w:lineRule="auto"/>
        <w:rPr>
          <w:rFonts w:hint="eastAsia" w:hAnsi="宋体"/>
          <w:b/>
        </w:rPr>
      </w:pPr>
      <w:r>
        <w:rPr>
          <w:rFonts w:hint="eastAsia" w:hAnsi="宋体"/>
          <w:b/>
        </w:rPr>
        <w:t>六、提供享受政府采购政策的证明材料和清单表</w:t>
      </w:r>
    </w:p>
    <w:p>
      <w:pPr>
        <w:pStyle w:val="22"/>
        <w:adjustRightInd w:val="0"/>
        <w:snapToGrid w:val="0"/>
        <w:spacing w:line="360" w:lineRule="auto"/>
        <w:ind w:firstLine="420" w:firstLineChars="200"/>
        <w:rPr>
          <w:rFonts w:hint="eastAsia" w:hAnsi="宋体"/>
        </w:rPr>
      </w:pPr>
      <w:r>
        <w:rPr>
          <w:rFonts w:hint="eastAsia" w:hAnsi="宋体"/>
        </w:rPr>
        <w:t>附件</w:t>
      </w:r>
      <w:r>
        <w:rPr>
          <w:rFonts w:hint="eastAsia" w:hAnsi="宋体"/>
          <w:lang w:val="en-US" w:eastAsia="zh-CN"/>
        </w:rPr>
        <w:t>8</w:t>
      </w:r>
      <w:r>
        <w:rPr>
          <w:rFonts w:hint="eastAsia" w:hAnsi="宋体"/>
        </w:rPr>
        <w:t>：中小企业声明函</w:t>
      </w:r>
    </w:p>
    <w:p>
      <w:pPr>
        <w:pStyle w:val="22"/>
        <w:adjustRightInd w:val="0"/>
        <w:snapToGrid w:val="0"/>
        <w:spacing w:line="360" w:lineRule="auto"/>
        <w:rPr>
          <w:rFonts w:hint="eastAsia" w:hAnsi="宋体"/>
          <w:b/>
        </w:rPr>
      </w:pPr>
      <w:r>
        <w:rPr>
          <w:rFonts w:hint="eastAsia" w:hAnsi="宋体"/>
          <w:b/>
          <w:lang w:eastAsia="zh-CN"/>
        </w:rPr>
        <w:t>七</w:t>
      </w:r>
      <w:r>
        <w:rPr>
          <w:rFonts w:hint="eastAsia" w:hAnsi="宋体"/>
          <w:b/>
        </w:rPr>
        <w:t>、报价一览表及报价文件</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9</w:t>
      </w:r>
      <w:r>
        <w:rPr>
          <w:rFonts w:hint="eastAsia" w:ascii="宋体" w:hAnsi="宋体"/>
          <w:szCs w:val="21"/>
        </w:rPr>
        <w:t>-1：报价一览表</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9</w:t>
      </w:r>
      <w:r>
        <w:rPr>
          <w:rFonts w:hint="eastAsia" w:ascii="宋体" w:hAnsi="宋体"/>
          <w:szCs w:val="21"/>
        </w:rPr>
        <w:t>-2：分项价格表</w:t>
      </w:r>
    </w:p>
    <w:p>
      <w:pPr>
        <w:pStyle w:val="22"/>
        <w:adjustRightInd w:val="0"/>
        <w:snapToGrid w:val="0"/>
        <w:spacing w:line="360" w:lineRule="auto"/>
        <w:rPr>
          <w:rFonts w:hint="eastAsia" w:hAnsi="宋体"/>
          <w:b/>
        </w:rPr>
      </w:pPr>
      <w:r>
        <w:rPr>
          <w:rFonts w:hint="eastAsia" w:hAnsi="宋体"/>
          <w:b/>
          <w:lang w:eastAsia="zh-CN"/>
        </w:rPr>
        <w:t>八</w:t>
      </w:r>
      <w:r>
        <w:rPr>
          <w:rFonts w:hint="eastAsia" w:hAnsi="宋体"/>
          <w:b/>
        </w:rPr>
        <w:t>、供应商认为需要提供的其它资料</w:t>
      </w:r>
    </w:p>
    <w:p>
      <w:pPr>
        <w:pStyle w:val="22"/>
        <w:adjustRightInd w:val="0"/>
        <w:snapToGrid w:val="0"/>
        <w:spacing w:line="360" w:lineRule="auto"/>
        <w:rPr>
          <w:rFonts w:hint="eastAsia" w:hAnsi="宋体"/>
          <w:b/>
        </w:rPr>
      </w:pPr>
      <w:r>
        <w:rPr>
          <w:rFonts w:hint="eastAsia" w:hAnsi="宋体"/>
          <w:b/>
          <w:lang w:eastAsia="zh-CN"/>
        </w:rPr>
        <w:t>九</w:t>
      </w:r>
      <w:r>
        <w:rPr>
          <w:rFonts w:hint="eastAsia" w:hAnsi="宋体"/>
          <w:b/>
        </w:rPr>
        <w:t>、最后报价</w:t>
      </w: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spacing w:line="360" w:lineRule="exact"/>
        <w:ind w:right="23" w:rightChars="11"/>
        <w:rPr>
          <w:rFonts w:hint="eastAsia" w:ascii="宋体" w:hAnsi="宋体"/>
          <w:b/>
          <w:color w:val="auto"/>
        </w:rPr>
      </w:pPr>
    </w:p>
    <w:p>
      <w:pPr>
        <w:adjustRightInd w:val="0"/>
        <w:snapToGrid w:val="0"/>
        <w:spacing w:line="360" w:lineRule="auto"/>
        <w:ind w:right="23" w:rightChars="11"/>
        <w:jc w:val="center"/>
        <w:outlineLvl w:val="0"/>
        <w:rPr>
          <w:rFonts w:hint="eastAsia" w:ascii="黑体" w:eastAsia="黑体"/>
          <w:b/>
          <w:color w:val="auto"/>
          <w:sz w:val="32"/>
          <w:szCs w:val="32"/>
        </w:rPr>
      </w:pPr>
      <w:bookmarkStart w:id="23" w:name="_Toc16792"/>
      <w:r>
        <w:rPr>
          <w:rFonts w:hint="eastAsia" w:ascii="黑体" w:eastAsia="黑体"/>
          <w:b/>
          <w:color w:val="auto"/>
          <w:sz w:val="32"/>
          <w:szCs w:val="32"/>
        </w:rPr>
        <w:br w:type="page"/>
      </w:r>
      <w:r>
        <w:rPr>
          <w:rFonts w:hint="eastAsia" w:ascii="黑体" w:eastAsia="黑体"/>
          <w:b/>
          <w:color w:val="auto"/>
          <w:sz w:val="32"/>
          <w:szCs w:val="32"/>
        </w:rPr>
        <w:t>一、</w:t>
      </w:r>
      <w:r>
        <w:rPr>
          <w:rFonts w:hint="eastAsia" w:ascii="黑体" w:hAnsi="宋体" w:eastAsia="黑体"/>
          <w:b/>
          <w:color w:val="auto"/>
          <w:sz w:val="32"/>
          <w:szCs w:val="32"/>
        </w:rPr>
        <w:t>谈判响应声明</w:t>
      </w:r>
      <w:bookmarkEnd w:id="23"/>
    </w:p>
    <w:p>
      <w:pPr>
        <w:adjustRightInd w:val="0"/>
        <w:snapToGrid w:val="0"/>
        <w:spacing w:line="360" w:lineRule="auto"/>
        <w:ind w:right="23" w:rightChars="11"/>
        <w:rPr>
          <w:rFonts w:hint="eastAsia" w:ascii="仿宋_GB2312" w:hAnsi="宋体" w:eastAsia="仿宋_GB2312"/>
          <w:color w:val="auto"/>
          <w:sz w:val="24"/>
        </w:rPr>
      </w:pP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rPr>
        <w:t xml:space="preserve"> (采购人或采购代理机构)：</w:t>
      </w:r>
    </w:p>
    <w:p>
      <w:pPr>
        <w:adjustRightInd w:val="0"/>
        <w:snapToGrid w:val="0"/>
        <w:spacing w:line="360" w:lineRule="auto"/>
        <w:ind w:right="23" w:rightChars="11" w:firstLine="420" w:firstLineChars="200"/>
        <w:rPr>
          <w:rFonts w:hint="eastAsia" w:ascii="宋体" w:hAnsi="宋体"/>
          <w:color w:val="auto"/>
          <w:szCs w:val="21"/>
        </w:rPr>
      </w:pPr>
      <w:r>
        <w:rPr>
          <w:rFonts w:hint="eastAsia" w:ascii="宋体" w:hAnsi="宋体"/>
          <w:color w:val="auto"/>
          <w:szCs w:val="21"/>
        </w:rPr>
        <w:t>我方己仔细研究了</w:t>
      </w:r>
      <w:r>
        <w:rPr>
          <w:rFonts w:hint="eastAsia" w:ascii="宋体" w:hAnsi="宋体"/>
          <w:color w:val="auto"/>
          <w:szCs w:val="21"/>
          <w:u w:val="single"/>
        </w:rPr>
        <w:t xml:space="preserve">                 (</w:t>
      </w:r>
      <w:r>
        <w:rPr>
          <w:rFonts w:hint="eastAsia" w:ascii="宋体" w:hAnsi="宋体"/>
          <w:color w:val="auto"/>
          <w:szCs w:val="21"/>
        </w:rPr>
        <w:t>项目名称)的竞争性谈判文件（政府采购编号：</w:t>
      </w:r>
      <w:r>
        <w:rPr>
          <w:rFonts w:hint="eastAsia" w:ascii="宋体" w:hAnsi="宋体"/>
          <w:color w:val="auto"/>
          <w:szCs w:val="21"/>
          <w:u w:val="single"/>
        </w:rPr>
        <w:t xml:space="preserve">            </w:t>
      </w:r>
      <w:r>
        <w:rPr>
          <w:rFonts w:hint="eastAsia" w:ascii="宋体" w:hAnsi="宋体"/>
          <w:color w:val="auto"/>
          <w:szCs w:val="21"/>
        </w:rPr>
        <w:t xml:space="preserve"> ；采购代理编号：</w:t>
      </w:r>
      <w:r>
        <w:rPr>
          <w:rFonts w:hint="eastAsia" w:ascii="宋体" w:hAnsi="宋体"/>
          <w:color w:val="auto"/>
          <w:szCs w:val="21"/>
          <w:u w:val="single"/>
        </w:rPr>
        <w:t xml:space="preserve">           </w:t>
      </w:r>
      <w:r>
        <w:rPr>
          <w:rFonts w:hint="eastAsia" w:ascii="宋体" w:hAnsi="宋体"/>
          <w:color w:val="auto"/>
          <w:szCs w:val="21"/>
        </w:rPr>
        <w:t>）的全部内容，</w:t>
      </w:r>
      <w:r>
        <w:rPr>
          <w:rFonts w:hint="eastAsia" w:hAnsi="宋体"/>
          <w:color w:val="auto"/>
        </w:rPr>
        <w:t>知悉参加竞争性谈判的风险，我方承诺接受谈判文件的全部条款且无任何异议。</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一、我方同意在谈判文件中规定的提交首次响应文件截止时间起</w:t>
      </w:r>
      <w:r>
        <w:rPr>
          <w:rFonts w:hint="eastAsia" w:hAnsi="宋体"/>
          <w:color w:val="auto"/>
          <w:u w:val="single"/>
        </w:rPr>
        <w:t xml:space="preserve">    </w:t>
      </w:r>
      <w:r>
        <w:rPr>
          <w:rFonts w:hint="eastAsia" w:hAnsi="宋体"/>
          <w:color w:val="auto"/>
        </w:rPr>
        <w:t>日内(响应文件有效期)遵守本响应文件中的承诺且在此期限期满之前均具有法律约束力。</w:t>
      </w:r>
    </w:p>
    <w:p>
      <w:pPr>
        <w:pStyle w:val="22"/>
        <w:adjustRightInd w:val="0"/>
        <w:snapToGrid w:val="0"/>
        <w:spacing w:line="360" w:lineRule="auto"/>
        <w:ind w:right="23" w:rightChars="11" w:firstLine="420" w:firstLineChars="200"/>
        <w:rPr>
          <w:rFonts w:hint="eastAsia" w:hAnsi="宋体"/>
          <w:bCs/>
          <w:color w:val="auto"/>
        </w:rPr>
      </w:pPr>
      <w:r>
        <w:rPr>
          <w:rFonts w:hint="eastAsia" w:hAnsi="宋体"/>
          <w:color w:val="auto"/>
        </w:rPr>
        <w:t>二、我方提交响应文件正本一份和副本一式</w:t>
      </w:r>
      <w:r>
        <w:rPr>
          <w:rFonts w:hint="eastAsia" w:hAnsi="宋体"/>
          <w:color w:val="auto"/>
          <w:u w:val="single"/>
        </w:rPr>
        <w:t xml:space="preserve">     </w:t>
      </w:r>
      <w:r>
        <w:rPr>
          <w:rFonts w:hint="eastAsia" w:hAnsi="宋体"/>
          <w:color w:val="auto"/>
        </w:rPr>
        <w:t>份，并保证响应文件提供的数据和材料是真实、准确的。否则，愿承担《政府采购法》</w:t>
      </w:r>
      <w:r>
        <w:rPr>
          <w:rFonts w:hint="eastAsia" w:hAnsi="宋体"/>
          <w:bCs/>
          <w:color w:val="auto"/>
        </w:rPr>
        <w:t>第七十七条规定的法律责任。</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三、我方愿意向贵方提供任何与本项采购有关的数据、情况和技术资料。若贵方需要，我方愿意提供我方作出的一切承诺的证明材料。</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四、我方愿意按谈判文件规定和谈判小组要求重新提交响应文件和最后报价。</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五、我方承诺遵守《政府采购法》、《政府采购非招标采购方式管理办法》（财政部第74号令）的有关规定，保证在获得成交资格后，按照谈判文件确定的事项签订政府采购合同，履行双方所签订的合同，并承担合同规定的责任和义务。</w:t>
      </w:r>
    </w:p>
    <w:p>
      <w:pPr>
        <w:pStyle w:val="22"/>
        <w:adjustRightInd w:val="0"/>
        <w:snapToGrid w:val="0"/>
        <w:spacing w:line="360" w:lineRule="auto"/>
        <w:ind w:right="23" w:rightChars="11" w:firstLine="420" w:firstLineChars="200"/>
        <w:rPr>
          <w:rFonts w:hint="eastAsia" w:hAnsi="宋体"/>
          <w:color w:val="auto"/>
        </w:rPr>
      </w:pPr>
      <w:r>
        <w:rPr>
          <w:rFonts w:hint="eastAsia" w:hAnsi="宋体"/>
          <w:color w:val="auto"/>
        </w:rPr>
        <w:t>六、我方承诺在参与竞争性谈判过程中，若出现《政府采购法》第七十七条、《政府采购法实施条例》第七十二条和《政府采购非招标采购方式管理办法》（财政部令第74号）第五十四条规定之情形，我方同意接受条款规定作出的处罚。</w:t>
      </w:r>
    </w:p>
    <w:p>
      <w:pPr>
        <w:pStyle w:val="22"/>
        <w:adjustRightInd w:val="0"/>
        <w:snapToGrid w:val="0"/>
        <w:spacing w:line="360" w:lineRule="auto"/>
        <w:ind w:right="23" w:rightChars="11" w:firstLine="420" w:firstLineChars="200"/>
        <w:rPr>
          <w:rFonts w:hint="eastAsia" w:hAnsi="宋体"/>
          <w:color w:val="auto"/>
        </w:rPr>
      </w:pPr>
    </w:p>
    <w:p>
      <w:pPr>
        <w:adjustRightInd w:val="0"/>
        <w:snapToGrid w:val="0"/>
        <w:spacing w:line="360" w:lineRule="auto"/>
        <w:ind w:right="23" w:rightChars="11"/>
        <w:rPr>
          <w:rFonts w:hint="eastAsia" w:ascii="宋体" w:hAnsi="宋体"/>
          <w:bCs/>
          <w:color w:val="auto"/>
          <w:szCs w:val="21"/>
        </w:rPr>
      </w:pPr>
    </w:p>
    <w:p>
      <w:pPr>
        <w:adjustRightInd w:val="0"/>
        <w:snapToGrid w:val="0"/>
        <w:spacing w:line="360" w:lineRule="auto"/>
        <w:ind w:right="23" w:rightChars="11"/>
        <w:rPr>
          <w:rFonts w:hint="eastAsia" w:ascii="宋体" w:hAnsi="宋体"/>
          <w:bCs/>
          <w:color w:val="auto"/>
          <w:szCs w:val="21"/>
        </w:rPr>
      </w:pPr>
    </w:p>
    <w:p>
      <w:pPr>
        <w:adjustRightInd w:val="0"/>
        <w:snapToGrid w:val="0"/>
        <w:spacing w:line="360" w:lineRule="auto"/>
        <w:ind w:right="23" w:rightChars="11"/>
        <w:rPr>
          <w:rFonts w:hint="eastAsia" w:ascii="宋体" w:hAnsi="宋体"/>
          <w:color w:val="auto"/>
          <w:szCs w:val="21"/>
        </w:rPr>
      </w:pPr>
      <w:r>
        <w:rPr>
          <w:rFonts w:hint="eastAsia" w:ascii="宋体" w:hAnsi="宋体"/>
          <w:bCs/>
          <w:color w:val="auto"/>
          <w:szCs w:val="21"/>
        </w:rPr>
        <w:t>附件1：</w:t>
      </w:r>
      <w:r>
        <w:rPr>
          <w:rFonts w:hint="eastAsia" w:ascii="宋体" w:hAnsi="宋体"/>
          <w:color w:val="auto"/>
          <w:szCs w:val="21"/>
        </w:rPr>
        <w:t>法定代表人身份证明(法定代表人参加谈判)</w:t>
      </w:r>
    </w:p>
    <w:p>
      <w:pPr>
        <w:adjustRightInd w:val="0"/>
        <w:snapToGrid w:val="0"/>
        <w:spacing w:line="360" w:lineRule="auto"/>
        <w:ind w:right="23" w:rightChars="11"/>
        <w:rPr>
          <w:rFonts w:hint="eastAsia" w:ascii="宋体" w:hAnsi="宋体"/>
          <w:color w:val="auto"/>
          <w:szCs w:val="21"/>
        </w:rPr>
      </w:pPr>
      <w:r>
        <w:rPr>
          <w:rFonts w:hint="eastAsia" w:ascii="宋体" w:hAnsi="宋体"/>
          <w:bCs/>
          <w:color w:val="auto"/>
          <w:szCs w:val="21"/>
        </w:rPr>
        <w:t>附件2</w:t>
      </w:r>
      <w:r>
        <w:rPr>
          <w:rFonts w:hint="eastAsia" w:ascii="宋体" w:hAnsi="宋体"/>
          <w:color w:val="auto"/>
          <w:szCs w:val="21"/>
        </w:rPr>
        <w:t>：法定代表人授权书(委托代理人参加谈判)</w:t>
      </w:r>
    </w:p>
    <w:p>
      <w:pPr>
        <w:pStyle w:val="22"/>
        <w:adjustRightInd w:val="0"/>
        <w:snapToGrid w:val="0"/>
        <w:spacing w:line="360" w:lineRule="auto"/>
        <w:ind w:right="23" w:rightChars="11"/>
        <w:rPr>
          <w:rFonts w:hint="eastAsia" w:hAnsi="宋体"/>
          <w:color w:val="auto"/>
        </w:rPr>
      </w:pPr>
    </w:p>
    <w:p>
      <w:pPr>
        <w:pStyle w:val="22"/>
        <w:adjustRightInd w:val="0"/>
        <w:snapToGrid w:val="0"/>
        <w:spacing w:line="360" w:lineRule="auto"/>
        <w:ind w:right="23" w:rightChars="11"/>
        <w:rPr>
          <w:rFonts w:hint="eastAsia" w:hAnsi="宋体"/>
          <w:color w:val="auto"/>
        </w:rPr>
      </w:pPr>
    </w:p>
    <w:p>
      <w:pPr>
        <w:pStyle w:val="22"/>
        <w:adjustRightInd w:val="0"/>
        <w:snapToGrid w:val="0"/>
        <w:spacing w:line="360" w:lineRule="auto"/>
        <w:ind w:right="23" w:rightChars="11"/>
        <w:rPr>
          <w:rFonts w:hint="eastAsia" w:hAnsi="宋体"/>
          <w:color w:val="auto"/>
        </w:rPr>
      </w:pPr>
      <w:r>
        <w:rPr>
          <w:rFonts w:hint="eastAsia" w:hAnsi="宋体"/>
          <w:color w:val="auto"/>
        </w:rPr>
        <w:t>供应商名称(盖单位章)：</w:t>
      </w: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法定代表人或其委托代理人 (签字)：</w:t>
      </w:r>
      <w:r>
        <w:rPr>
          <w:rFonts w:hint="eastAsia" w:ascii="宋体" w:hAnsi="宋体"/>
          <w:color w:val="auto"/>
          <w:szCs w:val="21"/>
          <w:u w:val="single"/>
        </w:rPr>
        <w:t xml:space="preserve">            </w:t>
      </w: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spacing w:line="360" w:lineRule="auto"/>
        <w:ind w:right="23" w:rightChars="11"/>
        <w:rPr>
          <w:rFonts w:hint="eastAsia" w:ascii="黑体" w:hAnsi="华文中宋" w:eastAsia="黑体"/>
          <w:bCs/>
          <w:color w:val="auto"/>
          <w:sz w:val="28"/>
          <w:szCs w:val="28"/>
        </w:rPr>
      </w:pPr>
    </w:p>
    <w:p>
      <w:pPr>
        <w:adjustRightInd w:val="0"/>
        <w:snapToGrid w:val="0"/>
        <w:spacing w:line="360" w:lineRule="auto"/>
        <w:ind w:right="23" w:rightChars="11"/>
        <w:rPr>
          <w:rFonts w:hint="eastAsia" w:ascii="黑体" w:hAnsi="华文中宋" w:eastAsia="黑体"/>
          <w:bCs/>
          <w:color w:val="auto"/>
          <w:sz w:val="24"/>
        </w:rPr>
      </w:pPr>
    </w:p>
    <w:p>
      <w:pPr>
        <w:adjustRightInd w:val="0"/>
        <w:snapToGrid w:val="0"/>
        <w:spacing w:line="360" w:lineRule="auto"/>
        <w:ind w:right="23" w:rightChars="11"/>
        <w:rPr>
          <w:rFonts w:hint="eastAsia" w:ascii="黑体" w:hAnsi="华文中宋" w:eastAsia="黑体"/>
          <w:bCs/>
          <w:color w:val="auto"/>
          <w:sz w:val="24"/>
        </w:rPr>
      </w:pPr>
    </w:p>
    <w:p>
      <w:pPr>
        <w:adjustRightInd w:val="0"/>
        <w:snapToGrid w:val="0"/>
        <w:spacing w:line="360" w:lineRule="auto"/>
        <w:ind w:right="23" w:rightChars="11"/>
        <w:rPr>
          <w:rFonts w:hint="eastAsia" w:ascii="黑体" w:hAnsi="华文中宋" w:eastAsia="黑体"/>
          <w:bCs/>
          <w:color w:val="auto"/>
          <w:sz w:val="24"/>
        </w:rPr>
      </w:pPr>
    </w:p>
    <w:p>
      <w:pPr>
        <w:adjustRightInd w:val="0"/>
        <w:snapToGrid w:val="0"/>
        <w:spacing w:line="360" w:lineRule="auto"/>
        <w:ind w:right="23" w:rightChars="11"/>
        <w:rPr>
          <w:rFonts w:hint="eastAsia" w:ascii="黑体" w:hAnsi="华文中宋" w:eastAsia="黑体"/>
          <w:bCs/>
          <w:color w:val="auto"/>
          <w:sz w:val="24"/>
        </w:rPr>
      </w:pPr>
      <w:r>
        <w:rPr>
          <w:rFonts w:hint="eastAsia" w:ascii="黑体" w:hAnsi="华文中宋" w:eastAsia="黑体"/>
          <w:bCs/>
          <w:color w:val="auto"/>
          <w:sz w:val="24"/>
        </w:rPr>
        <w:t>附件1：</w:t>
      </w:r>
    </w:p>
    <w:p>
      <w:pPr>
        <w:adjustRightInd w:val="0"/>
        <w:snapToGrid w:val="0"/>
        <w:spacing w:line="360" w:lineRule="auto"/>
        <w:ind w:right="23" w:rightChars="11"/>
        <w:jc w:val="center"/>
        <w:rPr>
          <w:rFonts w:hint="eastAsia" w:ascii="黑体" w:hAnsi="华文中宋" w:eastAsia="黑体"/>
          <w:b/>
          <w:color w:val="auto"/>
          <w:sz w:val="28"/>
          <w:szCs w:val="28"/>
        </w:rPr>
      </w:pPr>
      <w:r>
        <w:rPr>
          <w:rFonts w:hint="eastAsia" w:ascii="黑体" w:hAnsi="华文中宋" w:eastAsia="黑体"/>
          <w:b/>
          <w:color w:val="auto"/>
          <w:sz w:val="28"/>
          <w:szCs w:val="28"/>
        </w:rPr>
        <w:t>法定代表人身份证明(法定代表人参加谈判)</w:t>
      </w:r>
    </w:p>
    <w:p>
      <w:pPr>
        <w:snapToGrid w:val="0"/>
        <w:spacing w:line="480" w:lineRule="auto"/>
        <w:ind w:right="23" w:rightChars="11"/>
        <w:rPr>
          <w:rFonts w:hint="eastAsia" w:ascii="宋体" w:hAnsi="宋体"/>
          <w:color w:val="auto"/>
          <w:szCs w:val="21"/>
        </w:rPr>
      </w:pP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olor w:val="auto"/>
          <w:szCs w:val="21"/>
        </w:rPr>
        <w:t>供应商</w:t>
      </w:r>
      <w:r>
        <w:rPr>
          <w:rFonts w:hint="eastAsia" w:ascii="宋体" w:hAnsi="宋体" w:cs="宋体"/>
          <w:color w:val="auto"/>
          <w:kern w:val="0"/>
          <w:szCs w:val="21"/>
        </w:rPr>
        <w:t>名称：</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s="宋体"/>
          <w:color w:val="auto"/>
          <w:kern w:val="0"/>
          <w:szCs w:val="21"/>
        </w:rPr>
        <w:t>注册号：</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s="宋体"/>
          <w:color w:val="auto"/>
          <w:kern w:val="0"/>
          <w:szCs w:val="21"/>
        </w:rPr>
        <w:t>注册地址：</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s="宋体"/>
          <w:color w:val="auto"/>
          <w:kern w:val="0"/>
          <w:szCs w:val="21"/>
        </w:rPr>
        <w:t xml:space="preserve">成立时间： </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年 </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日</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u w:val="single"/>
        </w:rPr>
      </w:pPr>
      <w:r>
        <w:rPr>
          <w:rFonts w:hint="eastAsia" w:ascii="宋体" w:hAnsi="宋体" w:cs="宋体"/>
          <w:color w:val="auto"/>
          <w:kern w:val="0"/>
          <w:szCs w:val="21"/>
        </w:rPr>
        <w:t>经营期限：</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u w:val="single"/>
        </w:rPr>
      </w:pPr>
      <w:r>
        <w:rPr>
          <w:rFonts w:hint="eastAsia" w:ascii="宋体" w:hAnsi="宋体" w:cs="宋体"/>
          <w:color w:val="auto"/>
          <w:kern w:val="0"/>
          <w:szCs w:val="21"/>
        </w:rPr>
        <w:t>经营范围：主营：</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；兼营：</w:t>
      </w:r>
      <w:r>
        <w:rPr>
          <w:rFonts w:hint="eastAsia" w:ascii="宋体" w:hAnsi="宋体" w:cs="宋体"/>
          <w:color w:val="auto"/>
          <w:kern w:val="0"/>
          <w:szCs w:val="21"/>
          <w:u w:val="single"/>
        </w:rPr>
        <w:t xml:space="preserve">              </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s="宋体"/>
          <w:color w:val="auto"/>
          <w:kern w:val="0"/>
          <w:szCs w:val="21"/>
        </w:rPr>
        <w:t>姓名：</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性别：</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年龄：</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系</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olor w:val="auto"/>
          <w:szCs w:val="21"/>
        </w:rPr>
        <w:t>供应商</w:t>
      </w:r>
      <w:r>
        <w:rPr>
          <w:rFonts w:hint="eastAsia" w:ascii="宋体" w:hAnsi="宋体" w:cs="宋体"/>
          <w:color w:val="auto"/>
          <w:kern w:val="0"/>
          <w:szCs w:val="21"/>
        </w:rPr>
        <w:t>名称）的法定代表人。</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s="宋体"/>
          <w:color w:val="auto"/>
          <w:kern w:val="0"/>
          <w:szCs w:val="21"/>
        </w:rPr>
        <w:t>特此证明。</w:t>
      </w:r>
    </w:p>
    <w:p>
      <w:pPr>
        <w:autoSpaceDE w:val="0"/>
        <w:autoSpaceDN w:val="0"/>
        <w:adjustRightInd w:val="0"/>
        <w:snapToGrid w:val="0"/>
        <w:spacing w:before="120" w:beforeLines="50" w:line="360" w:lineRule="auto"/>
        <w:ind w:right="23" w:rightChars="11"/>
        <w:jc w:val="left"/>
        <w:rPr>
          <w:rFonts w:hint="eastAsia" w:ascii="宋体" w:hAnsi="宋体" w:cs="宋体"/>
          <w:color w:val="auto"/>
          <w:kern w:val="0"/>
          <w:szCs w:val="21"/>
        </w:rPr>
      </w:pPr>
      <w:r>
        <w:rPr>
          <w:rFonts w:hint="eastAsia" w:ascii="宋体" w:hAnsi="宋体"/>
          <w:color w:val="auto"/>
          <w:szCs w:val="21"/>
        </w:rPr>
        <w:t>附：法定代表人身份证复印件</w:t>
      </w:r>
    </w:p>
    <w:p>
      <w:pPr>
        <w:snapToGrid w:val="0"/>
        <w:spacing w:line="480" w:lineRule="auto"/>
        <w:ind w:right="23" w:rightChars="11"/>
        <w:rPr>
          <w:rFonts w:hint="eastAsia" w:ascii="宋体" w:hAnsi="宋体"/>
          <w:color w:val="auto"/>
          <w:szCs w:val="21"/>
        </w:rPr>
      </w:pPr>
    </w:p>
    <w:p>
      <w:pPr>
        <w:snapToGrid w:val="0"/>
        <w:ind w:right="23" w:rightChars="11"/>
        <w:rPr>
          <w:rFonts w:hint="eastAsia" w:ascii="宋体" w:hAnsi="宋体"/>
          <w:color w:val="auto"/>
          <w:szCs w:val="21"/>
        </w:rPr>
      </w:pPr>
    </w:p>
    <w:p>
      <w:pPr>
        <w:snapToGrid w:val="0"/>
        <w:ind w:right="23" w:rightChars="11"/>
        <w:rPr>
          <w:rFonts w:hint="eastAsia" w:ascii="宋体" w:hAnsi="宋体"/>
          <w:color w:val="auto"/>
          <w:szCs w:val="21"/>
        </w:rPr>
      </w:pPr>
    </w:p>
    <w:p>
      <w:pPr>
        <w:snapToGrid w:val="0"/>
        <w:ind w:right="23" w:rightChars="11"/>
        <w:rPr>
          <w:rFonts w:hint="eastAsia" w:ascii="宋体" w:hAnsi="宋体"/>
          <w:color w:val="auto"/>
          <w:szCs w:val="21"/>
        </w:rPr>
      </w:pPr>
    </w:p>
    <w:p>
      <w:pPr>
        <w:snapToGrid w:val="0"/>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供应商名称（盖单位章）：</w:t>
      </w:r>
    </w:p>
    <w:p>
      <w:pPr>
        <w:adjustRightInd w:val="0"/>
        <w:snapToGrid w:val="0"/>
        <w:spacing w:line="360" w:lineRule="auto"/>
        <w:ind w:right="23" w:rightChars="11"/>
        <w:rPr>
          <w:rFonts w:hint="eastAsia" w:ascii="仿宋_GB2312" w:hAnsi="宋体" w:eastAsia="仿宋_GB2312"/>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before="120" w:beforeLines="50" w:line="360" w:lineRule="auto"/>
        <w:ind w:right="23" w:rightChars="11"/>
        <w:rPr>
          <w:rFonts w:hint="eastAsia" w:ascii="仿宋_GB2312" w:hAnsi="宋体" w:eastAsia="仿宋_GB2312"/>
          <w:color w:val="auto"/>
          <w:szCs w:val="21"/>
        </w:rPr>
      </w:pPr>
    </w:p>
    <w:p>
      <w:pPr>
        <w:spacing w:line="360" w:lineRule="exact"/>
        <w:ind w:right="23" w:rightChars="11"/>
        <w:rPr>
          <w:rFonts w:hint="eastAsia" w:ascii="宋体"/>
          <w:b/>
          <w:color w:val="FF0000"/>
        </w:rPr>
      </w:pPr>
      <w:r>
        <w:rPr>
          <w:rFonts w:hint="eastAsia" w:ascii="宋体"/>
          <w:b/>
          <w:color w:val="FF0000"/>
          <w:lang w:eastAsia="zh-CN"/>
        </w:rPr>
        <w:t>（</w:t>
      </w:r>
      <w:r>
        <w:rPr>
          <w:rFonts w:hint="eastAsia" w:ascii="宋体"/>
          <w:b/>
          <w:color w:val="FF0000"/>
        </w:rPr>
        <w:t>法定代表人参加谈判时，“法定代表人身份证明”由法定代表人另外单独携带一份原件至开标现场，身份验证时交由监委查验</w:t>
      </w:r>
      <w:r>
        <w:rPr>
          <w:rFonts w:hint="eastAsia" w:ascii="宋体"/>
          <w:b/>
          <w:color w:val="FF0000"/>
          <w:lang w:eastAsia="zh-CN"/>
        </w:rPr>
        <w:t>）</w:t>
      </w: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line="360" w:lineRule="auto"/>
        <w:ind w:right="23" w:rightChars="11"/>
        <w:rPr>
          <w:rFonts w:hint="eastAsia" w:ascii="黑体" w:hAnsi="华文中宋" w:eastAsia="黑体"/>
          <w:bCs/>
          <w:color w:val="auto"/>
          <w:sz w:val="24"/>
        </w:rPr>
      </w:pPr>
    </w:p>
    <w:p>
      <w:pPr>
        <w:adjustRightInd w:val="0"/>
        <w:snapToGrid w:val="0"/>
        <w:spacing w:line="360" w:lineRule="auto"/>
        <w:ind w:right="23" w:rightChars="11"/>
        <w:rPr>
          <w:rFonts w:hint="eastAsia" w:ascii="黑体" w:hAnsi="宋体" w:eastAsia="黑体"/>
          <w:color w:val="auto"/>
          <w:sz w:val="24"/>
        </w:rPr>
      </w:pPr>
      <w:r>
        <w:rPr>
          <w:rFonts w:hint="eastAsia" w:ascii="黑体" w:hAnsi="华文中宋" w:eastAsia="黑体"/>
          <w:bCs/>
          <w:color w:val="auto"/>
          <w:sz w:val="24"/>
        </w:rPr>
        <w:t>附件2</w:t>
      </w:r>
      <w:r>
        <w:rPr>
          <w:rFonts w:hint="eastAsia" w:ascii="黑体" w:hAnsi="宋体" w:eastAsia="黑体"/>
          <w:color w:val="auto"/>
          <w:sz w:val="24"/>
        </w:rPr>
        <w:t>：</w:t>
      </w:r>
    </w:p>
    <w:p>
      <w:pPr>
        <w:adjustRightInd w:val="0"/>
        <w:snapToGrid w:val="0"/>
        <w:spacing w:line="360" w:lineRule="auto"/>
        <w:ind w:right="23" w:rightChars="11"/>
        <w:jc w:val="center"/>
        <w:rPr>
          <w:rFonts w:hint="eastAsia" w:ascii="黑体" w:hAnsi="华文中宋" w:eastAsia="黑体"/>
          <w:b/>
          <w:color w:val="auto"/>
          <w:sz w:val="28"/>
          <w:szCs w:val="28"/>
        </w:rPr>
      </w:pPr>
      <w:r>
        <w:rPr>
          <w:rFonts w:hint="eastAsia" w:ascii="黑体" w:hAnsi="宋体" w:eastAsia="黑体"/>
          <w:b/>
          <w:color w:val="auto"/>
          <w:sz w:val="28"/>
          <w:szCs w:val="28"/>
        </w:rPr>
        <w:t>法定代表人</w:t>
      </w:r>
      <w:r>
        <w:rPr>
          <w:rFonts w:hint="eastAsia" w:ascii="黑体" w:hAnsi="华文中宋" w:eastAsia="黑体"/>
          <w:b/>
          <w:color w:val="auto"/>
          <w:sz w:val="28"/>
          <w:szCs w:val="28"/>
        </w:rPr>
        <w:t xml:space="preserve">授权书(委托代理人参加谈判) </w:t>
      </w:r>
    </w:p>
    <w:p>
      <w:pPr>
        <w:adjustRightInd w:val="0"/>
        <w:snapToGrid w:val="0"/>
        <w:spacing w:line="360" w:lineRule="auto"/>
        <w:ind w:right="23" w:rightChars="11"/>
        <w:jc w:val="center"/>
        <w:rPr>
          <w:rFonts w:hint="eastAsia" w:ascii="黑体" w:hAnsi="华文中宋" w:eastAsia="黑体"/>
          <w:b/>
          <w:color w:val="auto"/>
          <w:sz w:val="28"/>
          <w:szCs w:val="28"/>
        </w:rPr>
      </w:pPr>
    </w:p>
    <w:p>
      <w:pPr>
        <w:adjustRightInd w:val="0"/>
        <w:snapToGrid w:val="0"/>
        <w:spacing w:line="360" w:lineRule="auto"/>
        <w:ind w:right="23" w:rightChars="11"/>
        <w:jc w:val="center"/>
        <w:rPr>
          <w:rFonts w:hint="eastAsia" w:ascii="黑体" w:hAnsi="华文中宋" w:eastAsia="黑体"/>
          <w:b/>
          <w:color w:val="auto"/>
          <w:sz w:val="28"/>
          <w:szCs w:val="28"/>
        </w:rPr>
      </w:pPr>
    </w:p>
    <w:p>
      <w:pPr>
        <w:autoSpaceDE w:val="0"/>
        <w:autoSpaceDN w:val="0"/>
        <w:adjustRightInd w:val="0"/>
        <w:snapToGrid w:val="0"/>
        <w:spacing w:before="120" w:beforeLines="50" w:line="360" w:lineRule="auto"/>
        <w:ind w:right="23" w:rightChars="11" w:firstLine="420" w:firstLineChars="200"/>
        <w:jc w:val="left"/>
        <w:rPr>
          <w:rFonts w:hint="eastAsia"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olor w:val="auto"/>
          <w:szCs w:val="21"/>
        </w:rPr>
        <w:t>供应商</w:t>
      </w:r>
      <w:r>
        <w:rPr>
          <w:rFonts w:hint="eastAsia" w:ascii="宋体" w:hAnsi="宋体" w:cs="宋体"/>
          <w:color w:val="auto"/>
          <w:kern w:val="0"/>
          <w:szCs w:val="21"/>
        </w:rPr>
        <w:t>名称）的法定代表人，现授权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（姓名、职务）为我方代理人。代理人根据授权，以我方名义：(1)签署、澄清、补正、修改、撤回、提交</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w:t>
      </w:r>
      <w:r>
        <w:rPr>
          <w:rFonts w:hint="eastAsia" w:ascii="宋体" w:hAnsi="宋体"/>
          <w:color w:val="auto"/>
          <w:szCs w:val="21"/>
        </w:rPr>
        <w:t>政府</w:t>
      </w:r>
      <w:r>
        <w:rPr>
          <w:rFonts w:hint="eastAsia" w:ascii="宋体" w:hAnsi="宋体" w:cs="宋体"/>
          <w:color w:val="auto"/>
          <w:kern w:val="0"/>
          <w:szCs w:val="21"/>
        </w:rPr>
        <w:t>采购编号、采购代理机构编号）响应文件；(2)签署并重新提交响应文件及最后报价；(3)退出谈判；(4)签订合同和处理有关事宜，其法律后果由我方承担。</w:t>
      </w:r>
      <w:r>
        <w:rPr>
          <w:rFonts w:hint="eastAsia" w:ascii="宋体" w:hAnsi="宋体" w:cs="宋体"/>
          <w:kern w:val="0"/>
          <w:szCs w:val="21"/>
        </w:rPr>
        <w:t>（5）询问、质疑、投诉等相关事项，其法律后果由我方承担。</w:t>
      </w:r>
    </w:p>
    <w:p>
      <w:pPr>
        <w:autoSpaceDE w:val="0"/>
        <w:autoSpaceDN w:val="0"/>
        <w:adjustRightInd w:val="0"/>
        <w:snapToGrid w:val="0"/>
        <w:spacing w:before="120" w:beforeLines="50" w:line="360" w:lineRule="auto"/>
        <w:ind w:right="23" w:rightChars="11" w:firstLine="420" w:firstLineChars="200"/>
        <w:jc w:val="left"/>
        <w:rPr>
          <w:rFonts w:hint="eastAsia"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spacing w:line="360" w:lineRule="auto"/>
        <w:ind w:right="23" w:rightChars="11" w:firstLine="435"/>
        <w:rPr>
          <w:rFonts w:hint="eastAsia" w:ascii="宋体" w:hAnsi="宋体" w:cs="宋体"/>
          <w:color w:val="auto"/>
          <w:kern w:val="0"/>
          <w:szCs w:val="21"/>
        </w:rPr>
      </w:pPr>
      <w:r>
        <w:rPr>
          <w:rFonts w:hint="eastAsia" w:ascii="宋体" w:hAnsi="宋体" w:cs="宋体"/>
          <w:color w:val="auto"/>
          <w:kern w:val="0"/>
          <w:szCs w:val="21"/>
        </w:rPr>
        <w:t>代理人无转委托权。</w:t>
      </w:r>
    </w:p>
    <w:p>
      <w:pPr>
        <w:spacing w:line="360" w:lineRule="auto"/>
        <w:ind w:right="23" w:rightChars="11" w:firstLine="435"/>
        <w:rPr>
          <w:rFonts w:hint="eastAsia" w:ascii="宋体" w:hAnsi="宋体"/>
          <w:color w:val="auto"/>
          <w:szCs w:val="21"/>
        </w:rPr>
      </w:pPr>
      <w:r>
        <w:rPr>
          <w:rFonts w:hint="eastAsia" w:ascii="宋体" w:hAnsi="宋体"/>
          <w:color w:val="auto"/>
          <w:szCs w:val="21"/>
        </w:rPr>
        <w:t>本授权书于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日签字生效，特此声明。</w:t>
      </w:r>
    </w:p>
    <w:p>
      <w:pPr>
        <w:adjustRightInd w:val="0"/>
        <w:snapToGrid w:val="0"/>
        <w:spacing w:before="120" w:beforeLines="50" w:line="360" w:lineRule="auto"/>
        <w:ind w:right="23" w:rightChars="11" w:firstLine="420" w:firstLineChars="200"/>
        <w:rPr>
          <w:rFonts w:hint="eastAsia" w:ascii="宋体" w:hAnsi="宋体"/>
          <w:color w:val="auto"/>
          <w:szCs w:val="21"/>
        </w:rPr>
      </w:pPr>
      <w:r>
        <w:rPr>
          <w:rFonts w:hint="eastAsia" w:ascii="宋体" w:hAnsi="宋体"/>
          <w:color w:val="auto"/>
          <w:szCs w:val="21"/>
        </w:rPr>
        <w:t>附：委托代理人身份证复印件及法定代表人身份证明(附件1，原件)</w:t>
      </w: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法定代表人（签字）：</w:t>
      </w: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委托代理人（签字）：</w:t>
      </w: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exact"/>
        <w:ind w:right="23" w:rightChars="11"/>
        <w:rPr>
          <w:rFonts w:hint="eastAsia" w:ascii="宋体"/>
          <w:b/>
          <w:color w:val="auto"/>
        </w:rPr>
      </w:pPr>
    </w:p>
    <w:p>
      <w:pPr>
        <w:spacing w:line="360" w:lineRule="exact"/>
        <w:ind w:right="23" w:rightChars="11"/>
        <w:rPr>
          <w:rFonts w:hint="eastAsia" w:ascii="宋体"/>
          <w:b/>
          <w:color w:val="auto"/>
        </w:rPr>
      </w:pPr>
    </w:p>
    <w:p>
      <w:pPr>
        <w:spacing w:line="360" w:lineRule="exact"/>
        <w:ind w:right="23" w:rightChars="11"/>
        <w:rPr>
          <w:rFonts w:hint="eastAsia" w:ascii="宋体"/>
          <w:b/>
          <w:color w:val="auto"/>
        </w:rPr>
      </w:pPr>
    </w:p>
    <w:p>
      <w:pPr>
        <w:spacing w:line="360" w:lineRule="exact"/>
        <w:ind w:right="23" w:rightChars="11"/>
        <w:rPr>
          <w:rFonts w:hint="eastAsia" w:ascii="宋体"/>
          <w:b/>
          <w:color w:val="FF0000"/>
        </w:rPr>
      </w:pPr>
      <w:r>
        <w:rPr>
          <w:rFonts w:hint="eastAsia" w:ascii="宋体"/>
          <w:b/>
          <w:color w:val="FF0000"/>
        </w:rPr>
        <w:t>（委托代理人参加谈判时，“法定代表人授权书及法定代表人身份证明”需由委托代理人另外单独携带一份原件至开标现场，身份验证时交由监委查验。）</w:t>
      </w:r>
    </w:p>
    <w:p>
      <w:pPr>
        <w:spacing w:line="360" w:lineRule="exact"/>
        <w:ind w:right="23" w:rightChars="11"/>
        <w:rPr>
          <w:rFonts w:hint="eastAsia" w:ascii="宋体"/>
          <w:b/>
          <w:color w:val="auto"/>
        </w:rPr>
      </w:pPr>
    </w:p>
    <w:p>
      <w:pPr>
        <w:pStyle w:val="22"/>
        <w:adjustRightInd w:val="0"/>
        <w:snapToGrid w:val="0"/>
        <w:spacing w:line="360" w:lineRule="auto"/>
        <w:ind w:right="23" w:rightChars="11"/>
        <w:rPr>
          <w:rFonts w:hint="eastAsia" w:ascii="黑体" w:eastAsia="黑体"/>
          <w:b/>
          <w:color w:val="auto"/>
          <w:sz w:val="32"/>
          <w:szCs w:val="32"/>
        </w:rPr>
      </w:pPr>
    </w:p>
    <w:p>
      <w:pPr>
        <w:adjustRightInd w:val="0"/>
        <w:snapToGrid w:val="0"/>
        <w:spacing w:line="400" w:lineRule="exact"/>
        <w:jc w:val="both"/>
        <w:rPr>
          <w:rFonts w:hint="eastAsia" w:ascii="黑体" w:hAnsi="宋体" w:eastAsia="黑体"/>
          <w:color w:val="auto"/>
          <w:sz w:val="24"/>
          <w:lang w:val="en-US" w:eastAsia="zh-CN"/>
        </w:rPr>
      </w:pPr>
      <w:r>
        <w:rPr>
          <w:rFonts w:hint="eastAsia" w:ascii="黑体" w:hAnsi="华文中宋" w:eastAsia="黑体"/>
          <w:bCs/>
          <w:color w:val="auto"/>
          <w:sz w:val="24"/>
        </w:rPr>
        <w:br w:type="page"/>
      </w:r>
      <w:r>
        <w:rPr>
          <w:rFonts w:hint="eastAsia" w:ascii="黑体" w:hAnsi="华文中宋" w:eastAsia="黑体"/>
          <w:bCs/>
          <w:color w:val="auto"/>
          <w:sz w:val="24"/>
        </w:rPr>
        <w:t>附件</w:t>
      </w:r>
      <w:r>
        <w:rPr>
          <w:rFonts w:hint="eastAsia" w:ascii="黑体" w:hAnsi="华文中宋" w:eastAsia="黑体"/>
          <w:bCs/>
          <w:color w:val="auto"/>
          <w:sz w:val="24"/>
          <w:lang w:val="en-US" w:eastAsia="zh-CN"/>
        </w:rPr>
        <w:t>3</w:t>
      </w:r>
      <w:r>
        <w:rPr>
          <w:rFonts w:hint="eastAsia" w:ascii="黑体" w:hAnsi="宋体" w:eastAsia="黑体"/>
          <w:color w:val="auto"/>
          <w:sz w:val="24"/>
        </w:rPr>
        <w:t>：</w:t>
      </w:r>
      <w:r>
        <w:rPr>
          <w:rFonts w:hint="eastAsia" w:ascii="黑体" w:hAnsi="宋体" w:eastAsia="黑体"/>
          <w:color w:val="auto"/>
          <w:sz w:val="24"/>
          <w:lang w:val="en-US" w:eastAsia="zh-CN"/>
        </w:rPr>
        <w:t xml:space="preserve">      </w:t>
      </w:r>
    </w:p>
    <w:p>
      <w:pPr>
        <w:adjustRightInd w:val="0"/>
        <w:snapToGrid w:val="0"/>
        <w:spacing w:line="400" w:lineRule="exact"/>
        <w:jc w:val="both"/>
        <w:rPr>
          <w:rFonts w:hint="eastAsia" w:ascii="黑体" w:hAnsi="宋体" w:eastAsia="黑体"/>
          <w:color w:val="auto"/>
          <w:sz w:val="24"/>
          <w:lang w:val="en-US" w:eastAsia="zh-CN"/>
        </w:rPr>
      </w:pPr>
    </w:p>
    <w:p>
      <w:pPr>
        <w:adjustRightInd w:val="0"/>
        <w:snapToGrid w:val="0"/>
        <w:spacing w:line="360" w:lineRule="auto"/>
        <w:ind w:right="23" w:rightChars="11"/>
        <w:jc w:val="center"/>
        <w:rPr>
          <w:rFonts w:hint="eastAsia" w:ascii="黑体" w:hAnsi="宋体" w:eastAsia="黑体"/>
          <w:b/>
          <w:color w:val="auto"/>
          <w:sz w:val="28"/>
          <w:szCs w:val="28"/>
        </w:rPr>
      </w:pPr>
      <w:r>
        <w:rPr>
          <w:rFonts w:hint="eastAsia" w:ascii="黑体" w:hAnsi="宋体" w:eastAsia="黑体"/>
          <w:b/>
          <w:color w:val="auto"/>
          <w:sz w:val="28"/>
          <w:szCs w:val="28"/>
        </w:rPr>
        <w:t>参加政府采购活动前三年内在经营活动中</w:t>
      </w:r>
    </w:p>
    <w:p>
      <w:pPr>
        <w:adjustRightInd w:val="0"/>
        <w:snapToGrid w:val="0"/>
        <w:spacing w:line="360" w:lineRule="auto"/>
        <w:ind w:right="23" w:rightChars="11"/>
        <w:jc w:val="center"/>
        <w:rPr>
          <w:rFonts w:hint="eastAsia" w:ascii="黑体" w:hAnsi="宋体" w:eastAsia="黑体"/>
          <w:b/>
          <w:color w:val="auto"/>
          <w:sz w:val="28"/>
          <w:szCs w:val="28"/>
        </w:rPr>
      </w:pPr>
      <w:r>
        <w:rPr>
          <w:rFonts w:hint="eastAsia" w:ascii="黑体" w:hAnsi="宋体" w:eastAsia="黑体"/>
          <w:b/>
          <w:color w:val="auto"/>
          <w:sz w:val="28"/>
          <w:szCs w:val="28"/>
        </w:rPr>
        <w:t>没有重大违法记录的书面声明</w:t>
      </w:r>
    </w:p>
    <w:p>
      <w:pPr>
        <w:adjustRightInd w:val="0"/>
        <w:snapToGrid w:val="0"/>
        <w:spacing w:line="400" w:lineRule="exact"/>
        <w:jc w:val="center"/>
        <w:rPr>
          <w:rFonts w:ascii="宋体" w:hAnsi="宋体"/>
          <w:b/>
          <w:sz w:val="30"/>
          <w:szCs w:val="30"/>
        </w:rPr>
      </w:pPr>
    </w:p>
    <w:p>
      <w:pPr>
        <w:rPr>
          <w:rFonts w:ascii="宋体" w:hAnsi="宋体"/>
          <w:sz w:val="24"/>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 xml:space="preserve">致 </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w:t>
      </w:r>
      <w:r>
        <w:rPr>
          <w:rFonts w:hint="eastAsia" w:ascii="宋体" w:hAnsi="宋体" w:cs="宋体"/>
          <w:kern w:val="0"/>
          <w:szCs w:val="21"/>
        </w:rPr>
        <w:t>采购</w:t>
      </w:r>
      <w:r>
        <w:rPr>
          <w:rFonts w:hint="eastAsia" w:ascii="宋体" w:hAnsi="宋体" w:cs="宋体"/>
          <w:kern w:val="0"/>
          <w:szCs w:val="21"/>
          <w:lang w:eastAsia="zh-CN"/>
        </w:rPr>
        <w:t>人</w:t>
      </w:r>
      <w:r>
        <w:rPr>
          <w:rFonts w:hint="eastAsia" w:ascii="宋体" w:hAnsi="宋体" w:cs="宋体"/>
          <w:kern w:val="0"/>
          <w:szCs w:val="21"/>
        </w:rPr>
        <w:t>)</w:t>
      </w:r>
      <w:r>
        <w:rPr>
          <w:rFonts w:hint="eastAsia" w:ascii="宋体" w:hAnsi="宋体" w:cs="宋体"/>
          <w:kern w:val="0"/>
          <w:szCs w:val="21"/>
          <w:lang w:eastAsia="zh-CN"/>
        </w:rPr>
        <w:t>及</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w:t>
      </w:r>
      <w:r>
        <w:rPr>
          <w:rFonts w:hint="eastAsia" w:ascii="宋体" w:hAnsi="宋体" w:cs="宋体"/>
          <w:kern w:val="0"/>
          <w:szCs w:val="21"/>
        </w:rPr>
        <w:t>采购代理机构)：</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我单位在参加采购活动前三年内在经营活动中没有政府采购法第二十二条第一款第（五）项所称重大违法记录，包括：</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（一）我单位或者其法定代表人、董事、监事、高级管理人员因经营活动中的违法行为受到行政处罚，但警告和罚款额在3万元以下的行政处罚除外；</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（二）我单位或者其法定代表人、董事、监事、高级管理人员因经营活动中的违法行为受到刑事处罚。</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特此声明！</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 xml:space="preserve">供应商名称（单位章）： </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法定代表人（签字或盖章）：</w:t>
      </w:r>
      <w:r>
        <w:rPr>
          <w:rFonts w:hint="eastAsia" w:ascii="宋体" w:hAnsi="宋体" w:cs="宋体"/>
          <w:kern w:val="0"/>
          <w:szCs w:val="21"/>
          <w:u w:val="single"/>
          <w:lang w:val="en-US" w:eastAsia="zh-CN"/>
        </w:rPr>
        <w:t xml:space="preserve">                       </w:t>
      </w:r>
      <w:r>
        <w:rPr>
          <w:rFonts w:hint="eastAsia" w:ascii="宋体" w:hAnsi="宋体" w:cs="宋体"/>
          <w:kern w:val="0"/>
          <w:szCs w:val="21"/>
        </w:rPr>
        <w:t xml:space="preserve">              </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szCs w:val="21"/>
        </w:rPr>
        <w:t xml:space="preserve"> </w:t>
      </w:r>
    </w:p>
    <w:p>
      <w:pPr>
        <w:pStyle w:val="22"/>
        <w:adjustRightInd w:val="0"/>
        <w:snapToGrid w:val="0"/>
        <w:spacing w:line="360" w:lineRule="auto"/>
        <w:ind w:right="23" w:rightChars="11"/>
        <w:jc w:val="center"/>
        <w:rPr>
          <w:rFonts w:hint="eastAsia" w:ascii="黑体" w:eastAsia="黑体"/>
          <w:b/>
          <w:color w:val="auto"/>
          <w:sz w:val="32"/>
          <w:szCs w:val="32"/>
        </w:rPr>
      </w:pPr>
      <w:r>
        <w:rPr>
          <w:rFonts w:hint="eastAsia" w:ascii="黑体" w:eastAsia="黑体"/>
          <w:b/>
          <w:color w:val="auto"/>
          <w:sz w:val="32"/>
          <w:szCs w:val="32"/>
        </w:rPr>
        <w:br w:type="page"/>
      </w:r>
      <w:r>
        <w:rPr>
          <w:rFonts w:hint="eastAsia" w:ascii="黑体" w:eastAsia="黑体"/>
          <w:b/>
          <w:color w:val="auto"/>
          <w:sz w:val="32"/>
          <w:szCs w:val="32"/>
        </w:rPr>
        <w:t>二</w:t>
      </w:r>
      <w:r>
        <w:rPr>
          <w:rFonts w:hint="eastAsia" w:ascii="黑体" w:hAnsi="宋体" w:eastAsia="黑体"/>
          <w:b/>
          <w:color w:val="auto"/>
          <w:sz w:val="32"/>
          <w:szCs w:val="32"/>
        </w:rPr>
        <w:t>、</w:t>
      </w:r>
      <w:r>
        <w:rPr>
          <w:rFonts w:hint="eastAsia" w:ascii="黑体" w:eastAsia="黑体"/>
          <w:b/>
          <w:color w:val="auto"/>
          <w:sz w:val="32"/>
          <w:szCs w:val="32"/>
        </w:rPr>
        <w:t>保证金缴纳证明材料</w:t>
      </w:r>
    </w:p>
    <w:p>
      <w:pPr>
        <w:pStyle w:val="22"/>
        <w:adjustRightInd w:val="0"/>
        <w:snapToGrid w:val="0"/>
        <w:spacing w:before="120" w:beforeLines="50" w:line="360" w:lineRule="auto"/>
        <w:ind w:right="23" w:rightChars="11"/>
        <w:rPr>
          <w:rFonts w:hint="eastAsia" w:hAnsi="宋体"/>
          <w:color w:val="auto"/>
        </w:rPr>
      </w:pPr>
    </w:p>
    <w:p>
      <w:pPr>
        <w:numPr>
          <w:ilvl w:val="0"/>
          <w:numId w:val="7"/>
        </w:numPr>
        <w:adjustRightInd w:val="0"/>
        <w:snapToGrid w:val="0"/>
        <w:spacing w:line="360" w:lineRule="auto"/>
        <w:ind w:right="23" w:rightChars="11"/>
        <w:rPr>
          <w:rFonts w:hint="eastAsia"/>
          <w:color w:val="auto"/>
        </w:rPr>
      </w:pPr>
      <w:r>
        <w:rPr>
          <w:rFonts w:hint="eastAsia"/>
          <w:color w:val="auto"/>
        </w:rPr>
        <w:t>提供付款凭证复印件或金融机构、担保机构出具的保函原件</w:t>
      </w:r>
      <w:r>
        <w:rPr>
          <w:rFonts w:hint="eastAsia"/>
          <w:color w:val="auto"/>
          <w:lang w:eastAsia="zh-CN"/>
        </w:rPr>
        <w:t>。</w:t>
      </w:r>
    </w:p>
    <w:p>
      <w:pPr>
        <w:numPr>
          <w:ilvl w:val="0"/>
          <w:numId w:val="0"/>
        </w:numPr>
        <w:adjustRightInd w:val="0"/>
        <w:snapToGrid w:val="0"/>
        <w:spacing w:line="360" w:lineRule="auto"/>
        <w:ind w:right="23" w:rightChars="11"/>
        <w:rPr>
          <w:rFonts w:hint="eastAsia"/>
          <w:color w:val="auto"/>
        </w:rPr>
      </w:pPr>
      <w:r>
        <w:rPr>
          <w:rFonts w:hint="eastAsia"/>
          <w:color w:val="auto"/>
        </w:rPr>
        <w:t>2、根据供应商递交的《投标保证金退还申请书》上的账户信息，以转账或电汇方式退还至供应商的原缴纳账户。</w:t>
      </w:r>
    </w:p>
    <w:p>
      <w:pPr>
        <w:spacing w:line="480" w:lineRule="exact"/>
        <w:ind w:right="23" w:rightChars="11"/>
        <w:rPr>
          <w:rFonts w:hint="eastAsia" w:ascii="黑体" w:eastAsia="黑体"/>
          <w:color w:val="auto"/>
          <w:sz w:val="24"/>
        </w:rPr>
      </w:pPr>
    </w:p>
    <w:p>
      <w:pPr>
        <w:spacing w:line="480" w:lineRule="exact"/>
        <w:ind w:right="23" w:rightChars="11"/>
        <w:rPr>
          <w:rFonts w:hint="eastAsia" w:ascii="黑体" w:eastAsia="黑体"/>
          <w:color w:val="auto"/>
          <w:sz w:val="24"/>
        </w:rPr>
      </w:pPr>
    </w:p>
    <w:p>
      <w:pPr>
        <w:spacing w:line="480" w:lineRule="exact"/>
        <w:ind w:right="23" w:rightChars="11"/>
        <w:rPr>
          <w:rFonts w:hint="eastAsia" w:ascii="黑体" w:hAnsi="宋体" w:eastAsia="黑体"/>
          <w:b/>
          <w:bCs/>
          <w:color w:val="auto"/>
          <w:sz w:val="28"/>
          <w:szCs w:val="28"/>
        </w:rPr>
      </w:pPr>
      <w:r>
        <w:rPr>
          <w:rFonts w:hint="eastAsia" w:ascii="黑体" w:eastAsia="黑体"/>
          <w:color w:val="auto"/>
          <w:sz w:val="24"/>
        </w:rPr>
        <w:t>附件</w:t>
      </w:r>
      <w:r>
        <w:rPr>
          <w:rFonts w:hint="eastAsia" w:ascii="黑体" w:eastAsia="黑体"/>
          <w:color w:val="auto"/>
          <w:sz w:val="24"/>
          <w:lang w:val="en-US" w:eastAsia="zh-CN"/>
        </w:rPr>
        <w:t>4</w:t>
      </w:r>
      <w:r>
        <w:rPr>
          <w:rFonts w:hint="eastAsia" w:ascii="黑体" w:eastAsia="黑体"/>
          <w:color w:val="auto"/>
          <w:sz w:val="24"/>
        </w:rPr>
        <w:t xml:space="preserve">：                  </w:t>
      </w:r>
      <w:r>
        <w:rPr>
          <w:rFonts w:hint="eastAsia" w:ascii="黑体" w:hAnsi="宋体" w:eastAsia="黑体"/>
          <w:b/>
          <w:bCs/>
          <w:color w:val="auto"/>
          <w:sz w:val="28"/>
          <w:szCs w:val="28"/>
        </w:rPr>
        <w:t>保证金退还申请书</w:t>
      </w:r>
    </w:p>
    <w:p>
      <w:pPr>
        <w:spacing w:line="480" w:lineRule="exact"/>
        <w:ind w:right="23" w:rightChars="11"/>
        <w:jc w:val="center"/>
        <w:rPr>
          <w:rFonts w:hint="eastAsia" w:ascii="黑体" w:hAnsi="宋体" w:eastAsia="黑体"/>
          <w:b/>
          <w:bCs/>
          <w:color w:val="auto"/>
          <w:sz w:val="28"/>
          <w:szCs w:val="28"/>
        </w:rPr>
      </w:pPr>
    </w:p>
    <w:p>
      <w:pPr>
        <w:adjustRightInd w:val="0"/>
        <w:snapToGrid w:val="0"/>
        <w:spacing w:before="120" w:beforeLines="50" w:line="360" w:lineRule="auto"/>
        <w:ind w:right="23" w:rightChars="11"/>
        <w:rPr>
          <w:rFonts w:hint="eastAsia"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rPr>
        <w:t xml:space="preserve"> (采购人或采购代理机构)： </w:t>
      </w:r>
    </w:p>
    <w:p>
      <w:pPr>
        <w:adjustRightInd w:val="0"/>
        <w:snapToGrid w:val="0"/>
        <w:spacing w:before="120" w:beforeLines="50" w:line="360" w:lineRule="auto"/>
        <w:ind w:right="23" w:rightChars="11" w:firstLine="420" w:firstLineChars="200"/>
        <w:rPr>
          <w:rFonts w:hint="eastAsia" w:ascii="宋体" w:hAnsi="宋体"/>
          <w:color w:val="auto"/>
          <w:szCs w:val="21"/>
        </w:rPr>
      </w:pPr>
      <w:r>
        <w:rPr>
          <w:rFonts w:hint="eastAsia" w:ascii="宋体" w:hAnsi="宋体"/>
          <w:color w:val="auto"/>
          <w:szCs w:val="21"/>
        </w:rPr>
        <w:t>我系参加</w:t>
      </w:r>
      <w:r>
        <w:rPr>
          <w:rFonts w:hint="eastAsia" w:ascii="宋体" w:hAnsi="宋体"/>
          <w:color w:val="auto"/>
          <w:szCs w:val="21"/>
          <w:u w:val="single"/>
        </w:rPr>
        <w:t xml:space="preserve">                          </w:t>
      </w:r>
      <w:r>
        <w:rPr>
          <w:rFonts w:hint="eastAsia" w:ascii="宋体" w:hAnsi="宋体"/>
          <w:color w:val="auto"/>
          <w:szCs w:val="21"/>
        </w:rPr>
        <w:t>（项目名称），政府采购编号：</w:t>
      </w:r>
      <w:r>
        <w:rPr>
          <w:rFonts w:hint="eastAsia" w:ascii="宋体" w:hAnsi="宋体"/>
          <w:color w:val="auto"/>
          <w:szCs w:val="21"/>
          <w:u w:val="single"/>
        </w:rPr>
        <w:t xml:space="preserve">            </w:t>
      </w:r>
      <w:r>
        <w:rPr>
          <w:rFonts w:hint="eastAsia" w:ascii="宋体" w:hAnsi="宋体"/>
          <w:color w:val="auto"/>
          <w:szCs w:val="21"/>
        </w:rPr>
        <w:t xml:space="preserve"> ，委托代理编号：</w:t>
      </w:r>
      <w:r>
        <w:rPr>
          <w:rFonts w:hint="eastAsia" w:ascii="宋体" w:hAnsi="宋体"/>
          <w:color w:val="auto"/>
          <w:szCs w:val="21"/>
          <w:u w:val="single"/>
        </w:rPr>
        <w:t xml:space="preserve">               </w:t>
      </w:r>
      <w:r>
        <w:rPr>
          <w:rFonts w:hint="eastAsia" w:ascii="宋体" w:hAnsi="宋体"/>
          <w:color w:val="auto"/>
          <w:szCs w:val="21"/>
        </w:rPr>
        <w:t>竞争性谈判的供应商，现申请按该项目谈判文件规定，退返保证金人民币</w:t>
      </w:r>
      <w:r>
        <w:rPr>
          <w:rFonts w:hint="eastAsia" w:ascii="宋体" w:hAnsi="宋体"/>
          <w:color w:val="auto"/>
          <w:szCs w:val="21"/>
          <w:u w:val="single"/>
        </w:rPr>
        <w:t xml:space="preserve">         </w:t>
      </w: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rPr>
        <w:t>(小写），保证金请退还到以下原缴纳账户：</w:t>
      </w:r>
    </w:p>
    <w:p>
      <w:pPr>
        <w:adjustRightInd w:val="0"/>
        <w:snapToGrid w:val="0"/>
        <w:spacing w:before="50" w:line="360" w:lineRule="auto"/>
        <w:ind w:right="23" w:rightChars="11" w:firstLine="420" w:firstLineChars="200"/>
        <w:rPr>
          <w:rFonts w:hint="eastAsia" w:ascii="宋体" w:hAnsi="宋体"/>
          <w:color w:val="auto"/>
          <w:szCs w:val="21"/>
          <w:u w:val="single"/>
        </w:rPr>
      </w:pPr>
      <w:r>
        <w:rPr>
          <w:rFonts w:hint="eastAsia" w:ascii="宋体" w:hAnsi="宋体"/>
          <w:color w:val="auto"/>
          <w:szCs w:val="21"/>
        </w:rPr>
        <w:t>户名：</w:t>
      </w:r>
      <w:r>
        <w:rPr>
          <w:rFonts w:hint="eastAsia" w:ascii="宋体" w:hAnsi="宋体"/>
          <w:color w:val="auto"/>
          <w:szCs w:val="21"/>
          <w:u w:val="single"/>
        </w:rPr>
        <w:t xml:space="preserve">                                 </w:t>
      </w:r>
    </w:p>
    <w:p>
      <w:pPr>
        <w:adjustRightInd w:val="0"/>
        <w:snapToGrid w:val="0"/>
        <w:spacing w:before="50" w:line="360" w:lineRule="auto"/>
        <w:ind w:right="23" w:rightChars="11" w:firstLine="420" w:firstLineChars="200"/>
        <w:rPr>
          <w:rFonts w:hint="eastAsia" w:ascii="宋体" w:hAnsi="宋体"/>
          <w:color w:val="auto"/>
          <w:szCs w:val="21"/>
          <w:u w:val="single"/>
        </w:rPr>
      </w:pPr>
      <w:r>
        <w:rPr>
          <w:rFonts w:hint="eastAsia" w:ascii="宋体" w:hAnsi="宋体"/>
          <w:color w:val="auto"/>
          <w:szCs w:val="21"/>
        </w:rPr>
        <w:t>账号：</w:t>
      </w:r>
      <w:r>
        <w:rPr>
          <w:rFonts w:hint="eastAsia" w:ascii="宋体" w:hAnsi="宋体"/>
          <w:color w:val="auto"/>
          <w:szCs w:val="21"/>
          <w:u w:val="single"/>
        </w:rPr>
        <w:t xml:space="preserve">                                 </w:t>
      </w:r>
    </w:p>
    <w:p>
      <w:pPr>
        <w:adjustRightInd w:val="0"/>
        <w:snapToGrid w:val="0"/>
        <w:spacing w:before="50" w:line="360" w:lineRule="auto"/>
        <w:ind w:right="23" w:rightChars="11" w:firstLine="420" w:firstLineChars="200"/>
        <w:rPr>
          <w:rFonts w:hint="eastAsia" w:ascii="宋体" w:hAnsi="宋体"/>
          <w:color w:val="auto"/>
          <w:szCs w:val="21"/>
          <w:u w:val="single"/>
        </w:rPr>
      </w:pPr>
      <w:r>
        <w:rPr>
          <w:rFonts w:hint="eastAsia" w:ascii="宋体" w:hAnsi="宋体"/>
          <w:color w:val="auto"/>
          <w:szCs w:val="21"/>
        </w:rPr>
        <w:t>开户行：</w:t>
      </w:r>
      <w:r>
        <w:rPr>
          <w:rFonts w:hint="eastAsia" w:ascii="宋体" w:hAnsi="宋体"/>
          <w:color w:val="auto"/>
          <w:szCs w:val="21"/>
          <w:u w:val="single"/>
        </w:rPr>
        <w:t xml:space="preserve">                               </w:t>
      </w:r>
    </w:p>
    <w:p>
      <w:pPr>
        <w:adjustRightInd w:val="0"/>
        <w:snapToGrid w:val="0"/>
        <w:spacing w:before="50" w:line="360" w:lineRule="auto"/>
        <w:ind w:right="23" w:rightChars="11" w:firstLine="420" w:firstLineChars="200"/>
        <w:rPr>
          <w:rFonts w:hint="eastAsia" w:ascii="宋体" w:hAnsi="宋体"/>
          <w:color w:val="auto"/>
          <w:szCs w:val="21"/>
        </w:rPr>
      </w:pPr>
      <w:r>
        <w:rPr>
          <w:rFonts w:hint="eastAsia" w:ascii="宋体" w:hAnsi="宋体"/>
          <w:color w:val="auto"/>
          <w:szCs w:val="21"/>
        </w:rPr>
        <w:t>开户行地址：</w:t>
      </w:r>
      <w:r>
        <w:rPr>
          <w:rFonts w:hint="eastAsia" w:ascii="宋体" w:hAnsi="宋体"/>
          <w:color w:val="auto"/>
          <w:szCs w:val="21"/>
          <w:u w:val="single"/>
        </w:rPr>
        <w:t xml:space="preserve">          </w:t>
      </w:r>
      <w:r>
        <w:rPr>
          <w:rFonts w:hint="eastAsia" w:ascii="宋体" w:hAnsi="宋体"/>
          <w:color w:val="auto"/>
          <w:szCs w:val="21"/>
        </w:rPr>
        <w:t>省</w:t>
      </w:r>
      <w:r>
        <w:rPr>
          <w:rFonts w:hint="eastAsia" w:ascii="宋体" w:hAnsi="宋体"/>
          <w:color w:val="auto"/>
          <w:szCs w:val="21"/>
          <w:u w:val="single"/>
        </w:rPr>
        <w:t xml:space="preserve">            </w:t>
      </w:r>
      <w:r>
        <w:rPr>
          <w:rFonts w:hint="eastAsia" w:ascii="宋体" w:hAnsi="宋体"/>
          <w:color w:val="auto"/>
          <w:szCs w:val="21"/>
        </w:rPr>
        <w:t>市</w:t>
      </w:r>
    </w:p>
    <w:p>
      <w:pPr>
        <w:adjustRightInd w:val="0"/>
        <w:snapToGrid w:val="0"/>
        <w:spacing w:before="50" w:line="360" w:lineRule="auto"/>
        <w:ind w:right="23" w:rightChars="11" w:firstLine="420" w:firstLineChars="200"/>
        <w:rPr>
          <w:rFonts w:hint="eastAsia" w:ascii="宋体" w:hAnsi="宋体"/>
          <w:color w:val="auto"/>
          <w:szCs w:val="21"/>
        </w:rPr>
      </w:pPr>
      <w:r>
        <w:rPr>
          <w:rFonts w:hint="eastAsia" w:ascii="宋体" w:hAnsi="宋体"/>
          <w:color w:val="auto"/>
          <w:szCs w:val="21"/>
        </w:rPr>
        <w:t>如果提供的账户信息有误或因账户信息变更未及时通知，一切后果均由本单位自行负责。</w:t>
      </w:r>
    </w:p>
    <w:p>
      <w:pPr>
        <w:adjustRightInd w:val="0"/>
        <w:snapToGrid w:val="0"/>
        <w:spacing w:before="50" w:line="360" w:lineRule="auto"/>
        <w:ind w:left="4429" w:leftChars="2109" w:right="23" w:rightChars="11"/>
        <w:rPr>
          <w:rFonts w:hint="eastAsia" w:ascii="宋体" w:hAnsi="宋体"/>
          <w:color w:val="auto"/>
          <w:szCs w:val="21"/>
        </w:rPr>
      </w:pPr>
      <w:r>
        <w:rPr>
          <w:rFonts w:hint="eastAsia" w:ascii="宋体" w:hAnsi="宋体"/>
          <w:color w:val="auto"/>
          <w:szCs w:val="21"/>
        </w:rPr>
        <w:t xml:space="preserve">                                         </w:t>
      </w:r>
    </w:p>
    <w:p>
      <w:pPr>
        <w:adjustRightInd w:val="0"/>
        <w:snapToGrid w:val="0"/>
        <w:spacing w:before="50" w:line="360" w:lineRule="auto"/>
        <w:ind w:left="4429" w:leftChars="2109" w:right="23" w:rightChars="11"/>
        <w:rPr>
          <w:rFonts w:hint="eastAsia"/>
          <w:color w:val="auto"/>
          <w:szCs w:val="21"/>
        </w:rPr>
      </w:pPr>
      <w:r>
        <w:rPr>
          <w:rFonts w:hint="eastAsia" w:ascii="宋体" w:hAnsi="宋体"/>
          <w:color w:val="auto"/>
          <w:szCs w:val="21"/>
          <w:lang w:eastAsia="zh-CN"/>
        </w:rPr>
        <w:t>供</w:t>
      </w:r>
      <w:r>
        <w:rPr>
          <w:rFonts w:hint="eastAsia" w:ascii="宋体" w:hAnsi="宋体"/>
          <w:color w:val="auto"/>
          <w:szCs w:val="21"/>
        </w:rPr>
        <w:t>应商(盖</w:t>
      </w:r>
      <w:r>
        <w:rPr>
          <w:rFonts w:hint="eastAsia"/>
          <w:color w:val="auto"/>
          <w:szCs w:val="21"/>
        </w:rPr>
        <w:t>单位章)：</w:t>
      </w:r>
    </w:p>
    <w:p>
      <w:pPr>
        <w:adjustRightInd w:val="0"/>
        <w:snapToGrid w:val="0"/>
        <w:spacing w:before="50" w:line="360" w:lineRule="auto"/>
        <w:ind w:left="4429" w:leftChars="2109" w:right="23" w:rightChars="11"/>
        <w:rPr>
          <w:rFonts w:hint="eastAsia"/>
          <w:color w:val="auto"/>
          <w:szCs w:val="21"/>
        </w:rPr>
      </w:pPr>
      <w:r>
        <w:rPr>
          <w:rFonts w:hint="eastAsia"/>
          <w:color w:val="auto"/>
          <w:szCs w:val="21"/>
        </w:rPr>
        <w:t>联系人：</w:t>
      </w:r>
      <w:r>
        <w:rPr>
          <w:rFonts w:hint="eastAsia"/>
          <w:color w:val="auto"/>
          <w:szCs w:val="21"/>
          <w:u w:val="single"/>
        </w:rPr>
        <w:t xml:space="preserve">                 </w:t>
      </w:r>
      <w:r>
        <w:rPr>
          <w:rFonts w:hint="eastAsia"/>
          <w:color w:val="auto"/>
          <w:szCs w:val="21"/>
        </w:rPr>
        <w:t xml:space="preserve"> </w:t>
      </w:r>
    </w:p>
    <w:p>
      <w:pPr>
        <w:adjustRightInd w:val="0"/>
        <w:snapToGrid w:val="0"/>
        <w:spacing w:before="50" w:line="360" w:lineRule="auto"/>
        <w:ind w:left="4429" w:leftChars="2109" w:right="23" w:rightChars="11"/>
        <w:rPr>
          <w:rFonts w:hint="eastAsia"/>
          <w:color w:val="auto"/>
          <w:szCs w:val="21"/>
        </w:rPr>
      </w:pPr>
      <w:r>
        <w:rPr>
          <w:rFonts w:hint="eastAsia"/>
          <w:color w:val="auto"/>
          <w:szCs w:val="21"/>
        </w:rPr>
        <w:t>移动电话：</w:t>
      </w:r>
      <w:r>
        <w:rPr>
          <w:rFonts w:hint="eastAsia"/>
          <w:color w:val="auto"/>
          <w:szCs w:val="21"/>
          <w:u w:val="single"/>
        </w:rPr>
        <w:t xml:space="preserve">               </w:t>
      </w:r>
    </w:p>
    <w:p>
      <w:pPr>
        <w:adjustRightInd w:val="0"/>
        <w:snapToGrid w:val="0"/>
        <w:spacing w:before="50" w:line="360" w:lineRule="auto"/>
        <w:ind w:left="4429" w:leftChars="2109" w:right="23" w:rightChars="11"/>
        <w:rPr>
          <w:rFonts w:hint="eastAsia"/>
          <w:color w:val="auto"/>
          <w:szCs w:val="21"/>
        </w:rPr>
      </w:pPr>
      <w:r>
        <w:rPr>
          <w:rFonts w:hint="eastAsia"/>
          <w:color w:val="auto"/>
          <w:szCs w:val="21"/>
        </w:rPr>
        <w:t>固定电话：</w:t>
      </w:r>
      <w:r>
        <w:rPr>
          <w:rFonts w:hint="eastAsia"/>
          <w:color w:val="auto"/>
          <w:szCs w:val="21"/>
          <w:u w:val="single"/>
        </w:rPr>
        <w:t xml:space="preserve">        </w:t>
      </w:r>
      <w:r>
        <w:rPr>
          <w:rFonts w:hint="eastAsia"/>
          <w:color w:val="auto"/>
          <w:szCs w:val="21"/>
        </w:rPr>
        <w:t xml:space="preserve">        </w:t>
      </w:r>
    </w:p>
    <w:p>
      <w:pPr>
        <w:adjustRightInd w:val="0"/>
        <w:snapToGrid w:val="0"/>
        <w:spacing w:before="50" w:line="360" w:lineRule="auto"/>
        <w:ind w:left="4429" w:leftChars="2109" w:right="23" w:rightChars="11"/>
        <w:rPr>
          <w:color w:val="auto"/>
          <w:szCs w:val="21"/>
        </w:rPr>
      </w:pPr>
      <w:r>
        <w:rPr>
          <w:rFonts w:hint="eastAsia"/>
          <w:color w:val="auto"/>
          <w:szCs w:val="21"/>
        </w:rPr>
        <w:t>日期：</w:t>
      </w:r>
      <w:r>
        <w:rPr>
          <w:rFonts w:hint="eastAsia"/>
          <w:color w:val="auto"/>
          <w:szCs w:val="21"/>
          <w:u w:val="single"/>
        </w:rPr>
        <w:t xml:space="preserve">      </w:t>
      </w:r>
      <w:r>
        <w:rPr>
          <w:rFonts w:hint="eastAsia"/>
          <w:color w:val="auto"/>
          <w:szCs w:val="21"/>
        </w:rPr>
        <w:t>年</w:t>
      </w:r>
      <w:r>
        <w:rPr>
          <w:color w:val="auto"/>
          <w:szCs w:val="21"/>
        </w:rPr>
        <w:t xml:space="preserve"> </w:t>
      </w:r>
      <w:r>
        <w:rPr>
          <w:color w:val="auto"/>
          <w:szCs w:val="21"/>
          <w:u w:val="single"/>
        </w:rPr>
        <w:t xml:space="preserve">   </w:t>
      </w:r>
      <w:r>
        <w:rPr>
          <w:rFonts w:hint="eastAsia"/>
          <w:color w:val="auto"/>
          <w:szCs w:val="21"/>
        </w:rPr>
        <w:t>月</w:t>
      </w:r>
      <w:r>
        <w:rPr>
          <w:color w:val="auto"/>
          <w:szCs w:val="21"/>
          <w:u w:val="single"/>
        </w:rPr>
        <w:t xml:space="preserve">   </w:t>
      </w:r>
      <w:r>
        <w:rPr>
          <w:rFonts w:hint="eastAsia"/>
          <w:color w:val="auto"/>
          <w:szCs w:val="21"/>
        </w:rPr>
        <w:t>日</w:t>
      </w:r>
    </w:p>
    <w:p>
      <w:pPr>
        <w:pStyle w:val="22"/>
        <w:adjustRightInd w:val="0"/>
        <w:snapToGrid w:val="0"/>
        <w:spacing w:before="120" w:beforeLines="50" w:line="360" w:lineRule="auto"/>
        <w:ind w:right="23" w:rightChars="11"/>
        <w:rPr>
          <w:rFonts w:hint="eastAsia" w:hAnsi="宋体"/>
          <w:color w:val="auto"/>
        </w:rPr>
      </w:pPr>
    </w:p>
    <w:p>
      <w:pPr>
        <w:pStyle w:val="22"/>
        <w:adjustRightInd w:val="0"/>
        <w:snapToGrid w:val="0"/>
        <w:spacing w:before="120" w:beforeLines="50" w:line="360" w:lineRule="auto"/>
        <w:ind w:right="23" w:rightChars="11"/>
        <w:rPr>
          <w:rFonts w:hint="eastAsia" w:ascii="仿宋_GB2312" w:hAnsi="宋体" w:eastAsia="仿宋_GB2312"/>
          <w:color w:val="auto"/>
        </w:rPr>
      </w:pPr>
      <w:r>
        <w:rPr>
          <w:rFonts w:hint="eastAsia"/>
          <w:color w:val="auto"/>
        </w:rPr>
        <w:t>说明：《保证金退还申请书》需单独递交，不得装订在响应文件中；可在办理保证金交割手续时提交，也可在提交首次响应文件截止时间后补交，未交《保证金退还申请书》的供应商，将影响其保证金的正常退还。</w:t>
      </w:r>
    </w:p>
    <w:p>
      <w:pPr>
        <w:adjustRightInd w:val="0"/>
        <w:snapToGrid w:val="0"/>
        <w:spacing w:line="360" w:lineRule="auto"/>
        <w:ind w:right="23" w:rightChars="11"/>
        <w:jc w:val="both"/>
        <w:rPr>
          <w:rFonts w:hint="eastAsia" w:ascii="黑体" w:hAnsi="宋体" w:eastAsia="黑体"/>
          <w:b/>
          <w:color w:val="auto"/>
          <w:sz w:val="32"/>
          <w:szCs w:val="32"/>
        </w:rPr>
      </w:pPr>
    </w:p>
    <w:p>
      <w:pPr>
        <w:adjustRightInd w:val="0"/>
        <w:snapToGrid w:val="0"/>
        <w:spacing w:line="360" w:lineRule="auto"/>
        <w:ind w:right="23" w:rightChars="11"/>
        <w:jc w:val="center"/>
        <w:rPr>
          <w:rFonts w:hint="eastAsia" w:ascii="黑体" w:hAnsi="宋体" w:eastAsia="黑体"/>
          <w:b/>
          <w:bCs/>
          <w:color w:val="auto"/>
          <w:sz w:val="32"/>
          <w:szCs w:val="32"/>
        </w:rPr>
      </w:pPr>
      <w:r>
        <w:rPr>
          <w:rFonts w:hint="eastAsia" w:ascii="黑体" w:hAnsi="宋体" w:eastAsia="黑体"/>
          <w:b/>
          <w:color w:val="auto"/>
          <w:sz w:val="32"/>
          <w:szCs w:val="32"/>
        </w:rPr>
        <w:t>三</w:t>
      </w:r>
      <w:r>
        <w:rPr>
          <w:rFonts w:hint="eastAsia" w:ascii="黑体" w:eastAsia="黑体"/>
          <w:b/>
          <w:color w:val="auto"/>
          <w:sz w:val="32"/>
          <w:szCs w:val="32"/>
        </w:rPr>
        <w:t>、</w:t>
      </w:r>
      <w:r>
        <w:rPr>
          <w:rFonts w:hint="eastAsia" w:ascii="黑体" w:hAnsi="宋体" w:eastAsia="黑体"/>
          <w:b/>
          <w:color w:val="auto"/>
          <w:sz w:val="32"/>
          <w:szCs w:val="32"/>
        </w:rPr>
        <w:t>供应商</w:t>
      </w:r>
      <w:r>
        <w:rPr>
          <w:rFonts w:hint="eastAsia" w:ascii="黑体" w:hAnsi="宋体" w:eastAsia="黑体"/>
          <w:b/>
          <w:bCs/>
          <w:color w:val="auto"/>
          <w:sz w:val="32"/>
          <w:szCs w:val="32"/>
        </w:rPr>
        <w:t>的资格证明材料</w:t>
      </w:r>
    </w:p>
    <w:p>
      <w:pPr>
        <w:adjustRightInd w:val="0"/>
        <w:snapToGrid w:val="0"/>
        <w:spacing w:line="360" w:lineRule="auto"/>
        <w:ind w:right="23" w:rightChars="11"/>
        <w:rPr>
          <w:rFonts w:hint="eastAsia" w:ascii="黑体" w:eastAsia="黑体"/>
          <w:b/>
          <w:color w:val="auto"/>
          <w:sz w:val="28"/>
          <w:szCs w:val="28"/>
        </w:rPr>
      </w:pPr>
      <w:r>
        <w:rPr>
          <w:rFonts w:hint="eastAsia" w:ascii="黑体" w:eastAsia="黑体"/>
          <w:color w:val="auto"/>
          <w:sz w:val="24"/>
        </w:rPr>
        <w:t>附件</w:t>
      </w:r>
      <w:r>
        <w:rPr>
          <w:rFonts w:hint="eastAsia" w:ascii="黑体" w:eastAsia="黑体"/>
          <w:color w:val="auto"/>
          <w:sz w:val="24"/>
          <w:lang w:val="en-US" w:eastAsia="zh-CN"/>
        </w:rPr>
        <w:t>5</w:t>
      </w:r>
      <w:r>
        <w:rPr>
          <w:rFonts w:hint="eastAsia" w:ascii="黑体" w:eastAsia="黑体"/>
          <w:color w:val="auto"/>
          <w:sz w:val="24"/>
        </w:rPr>
        <w:t xml:space="preserve">：                 </w:t>
      </w:r>
      <w:r>
        <w:rPr>
          <w:rFonts w:hint="eastAsia" w:ascii="黑体" w:eastAsia="黑体"/>
          <w:color w:val="auto"/>
          <w:sz w:val="24"/>
          <w:lang w:val="en-US" w:eastAsia="zh-CN"/>
        </w:rPr>
        <w:t xml:space="preserve">   </w:t>
      </w:r>
      <w:r>
        <w:rPr>
          <w:rFonts w:hint="eastAsia" w:ascii="黑体" w:hAnsi="宋体" w:eastAsia="黑体"/>
          <w:b/>
          <w:color w:val="auto"/>
          <w:sz w:val="28"/>
          <w:szCs w:val="28"/>
        </w:rPr>
        <w:t>供应商</w:t>
      </w:r>
      <w:r>
        <w:rPr>
          <w:rFonts w:hint="eastAsia" w:ascii="黑体" w:eastAsia="黑体"/>
          <w:b/>
          <w:color w:val="auto"/>
          <w:sz w:val="28"/>
          <w:szCs w:val="28"/>
        </w:rPr>
        <w:t>基本情况表</w:t>
      </w:r>
    </w:p>
    <w:p>
      <w:pPr>
        <w:adjustRightInd w:val="0"/>
        <w:snapToGrid w:val="0"/>
        <w:spacing w:line="360" w:lineRule="auto"/>
        <w:ind w:right="23" w:rightChars="11"/>
        <w:rPr>
          <w:rFonts w:hint="eastAsia" w:ascii="黑体" w:eastAsia="黑体"/>
          <w:b/>
          <w:color w:val="auto"/>
          <w:sz w:val="28"/>
          <w:szCs w:val="28"/>
        </w:rPr>
      </w:pPr>
    </w:p>
    <w:p>
      <w:pPr>
        <w:adjustRightInd w:val="0"/>
        <w:snapToGrid w:val="0"/>
        <w:spacing w:line="360" w:lineRule="auto"/>
        <w:ind w:right="23" w:rightChars="11"/>
        <w:rPr>
          <w:rFonts w:ascii="宋体" w:hAnsi="宋体"/>
          <w:color w:val="auto"/>
          <w:szCs w:val="21"/>
        </w:rPr>
      </w:pPr>
      <w:r>
        <w:rPr>
          <w:rFonts w:hint="eastAsia" w:ascii="宋体" w:hAnsi="宋体"/>
          <w:color w:val="auto"/>
          <w:szCs w:val="21"/>
        </w:rPr>
        <w:t>供应商单位盖章</w:t>
      </w:r>
    </w:p>
    <w:tbl>
      <w:tblPr>
        <w:tblStyle w:val="41"/>
        <w:tblW w:w="90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539"/>
        <w:gridCol w:w="362"/>
        <w:gridCol w:w="1142"/>
        <w:gridCol w:w="855"/>
        <w:gridCol w:w="585"/>
        <w:gridCol w:w="299"/>
        <w:gridCol w:w="1082"/>
        <w:gridCol w:w="1328"/>
        <w:gridCol w:w="2066"/>
        <w:gridCol w:w="25"/>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1619" w:type="dxa"/>
            <w:gridSpan w:val="3"/>
            <w:tcBorders>
              <w:top w:val="double" w:color="auto" w:sz="4"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供应商</w:t>
            </w:r>
            <w:r>
              <w:rPr>
                <w:rFonts w:ascii="宋体" w:hAnsi="宋体" w:eastAsia="宋体" w:cs="Times New Roman"/>
                <w:color w:val="auto"/>
                <w:szCs w:val="21"/>
              </w:rPr>
              <w:t>名称</w:t>
            </w:r>
          </w:p>
        </w:tc>
        <w:tc>
          <w:tcPr>
            <w:tcW w:w="3963" w:type="dxa"/>
            <w:gridSpan w:val="5"/>
            <w:tcBorders>
              <w:top w:val="double" w:color="auto" w:sz="4"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328" w:type="dxa"/>
            <w:tcBorders>
              <w:top w:val="double" w:color="auto" w:sz="4"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ascii="宋体" w:hAnsi="宋体" w:eastAsia="宋体" w:cs="Times New Roman"/>
                <w:color w:val="auto"/>
                <w:szCs w:val="21"/>
              </w:rPr>
              <w:t>法定代表人</w:t>
            </w:r>
          </w:p>
        </w:tc>
        <w:tc>
          <w:tcPr>
            <w:tcW w:w="2100" w:type="dxa"/>
            <w:gridSpan w:val="3"/>
            <w:tcBorders>
              <w:top w:val="double" w:color="auto" w:sz="4"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11" w:hRule="atLeast"/>
        </w:trPr>
        <w:tc>
          <w:tcPr>
            <w:tcW w:w="1619"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组织机构代码</w:t>
            </w:r>
          </w:p>
        </w:tc>
        <w:tc>
          <w:tcPr>
            <w:tcW w:w="396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3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ascii="宋体" w:hAnsi="宋体" w:eastAsia="宋体" w:cs="Times New Roman"/>
                <w:color w:val="auto"/>
                <w:szCs w:val="21"/>
              </w:rPr>
              <w:t>邮政编码</w:t>
            </w:r>
          </w:p>
        </w:tc>
        <w:tc>
          <w:tcPr>
            <w:tcW w:w="2091"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08" w:hRule="atLeast"/>
        </w:trPr>
        <w:tc>
          <w:tcPr>
            <w:tcW w:w="1619"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委托代理</w:t>
            </w:r>
            <w:r>
              <w:rPr>
                <w:rFonts w:ascii="宋体" w:hAnsi="宋体" w:eastAsia="宋体" w:cs="Times New Roman"/>
                <w:color w:val="auto"/>
                <w:szCs w:val="21"/>
              </w:rPr>
              <w:t>人</w:t>
            </w:r>
          </w:p>
        </w:tc>
        <w:tc>
          <w:tcPr>
            <w:tcW w:w="396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3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电子邮箱</w:t>
            </w:r>
          </w:p>
        </w:tc>
        <w:tc>
          <w:tcPr>
            <w:tcW w:w="2091"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08" w:hRule="atLeast"/>
        </w:trPr>
        <w:tc>
          <w:tcPr>
            <w:tcW w:w="1619"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上年营业收入</w:t>
            </w:r>
          </w:p>
        </w:tc>
        <w:tc>
          <w:tcPr>
            <w:tcW w:w="396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p>
        </w:tc>
        <w:tc>
          <w:tcPr>
            <w:tcW w:w="13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员工总人数</w:t>
            </w:r>
          </w:p>
        </w:tc>
        <w:tc>
          <w:tcPr>
            <w:tcW w:w="2091"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8" w:type="dxa"/>
            <w:vMerge w:val="restart"/>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营业执照</w:t>
            </w:r>
          </w:p>
        </w:tc>
        <w:tc>
          <w:tcPr>
            <w:tcW w:w="204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38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firstLine="105" w:firstLineChars="50"/>
              <w:jc w:val="center"/>
              <w:rPr>
                <w:rFonts w:ascii="宋体" w:hAnsi="宋体" w:eastAsia="宋体" w:cs="Times New Roman"/>
                <w:color w:val="auto"/>
                <w:szCs w:val="21"/>
              </w:rPr>
            </w:pPr>
            <w:r>
              <w:rPr>
                <w:rFonts w:hint="eastAsia" w:ascii="宋体" w:hAnsi="宋体" w:eastAsia="宋体" w:cs="Times New Roman"/>
                <w:color w:val="auto"/>
                <w:szCs w:val="21"/>
              </w:rPr>
              <w:t>注册地址</w:t>
            </w:r>
          </w:p>
        </w:tc>
        <w:tc>
          <w:tcPr>
            <w:tcW w:w="3419"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firstLine="105" w:firstLineChars="50"/>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34" w:type="dxa"/>
          <w:trHeight w:val="624" w:hRule="atLeast"/>
        </w:trPr>
        <w:tc>
          <w:tcPr>
            <w:tcW w:w="718"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204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38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firstLine="105" w:firstLineChars="50"/>
              <w:jc w:val="center"/>
              <w:rPr>
                <w:rFonts w:ascii="宋体" w:hAnsi="宋体" w:eastAsia="宋体" w:cs="Times New Roman"/>
                <w:color w:val="auto"/>
                <w:szCs w:val="21"/>
              </w:rPr>
            </w:pPr>
            <w:r>
              <w:rPr>
                <w:rFonts w:hint="eastAsia" w:ascii="宋体" w:hAnsi="宋体" w:eastAsia="宋体" w:cs="Times New Roman"/>
                <w:color w:val="auto"/>
                <w:szCs w:val="21"/>
              </w:rPr>
              <w:t>发证日期</w:t>
            </w:r>
          </w:p>
        </w:tc>
        <w:tc>
          <w:tcPr>
            <w:tcW w:w="3394"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firstLine="105" w:firstLineChars="50"/>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8"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204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营业范围（主营）</w:t>
            </w:r>
          </w:p>
        </w:tc>
        <w:tc>
          <w:tcPr>
            <w:tcW w:w="6240" w:type="dxa"/>
            <w:gridSpan w:val="7"/>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firstLine="105" w:firstLineChars="50"/>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8"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204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营业范围（兼营）</w:t>
            </w:r>
          </w:p>
        </w:tc>
        <w:tc>
          <w:tcPr>
            <w:tcW w:w="6240" w:type="dxa"/>
            <w:gridSpan w:val="7"/>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firstLine="105" w:firstLineChars="50"/>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58" w:hRule="atLeast"/>
        </w:trPr>
        <w:tc>
          <w:tcPr>
            <w:tcW w:w="2761" w:type="dxa"/>
            <w:gridSpan w:val="4"/>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基本账户开户行及帐号</w:t>
            </w:r>
          </w:p>
        </w:tc>
        <w:tc>
          <w:tcPr>
            <w:tcW w:w="6240" w:type="dxa"/>
            <w:gridSpan w:val="7"/>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58" w:hRule="atLeast"/>
        </w:trPr>
        <w:tc>
          <w:tcPr>
            <w:tcW w:w="2761" w:type="dxa"/>
            <w:gridSpan w:val="4"/>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税务发证机关</w:t>
            </w:r>
          </w:p>
        </w:tc>
        <w:tc>
          <w:tcPr>
            <w:tcW w:w="6240" w:type="dxa"/>
            <w:gridSpan w:val="7"/>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04" w:hRule="atLeast"/>
        </w:trPr>
        <w:tc>
          <w:tcPr>
            <w:tcW w:w="3616"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ascii="宋体" w:hAnsi="宋体" w:eastAsia="宋体" w:cs="Times New Roman"/>
                <w:color w:val="auto"/>
                <w:szCs w:val="21"/>
              </w:rPr>
              <w:t>资质</w:t>
            </w:r>
            <w:r>
              <w:rPr>
                <w:rFonts w:hint="eastAsia" w:ascii="宋体" w:hAnsi="宋体" w:eastAsia="宋体" w:cs="Times New Roman"/>
                <w:color w:val="auto"/>
                <w:szCs w:val="21"/>
              </w:rPr>
              <w:t>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ascii="宋体" w:hAnsi="宋体" w:eastAsia="宋体" w:cs="Times New Roman"/>
                <w:color w:val="auto"/>
                <w:szCs w:val="21"/>
              </w:rPr>
              <w:t>等级</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发证机关</w:t>
            </w:r>
          </w:p>
        </w:tc>
        <w:tc>
          <w:tcPr>
            <w:tcW w:w="3419"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hint="eastAsia" w:ascii="宋体" w:hAnsi="宋体" w:eastAsia="宋体" w:cs="Times New Roman"/>
                <w:color w:val="auto"/>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6"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3419"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6"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3419"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6"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3419"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6"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c>
          <w:tcPr>
            <w:tcW w:w="3419"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1777" w:hRule="atLeast"/>
        </w:trPr>
        <w:tc>
          <w:tcPr>
            <w:tcW w:w="1257" w:type="dxa"/>
            <w:gridSpan w:val="2"/>
            <w:tcBorders>
              <w:top w:val="single" w:color="auto" w:sz="6" w:space="0"/>
              <w:left w:val="double" w:color="auto" w:sz="4" w:space="0"/>
              <w:bottom w:val="double" w:color="auto" w:sz="4" w:space="0"/>
              <w:right w:val="single" w:color="auto" w:sz="6" w:space="0"/>
            </w:tcBorders>
            <w:noWrap w:val="0"/>
            <w:vAlign w:val="center"/>
          </w:tcPr>
          <w:p>
            <w:pPr>
              <w:keepNext w:val="0"/>
              <w:keepLines w:val="0"/>
              <w:suppressLineNumbers w:val="0"/>
              <w:topLinePunct/>
              <w:spacing w:before="0" w:beforeAutospacing="0" w:after="0" w:afterAutospacing="0" w:line="440" w:lineRule="exact"/>
              <w:ind w:left="0" w:right="23" w:rightChars="11"/>
              <w:jc w:val="center"/>
              <w:rPr>
                <w:rFonts w:ascii="宋体" w:hAnsi="宋体" w:eastAsia="宋体" w:cs="Times New Roman"/>
                <w:color w:val="auto"/>
                <w:szCs w:val="21"/>
              </w:rPr>
            </w:pPr>
            <w:r>
              <w:rPr>
                <w:rFonts w:ascii="宋体" w:hAnsi="宋体" w:eastAsia="宋体" w:cs="Times New Roman"/>
                <w:color w:val="auto"/>
                <w:szCs w:val="21"/>
              </w:rPr>
              <w:t>备注</w:t>
            </w:r>
          </w:p>
        </w:tc>
        <w:tc>
          <w:tcPr>
            <w:tcW w:w="7744" w:type="dxa"/>
            <w:gridSpan w:val="9"/>
            <w:tcBorders>
              <w:top w:val="single" w:color="auto" w:sz="6" w:space="0"/>
              <w:left w:val="single" w:color="auto" w:sz="6" w:space="0"/>
              <w:bottom w:val="double" w:color="auto" w:sz="4" w:space="0"/>
              <w:right w:val="double" w:color="auto" w:sz="4" w:space="0"/>
            </w:tcBorders>
            <w:noWrap w:val="0"/>
            <w:vAlign w:val="center"/>
          </w:tcPr>
          <w:p>
            <w:pPr>
              <w:keepNext w:val="0"/>
              <w:keepLines w:val="0"/>
              <w:suppressLineNumbers w:val="0"/>
              <w:topLinePunct/>
              <w:spacing w:before="0" w:beforeAutospacing="0" w:after="0" w:afterAutospacing="0" w:line="440" w:lineRule="exact"/>
              <w:ind w:left="0" w:right="23" w:rightChars="11"/>
              <w:rPr>
                <w:rFonts w:hint="eastAsia" w:ascii="仿宋_GB2312" w:hAnsi="宋体" w:eastAsia="仿宋_GB2312" w:cs="Times New Roman"/>
                <w:color w:val="auto"/>
                <w:szCs w:val="21"/>
              </w:rPr>
            </w:pPr>
            <w:r>
              <w:rPr>
                <w:rFonts w:hint="eastAsia" w:ascii="仿宋_GB2312" w:hAnsi="宋体" w:eastAsia="仿宋_GB2312" w:cs="Times New Roman"/>
                <w:szCs w:val="21"/>
              </w:rPr>
              <w:t>提供营业执照</w:t>
            </w:r>
            <w:r>
              <w:rPr>
                <w:rFonts w:hint="eastAsia" w:ascii="仿宋_GB2312" w:hAnsi="宋体" w:eastAsia="仿宋_GB2312" w:cs="Times New Roman"/>
              </w:rPr>
              <w:t>和</w:t>
            </w:r>
            <w:r>
              <w:rPr>
                <w:rFonts w:hint="eastAsia" w:ascii="仿宋_GB2312" w:hAnsi="宋体" w:eastAsia="仿宋_GB2312" w:cs="Times New Roman"/>
                <w:szCs w:val="21"/>
              </w:rPr>
              <w:t>组织机构代码证(副本复印件)</w:t>
            </w:r>
            <w:r>
              <w:rPr>
                <w:rFonts w:hint="eastAsia" w:ascii="仿宋_GB2312" w:hAnsi="宋体" w:eastAsia="仿宋_GB2312" w:cs="Times New Roman"/>
              </w:rPr>
              <w:t>，其他资料按第四章要求提供。</w:t>
            </w:r>
          </w:p>
        </w:tc>
      </w:tr>
    </w:tbl>
    <w:p>
      <w:pPr>
        <w:adjustRightInd w:val="0"/>
        <w:snapToGrid w:val="0"/>
        <w:spacing w:line="360" w:lineRule="auto"/>
        <w:ind w:right="23" w:rightChars="11"/>
        <w:jc w:val="center"/>
        <w:rPr>
          <w:rFonts w:hint="eastAsia" w:ascii="黑体" w:hAnsi="宋体" w:eastAsia="黑体"/>
          <w:color w:val="auto"/>
          <w:sz w:val="24"/>
        </w:rPr>
      </w:pPr>
    </w:p>
    <w:p>
      <w:pPr>
        <w:spacing w:line="480" w:lineRule="exact"/>
        <w:ind w:right="23" w:rightChars="11"/>
        <w:rPr>
          <w:rFonts w:hint="eastAsia" w:ascii="黑体" w:eastAsia="黑体"/>
          <w:color w:val="auto"/>
          <w:sz w:val="24"/>
        </w:rPr>
      </w:pPr>
      <w:r>
        <w:rPr>
          <w:rFonts w:hint="eastAsia" w:ascii="黑体" w:eastAsia="黑体"/>
          <w:color w:val="auto"/>
          <w:sz w:val="24"/>
        </w:rPr>
        <w:t>附件</w:t>
      </w:r>
      <w:r>
        <w:rPr>
          <w:rFonts w:hint="eastAsia" w:ascii="黑体" w:eastAsia="黑体"/>
          <w:color w:val="auto"/>
          <w:sz w:val="24"/>
          <w:lang w:val="en-US" w:eastAsia="zh-CN"/>
        </w:rPr>
        <w:t>6</w:t>
      </w:r>
      <w:r>
        <w:rPr>
          <w:rFonts w:hint="eastAsia" w:ascii="黑体" w:eastAsia="黑体"/>
          <w:color w:val="auto"/>
          <w:sz w:val="24"/>
        </w:rPr>
        <w:t>：</w:t>
      </w:r>
    </w:p>
    <w:p>
      <w:pPr>
        <w:adjustRightInd w:val="0"/>
        <w:snapToGrid w:val="0"/>
        <w:spacing w:line="360" w:lineRule="auto"/>
        <w:ind w:right="23" w:rightChars="11"/>
        <w:jc w:val="center"/>
        <w:rPr>
          <w:rFonts w:hint="eastAsia" w:ascii="仿宋_GB2312" w:hAnsi="宋体" w:eastAsia="仿宋_GB2312"/>
          <w:b/>
          <w:color w:val="auto"/>
          <w:sz w:val="28"/>
          <w:szCs w:val="28"/>
        </w:rPr>
      </w:pPr>
      <w:r>
        <w:rPr>
          <w:rFonts w:hint="eastAsia" w:ascii="黑体" w:hAnsi="宋体" w:eastAsia="黑体"/>
          <w:b/>
          <w:color w:val="auto"/>
          <w:sz w:val="28"/>
          <w:szCs w:val="28"/>
        </w:rPr>
        <w:t>供应商的资格条件更新材料</w:t>
      </w:r>
    </w:p>
    <w:p>
      <w:pPr>
        <w:adjustRightInd w:val="0"/>
        <w:snapToGrid w:val="0"/>
        <w:spacing w:before="120" w:beforeLines="50" w:line="360" w:lineRule="auto"/>
        <w:ind w:right="23" w:rightChars="11"/>
        <w:rPr>
          <w:rFonts w:hint="eastAsia" w:ascii="仿宋_GB2312" w:hAnsi="宋体" w:eastAsia="仿宋_GB2312"/>
          <w:color w:val="auto"/>
          <w:szCs w:val="21"/>
        </w:rPr>
      </w:pPr>
    </w:p>
    <w:p>
      <w:pPr>
        <w:adjustRightInd w:val="0"/>
        <w:snapToGrid w:val="0"/>
        <w:spacing w:line="360" w:lineRule="auto"/>
        <w:rPr>
          <w:rFonts w:hint="eastAsia" w:ascii="仿宋_GB2312" w:hAnsi="宋体" w:eastAsia="仿宋_GB2312"/>
          <w:szCs w:val="21"/>
        </w:rPr>
      </w:pPr>
      <w:r>
        <w:rPr>
          <w:rFonts w:hint="eastAsia" w:ascii="仿宋_GB2312" w:hAnsi="宋体" w:eastAsia="仿宋_GB2312"/>
          <w:color w:val="auto"/>
          <w:szCs w:val="21"/>
        </w:rPr>
        <w:t>说明</w:t>
      </w:r>
      <w:r>
        <w:rPr>
          <w:rFonts w:hint="eastAsia" w:ascii="仿宋_GB2312" w:hAnsi="宋体" w:eastAsia="仿宋_GB2312"/>
          <w:color w:val="auto"/>
        </w:rPr>
        <w:t>：</w:t>
      </w:r>
      <w:r>
        <w:rPr>
          <w:rFonts w:hint="eastAsia" w:ascii="仿宋_GB2312" w:hAnsi="宋体" w:eastAsia="仿宋_GB2312" w:cs="宋体"/>
          <w:kern w:val="0"/>
          <w:szCs w:val="21"/>
          <w:lang w:val="zh-CN"/>
        </w:rPr>
        <w:t>供应商根据谈判文件第二章第17.1项“</w:t>
      </w:r>
      <w:r>
        <w:rPr>
          <w:rFonts w:hint="eastAsia" w:ascii="仿宋_GB2312" w:hAnsi="宋体" w:eastAsia="仿宋_GB2312"/>
          <w:szCs w:val="21"/>
        </w:rPr>
        <w:t>在谈判</w:t>
      </w:r>
      <w:r>
        <w:rPr>
          <w:rFonts w:hint="eastAsia" w:ascii="仿宋_GB2312" w:hAnsi="宋体" w:eastAsia="仿宋_GB2312"/>
          <w:bCs/>
          <w:szCs w:val="21"/>
        </w:rPr>
        <w:t>小组确定邀请供应商名单起</w:t>
      </w:r>
      <w:r>
        <w:rPr>
          <w:rFonts w:hint="eastAsia" w:ascii="仿宋_GB2312" w:hAnsi="宋体" w:eastAsia="仿宋_GB2312"/>
          <w:szCs w:val="21"/>
        </w:rPr>
        <w:t>至</w:t>
      </w:r>
      <w:r>
        <w:rPr>
          <w:rFonts w:hint="eastAsia" w:ascii="仿宋_GB2312" w:hAnsi="宋体" w:eastAsia="仿宋_GB2312" w:cs="宋体"/>
          <w:kern w:val="0"/>
          <w:szCs w:val="21"/>
        </w:rPr>
        <w:t>提交首次响应文件</w:t>
      </w:r>
      <w:r>
        <w:rPr>
          <w:rFonts w:hint="eastAsia" w:ascii="仿宋_GB2312" w:hAnsi="宋体" w:eastAsia="仿宋_GB2312"/>
          <w:szCs w:val="21"/>
        </w:rPr>
        <w:t>止，供应商资格条件发生重大变化，可能影响资格条件的，供应商应更新或者补充提供的资格证明材料，以证实其各项条件仍能继续满足本章第3.1项规定的供应商资格条件要求</w:t>
      </w:r>
      <w:r>
        <w:rPr>
          <w:rFonts w:hint="eastAsia" w:ascii="仿宋_GB2312" w:hAnsi="宋体" w:eastAsia="仿宋_GB2312" w:cs="宋体"/>
          <w:kern w:val="0"/>
          <w:szCs w:val="21"/>
          <w:lang w:val="zh-CN"/>
        </w:rPr>
        <w:t>”的规定，应</w:t>
      </w:r>
      <w:r>
        <w:rPr>
          <w:rFonts w:hint="eastAsia" w:ascii="仿宋_GB2312" w:hAnsi="宋体" w:eastAsia="仿宋_GB2312"/>
          <w:szCs w:val="21"/>
        </w:rPr>
        <w:t>提供的更新或者补充资格证明材料。</w:t>
      </w:r>
    </w:p>
    <w:p>
      <w:pPr>
        <w:adjustRightInd w:val="0"/>
        <w:snapToGrid w:val="0"/>
        <w:spacing w:line="360" w:lineRule="auto"/>
        <w:ind w:right="23" w:rightChars="11"/>
        <w:rPr>
          <w:rFonts w:hint="eastAsia" w:ascii="仿宋_GB2312" w:hAnsi="宋体" w:eastAsia="仿宋_GB2312"/>
          <w:color w:val="auto"/>
          <w:szCs w:val="21"/>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rPr>
          <w:rFonts w:hint="eastAsia" w:ascii="黑体" w:eastAsia="黑体"/>
          <w:b/>
          <w:color w:val="auto"/>
          <w:sz w:val="32"/>
          <w:szCs w:val="32"/>
        </w:rPr>
      </w:pPr>
    </w:p>
    <w:p>
      <w:pPr>
        <w:adjustRightInd w:val="0"/>
        <w:snapToGrid w:val="0"/>
        <w:spacing w:line="360" w:lineRule="auto"/>
        <w:ind w:right="23" w:rightChars="11"/>
        <w:jc w:val="center"/>
        <w:rPr>
          <w:rFonts w:hint="eastAsia" w:ascii="黑体" w:eastAsia="黑体"/>
          <w:b/>
          <w:color w:val="auto"/>
          <w:sz w:val="32"/>
          <w:szCs w:val="32"/>
        </w:rPr>
      </w:pPr>
      <w:r>
        <w:rPr>
          <w:rFonts w:hint="eastAsia" w:ascii="黑体" w:eastAsia="黑体"/>
          <w:b/>
          <w:color w:val="auto"/>
          <w:sz w:val="32"/>
          <w:szCs w:val="32"/>
        </w:rPr>
        <w:br w:type="page"/>
      </w:r>
      <w:r>
        <w:rPr>
          <w:rFonts w:hint="eastAsia" w:ascii="黑体" w:eastAsia="黑体"/>
          <w:b/>
          <w:color w:val="auto"/>
          <w:sz w:val="32"/>
          <w:szCs w:val="32"/>
        </w:rPr>
        <w:t>四、</w:t>
      </w:r>
      <w:r>
        <w:rPr>
          <w:rFonts w:hint="eastAsia" w:ascii="黑体" w:hAnsi="宋体" w:eastAsia="黑体"/>
          <w:b/>
          <w:sz w:val="32"/>
          <w:szCs w:val="32"/>
        </w:rPr>
        <w:t>服务方案</w:t>
      </w:r>
    </w:p>
    <w:p>
      <w:pPr>
        <w:adjustRightInd w:val="0"/>
        <w:snapToGrid w:val="0"/>
        <w:ind w:left="-88" w:leftChars="-42" w:right="23" w:rightChars="11" w:firstLine="210" w:firstLineChars="100"/>
        <w:rPr>
          <w:rFonts w:hint="eastAsia" w:ascii="宋体" w:hAnsi="宋体"/>
          <w:bCs/>
          <w:color w:val="auto"/>
          <w:szCs w:val="21"/>
        </w:rPr>
      </w:pPr>
    </w:p>
    <w:p>
      <w:pPr>
        <w:adjustRightInd w:val="0"/>
        <w:snapToGrid w:val="0"/>
        <w:ind w:right="23" w:rightChars="11"/>
        <w:rPr>
          <w:rFonts w:hint="eastAsia" w:ascii="黑体" w:eastAsia="黑体"/>
          <w:color w:val="auto"/>
          <w:sz w:val="24"/>
        </w:rPr>
      </w:pPr>
      <w:r>
        <w:rPr>
          <w:rFonts w:hint="eastAsia" w:ascii="黑体" w:eastAsia="黑体"/>
          <w:color w:val="auto"/>
          <w:sz w:val="24"/>
        </w:rPr>
        <w:t>附件</w:t>
      </w:r>
      <w:r>
        <w:rPr>
          <w:rFonts w:hint="eastAsia" w:ascii="黑体" w:eastAsia="黑体"/>
          <w:color w:val="auto"/>
          <w:sz w:val="24"/>
          <w:lang w:val="en-US" w:eastAsia="zh-CN"/>
        </w:rPr>
        <w:t>7</w:t>
      </w:r>
      <w:r>
        <w:rPr>
          <w:rFonts w:hint="eastAsia" w:ascii="黑体" w:eastAsia="黑体"/>
          <w:color w:val="auto"/>
          <w:sz w:val="24"/>
        </w:rPr>
        <w:t>：</w:t>
      </w:r>
    </w:p>
    <w:p>
      <w:pPr>
        <w:adjustRightInd w:val="0"/>
        <w:snapToGrid w:val="0"/>
        <w:ind w:left="-88" w:leftChars="-42" w:right="23" w:rightChars="11" w:firstLine="241" w:firstLineChars="100"/>
        <w:rPr>
          <w:rFonts w:hint="eastAsia" w:ascii="黑体" w:hAnsi="宋体" w:eastAsia="黑体"/>
          <w:b/>
          <w:bCs/>
          <w:color w:val="auto"/>
          <w:sz w:val="24"/>
        </w:rPr>
      </w:pPr>
      <w:r>
        <w:rPr>
          <w:rFonts w:hint="eastAsia" w:ascii="黑体" w:hAnsi="宋体" w:eastAsia="黑体"/>
          <w:b/>
          <w:bCs/>
          <w:color w:val="auto"/>
          <w:sz w:val="24"/>
        </w:rPr>
        <w:t xml:space="preserve">    </w:t>
      </w:r>
    </w:p>
    <w:p>
      <w:pPr>
        <w:adjustRightInd w:val="0"/>
        <w:snapToGrid w:val="0"/>
        <w:jc w:val="center"/>
        <w:rPr>
          <w:rFonts w:hint="eastAsia" w:ascii="宋体" w:hAnsi="宋体"/>
          <w:b/>
          <w:sz w:val="28"/>
          <w:szCs w:val="28"/>
        </w:rPr>
      </w:pPr>
      <w:r>
        <w:rPr>
          <w:rFonts w:hint="eastAsia" w:ascii="黑体" w:hAnsi="宋体" w:eastAsia="黑体"/>
          <w:b/>
          <w:bCs/>
          <w:color w:val="auto"/>
          <w:sz w:val="24"/>
        </w:rPr>
        <w:t xml:space="preserve"> </w:t>
      </w:r>
      <w:r>
        <w:rPr>
          <w:rFonts w:hint="eastAsia" w:ascii="宋体" w:hAnsi="宋体"/>
          <w:b/>
          <w:sz w:val="28"/>
          <w:szCs w:val="28"/>
        </w:rPr>
        <w:t>服务方案说明</w:t>
      </w:r>
    </w:p>
    <w:p>
      <w:pPr>
        <w:adjustRightInd w:val="0"/>
        <w:snapToGrid w:val="0"/>
        <w:ind w:left="-88" w:leftChars="-42" w:right="23" w:rightChars="11" w:firstLine="3310" w:firstLineChars="1374"/>
        <w:rPr>
          <w:rFonts w:hint="eastAsia" w:ascii="黑体" w:hAnsi="宋体" w:eastAsia="黑体"/>
          <w:b/>
          <w:bCs/>
          <w:color w:val="auto"/>
          <w:sz w:val="24"/>
        </w:rPr>
      </w:pPr>
    </w:p>
    <w:p>
      <w:pPr>
        <w:spacing w:line="360" w:lineRule="atLeast"/>
        <w:ind w:right="23" w:rightChars="11"/>
        <w:rPr>
          <w:rFonts w:hint="eastAsia" w:ascii="黑体" w:hAnsi="宋体" w:eastAsia="黑体"/>
          <w:color w:val="auto"/>
          <w:sz w:val="28"/>
          <w:szCs w:val="28"/>
        </w:rPr>
      </w:pPr>
    </w:p>
    <w:p>
      <w:pPr>
        <w:adjustRightInd w:val="0"/>
        <w:snapToGrid w:val="0"/>
        <w:spacing w:line="360" w:lineRule="auto"/>
        <w:rPr>
          <w:rFonts w:hint="eastAsia"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服务类项目供应商应根据第四章规定编写服务方案或服务大纲。</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pStyle w:val="24"/>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hint="eastAsia"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宋体" w:hAnsi="宋体"/>
          <w:color w:val="auto"/>
          <w:szCs w:val="21"/>
        </w:rPr>
      </w:pPr>
    </w:p>
    <w:p>
      <w:pPr>
        <w:adjustRightInd w:val="0"/>
        <w:snapToGrid w:val="0"/>
        <w:ind w:right="23" w:rightChars="11"/>
        <w:rPr>
          <w:rFonts w:hint="eastAsia" w:ascii="黑体" w:eastAsia="黑体"/>
          <w:color w:val="auto"/>
          <w:sz w:val="24"/>
        </w:rPr>
      </w:pPr>
    </w:p>
    <w:p>
      <w:pPr>
        <w:adjustRightInd w:val="0"/>
        <w:snapToGrid w:val="0"/>
        <w:ind w:right="23" w:rightChars="11"/>
        <w:rPr>
          <w:rFonts w:hint="eastAsia" w:ascii="黑体" w:eastAsia="黑体"/>
          <w:color w:val="auto"/>
          <w:sz w:val="24"/>
        </w:rPr>
      </w:pPr>
      <w:r>
        <w:rPr>
          <w:rFonts w:hint="eastAsia" w:ascii="黑体" w:eastAsia="黑体"/>
          <w:color w:val="auto"/>
          <w:sz w:val="24"/>
        </w:rPr>
        <w:t>附件</w:t>
      </w:r>
      <w:r>
        <w:rPr>
          <w:rFonts w:hint="eastAsia" w:ascii="黑体" w:eastAsia="黑体"/>
          <w:color w:val="auto"/>
          <w:sz w:val="24"/>
          <w:lang w:val="en-US" w:eastAsia="zh-CN"/>
        </w:rPr>
        <w:t>7-2</w:t>
      </w:r>
      <w:r>
        <w:rPr>
          <w:rFonts w:hint="eastAsia" w:ascii="黑体" w:eastAsia="黑体"/>
          <w:color w:val="auto"/>
          <w:sz w:val="24"/>
        </w:rPr>
        <w:t>：</w:t>
      </w:r>
    </w:p>
    <w:p>
      <w:pPr>
        <w:adjustRightInd w:val="0"/>
        <w:snapToGrid w:val="0"/>
        <w:spacing w:line="360" w:lineRule="auto"/>
        <w:ind w:right="23" w:rightChars="11"/>
        <w:rPr>
          <w:rFonts w:hint="eastAsia" w:ascii="宋体" w:hAnsi="宋体"/>
          <w:color w:val="auto"/>
          <w:szCs w:val="21"/>
        </w:rPr>
      </w:pPr>
    </w:p>
    <w:p>
      <w:pPr>
        <w:spacing w:line="360" w:lineRule="atLeast"/>
        <w:ind w:right="23" w:rightChars="11"/>
        <w:jc w:val="center"/>
        <w:rPr>
          <w:rFonts w:hint="eastAsia" w:ascii="黑体" w:eastAsia="黑体"/>
          <w:b/>
          <w:color w:val="auto"/>
          <w:sz w:val="28"/>
          <w:szCs w:val="28"/>
        </w:rPr>
      </w:pPr>
      <w:r>
        <w:rPr>
          <w:rFonts w:hint="eastAsia" w:ascii="黑体" w:eastAsia="黑体"/>
          <w:b/>
          <w:color w:val="auto"/>
          <w:sz w:val="28"/>
          <w:szCs w:val="28"/>
        </w:rPr>
        <w:t>主要人员简历表</w:t>
      </w:r>
    </w:p>
    <w:p>
      <w:pPr>
        <w:spacing w:line="360" w:lineRule="atLeast"/>
        <w:ind w:right="23" w:rightChars="11"/>
        <w:jc w:val="center"/>
        <w:rPr>
          <w:rFonts w:hint="eastAsia" w:ascii="宋体"/>
          <w:color w:val="auto"/>
          <w:sz w:val="28"/>
          <w:szCs w:val="28"/>
        </w:rPr>
      </w:pPr>
    </w:p>
    <w:tbl>
      <w:tblPr>
        <w:tblStyle w:val="41"/>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exact"/>
        </w:trPr>
        <w:tc>
          <w:tcPr>
            <w:tcW w:w="2032"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姓</w:t>
            </w:r>
            <w:r>
              <w:rPr>
                <w:rFonts w:ascii="宋体" w:hAnsi="Calibri" w:eastAsia="宋体" w:cs="Times New Roman"/>
                <w:color w:val="auto"/>
              </w:rPr>
              <w:t xml:space="preserve">   </w:t>
            </w:r>
            <w:r>
              <w:rPr>
                <w:rFonts w:hint="eastAsia" w:ascii="宋体" w:hAnsi="Calibri" w:eastAsia="宋体" w:cs="Times New Roman"/>
                <w:color w:val="auto"/>
              </w:rPr>
              <w:t>名</w:t>
            </w:r>
          </w:p>
        </w:tc>
        <w:tc>
          <w:tcPr>
            <w:tcW w:w="2468"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340"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性</w:t>
            </w:r>
            <w:r>
              <w:rPr>
                <w:rFonts w:ascii="宋体" w:hAnsi="Calibri" w:eastAsia="宋体" w:cs="Times New Roman"/>
                <w:color w:val="auto"/>
              </w:rPr>
              <w:t xml:space="preserve">  </w:t>
            </w:r>
            <w:r>
              <w:rPr>
                <w:rFonts w:hint="eastAsia" w:ascii="宋体" w:hAnsi="Calibri" w:eastAsia="宋体" w:cs="Times New Roman"/>
                <w:color w:val="auto"/>
              </w:rPr>
              <w:t>别</w:t>
            </w:r>
          </w:p>
        </w:tc>
        <w:tc>
          <w:tcPr>
            <w:tcW w:w="1663"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exact"/>
        </w:trPr>
        <w:tc>
          <w:tcPr>
            <w:tcW w:w="2032"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职</w:t>
            </w:r>
            <w:r>
              <w:rPr>
                <w:rFonts w:ascii="宋体" w:hAnsi="Calibri" w:eastAsia="宋体" w:cs="Times New Roman"/>
                <w:color w:val="auto"/>
              </w:rPr>
              <w:t xml:space="preserve">   </w:t>
            </w:r>
            <w:r>
              <w:rPr>
                <w:rFonts w:hint="eastAsia" w:ascii="宋体" w:hAnsi="Calibri" w:eastAsia="宋体" w:cs="Times New Roman"/>
                <w:color w:val="auto"/>
              </w:rPr>
              <w:t>务</w:t>
            </w:r>
          </w:p>
        </w:tc>
        <w:tc>
          <w:tcPr>
            <w:tcW w:w="2468"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340"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职</w:t>
            </w:r>
            <w:r>
              <w:rPr>
                <w:rFonts w:ascii="宋体" w:hAnsi="Calibri" w:eastAsia="宋体" w:cs="Times New Roman"/>
                <w:color w:val="auto"/>
              </w:rPr>
              <w:t xml:space="preserve">  </w:t>
            </w:r>
            <w:r>
              <w:rPr>
                <w:rFonts w:hint="eastAsia" w:ascii="宋体" w:hAnsi="Calibri" w:eastAsia="宋体" w:cs="Times New Roman"/>
                <w:color w:val="auto"/>
              </w:rPr>
              <w:t>称</w:t>
            </w:r>
          </w:p>
        </w:tc>
        <w:tc>
          <w:tcPr>
            <w:tcW w:w="1663"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1" w:hRule="exact"/>
        </w:trPr>
        <w:tc>
          <w:tcPr>
            <w:tcW w:w="2032"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毕业学校、专业</w:t>
            </w:r>
          </w:p>
        </w:tc>
        <w:tc>
          <w:tcPr>
            <w:tcW w:w="6471" w:type="dxa"/>
            <w:gridSpan w:val="5"/>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trPr>
        <w:tc>
          <w:tcPr>
            <w:tcW w:w="2032"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身份证号</w:t>
            </w:r>
          </w:p>
        </w:tc>
        <w:tc>
          <w:tcPr>
            <w:tcW w:w="2468"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340"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拟在本合同任职</w:t>
            </w:r>
          </w:p>
        </w:tc>
        <w:tc>
          <w:tcPr>
            <w:tcW w:w="1663"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trPr>
        <w:tc>
          <w:tcPr>
            <w:tcW w:w="2032"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lang w:eastAsia="zh-CN"/>
              </w:rPr>
            </w:pPr>
            <w:r>
              <w:rPr>
                <w:rFonts w:hint="eastAsia" w:ascii="宋体" w:hAnsi="Calibri" w:eastAsia="宋体" w:cs="Times New Roman"/>
                <w:color w:val="auto"/>
              </w:rPr>
              <w:t>执业资格证</w:t>
            </w:r>
          </w:p>
        </w:tc>
        <w:tc>
          <w:tcPr>
            <w:tcW w:w="2468"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340"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lang w:eastAsia="zh-CN"/>
              </w:rPr>
            </w:pPr>
            <w:r>
              <w:rPr>
                <w:rFonts w:hint="eastAsia" w:ascii="宋体" w:hAnsi="Calibri" w:eastAsia="宋体" w:cs="Times New Roman"/>
                <w:color w:val="auto"/>
              </w:rPr>
              <w:t>执业资格证书号</w:t>
            </w:r>
          </w:p>
        </w:tc>
        <w:tc>
          <w:tcPr>
            <w:tcW w:w="1663" w:type="dxa"/>
            <w:noWrap w:val="0"/>
            <w:vAlign w:val="center"/>
          </w:tcPr>
          <w:p>
            <w:pPr>
              <w:keepNext w:val="0"/>
              <w:keepLines w:val="0"/>
              <w:suppressLineNumbers w:val="0"/>
              <w:spacing w:before="0" w:beforeAutospacing="0" w:after="0" w:afterAutospacing="0"/>
              <w:ind w:left="0" w:right="0"/>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0" w:hRule="exact"/>
        </w:trPr>
        <w:tc>
          <w:tcPr>
            <w:tcW w:w="8503" w:type="dxa"/>
            <w:gridSpan w:val="7"/>
            <w:noWrap w:val="0"/>
            <w:vAlign w:val="center"/>
          </w:tcPr>
          <w:p>
            <w:pPr>
              <w:keepNext w:val="0"/>
              <w:keepLines w:val="0"/>
              <w:suppressLineNumbers w:val="0"/>
              <w:spacing w:before="0" w:beforeAutospacing="0" w:after="0" w:afterAutospacing="0" w:line="360" w:lineRule="atLeast"/>
              <w:ind w:left="0" w:right="23" w:rightChars="11"/>
              <w:rPr>
                <w:rFonts w:hint="eastAsia" w:ascii="宋体" w:hAnsi="Calibri" w:eastAsia="宋体" w:cs="Times New Roman"/>
                <w:color w:val="auto"/>
              </w:rPr>
            </w:pPr>
            <w:r>
              <w:rPr>
                <w:rFonts w:hint="eastAsia" w:ascii="宋体" w:hAnsi="Calibri" w:eastAsia="宋体" w:cs="Times New Roman"/>
                <w:color w:val="auto"/>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时间</w:t>
            </w: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类似项目名称</w:t>
            </w: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担任职务</w:t>
            </w: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r>
              <w:rPr>
                <w:rFonts w:hint="eastAsia" w:ascii="宋体" w:hAnsi="Calibri" w:eastAsia="宋体" w:cs="Times New Roman"/>
                <w:color w:val="auto"/>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3636" w:type="dxa"/>
            <w:gridSpan w:val="3"/>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1404" w:type="dxa"/>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c>
          <w:tcPr>
            <w:tcW w:w="2203" w:type="dxa"/>
            <w:gridSpan w:val="2"/>
            <w:noWrap w:val="0"/>
            <w:vAlign w:val="center"/>
          </w:tcPr>
          <w:p>
            <w:pPr>
              <w:keepNext w:val="0"/>
              <w:keepLines w:val="0"/>
              <w:suppressLineNumbers w:val="0"/>
              <w:spacing w:before="0" w:beforeAutospacing="0" w:after="0" w:afterAutospacing="0" w:line="360" w:lineRule="atLeast"/>
              <w:ind w:left="0" w:right="23" w:rightChars="11"/>
              <w:jc w:val="center"/>
              <w:rPr>
                <w:rFonts w:hint="eastAsia" w:ascii="宋体" w:hAnsi="Calibri" w:eastAsia="宋体" w:cs="Times New Roman"/>
                <w:color w:val="auto"/>
              </w:rPr>
            </w:pPr>
          </w:p>
        </w:tc>
      </w:tr>
    </w:tbl>
    <w:p>
      <w:pPr>
        <w:spacing w:line="360" w:lineRule="atLeast"/>
        <w:ind w:right="23" w:rightChars="11"/>
        <w:rPr>
          <w:rFonts w:hint="eastAsia" w:ascii="仿宋_GB2312" w:eastAsia="仿宋_GB2312"/>
          <w:color w:val="auto"/>
        </w:rPr>
      </w:pPr>
      <w:r>
        <w:rPr>
          <w:rFonts w:hint="eastAsia" w:ascii="仿宋_GB2312" w:hAnsi="宋体" w:eastAsia="仿宋_GB2312"/>
          <w:color w:val="auto"/>
          <w:szCs w:val="21"/>
        </w:rPr>
        <w:t>说明</w:t>
      </w:r>
      <w:r>
        <w:rPr>
          <w:rFonts w:hint="eastAsia" w:ascii="仿宋_GB2312" w:eastAsia="仿宋_GB2312"/>
          <w:color w:val="auto"/>
        </w:rPr>
        <w:t>：</w:t>
      </w:r>
      <w:r>
        <w:rPr>
          <w:rFonts w:hint="eastAsia" w:ascii="仿宋_GB2312" w:hAnsi="宋体" w:eastAsia="仿宋_GB2312"/>
          <w:color w:val="auto"/>
          <w:szCs w:val="21"/>
        </w:rPr>
        <w:t>主要人员证书、</w:t>
      </w:r>
      <w:r>
        <w:rPr>
          <w:rFonts w:hint="eastAsia" w:ascii="仿宋_GB2312" w:eastAsia="仿宋_GB2312"/>
          <w:color w:val="auto"/>
        </w:rPr>
        <w:t>类似项目证明资料等按第二章第</w:t>
      </w:r>
      <w:r>
        <w:rPr>
          <w:rFonts w:hint="eastAsia" w:ascii="仿宋_GB2312" w:hAnsi="宋体" w:eastAsia="仿宋_GB2312"/>
          <w:color w:val="auto"/>
        </w:rPr>
        <w:t>4</w:t>
      </w:r>
      <w:r>
        <w:rPr>
          <w:rFonts w:hint="eastAsia" w:ascii="仿宋_GB2312" w:hAnsi="宋体" w:eastAsia="仿宋_GB2312"/>
          <w:color w:val="auto"/>
          <w:lang w:val="en-US" w:eastAsia="zh-CN"/>
        </w:rPr>
        <w:t>2</w:t>
      </w:r>
      <w:r>
        <w:rPr>
          <w:rFonts w:hint="eastAsia" w:ascii="仿宋_GB2312" w:hAnsi="宋体" w:eastAsia="仿宋_GB2312"/>
          <w:color w:val="auto"/>
        </w:rPr>
        <w:t>.1款</w:t>
      </w:r>
      <w:r>
        <w:rPr>
          <w:rFonts w:hint="eastAsia" w:ascii="仿宋_GB2312" w:eastAsia="仿宋_GB2312"/>
          <w:color w:val="auto"/>
        </w:rPr>
        <w:t>或第四章要求提供。</w:t>
      </w:r>
    </w:p>
    <w:p>
      <w:pPr>
        <w:adjustRightInd w:val="0"/>
        <w:snapToGrid w:val="0"/>
        <w:spacing w:line="360" w:lineRule="auto"/>
        <w:ind w:right="23" w:rightChars="11"/>
        <w:rPr>
          <w:rFonts w:hint="eastAsia" w:ascii="宋体" w:hAnsi="宋体"/>
          <w:color w:val="auto"/>
          <w:szCs w:val="21"/>
        </w:rPr>
      </w:pPr>
    </w:p>
    <w:p>
      <w:pPr>
        <w:ind w:right="23" w:rightChars="11"/>
        <w:rPr>
          <w:rFonts w:hint="eastAsia" w:ascii="宋体" w:hAnsi="宋体"/>
          <w:color w:val="auto"/>
          <w:szCs w:val="21"/>
        </w:rPr>
      </w:pPr>
    </w:p>
    <w:p>
      <w:pPr>
        <w:pStyle w:val="24"/>
        <w:adjustRightInd w:val="0"/>
        <w:snapToGrid w:val="0"/>
        <w:spacing w:line="360" w:lineRule="auto"/>
        <w:ind w:right="23" w:rightChars="11"/>
        <w:outlineLvl w:val="0"/>
        <w:rPr>
          <w:rFonts w:hint="eastAsia" w:ascii="宋体" w:hAnsi="宋体"/>
          <w:bCs/>
          <w:color w:val="auto"/>
          <w:sz w:val="21"/>
          <w:szCs w:val="21"/>
        </w:rPr>
      </w:pPr>
      <w:bookmarkStart w:id="24" w:name="_Toc14879"/>
      <w:r>
        <w:rPr>
          <w:rFonts w:hint="eastAsia" w:ascii="宋体" w:hAnsi="宋体"/>
          <w:color w:val="auto"/>
          <w:sz w:val="21"/>
          <w:szCs w:val="21"/>
        </w:rPr>
        <w:t>供应商名称：</w:t>
      </w:r>
      <w:bookmarkEnd w:id="24"/>
      <w:r>
        <w:rPr>
          <w:rFonts w:hint="eastAsia" w:ascii="宋体" w:hAnsi="宋体"/>
          <w:color w:val="auto"/>
          <w:sz w:val="21"/>
          <w:szCs w:val="21"/>
          <w:u w:val="single"/>
        </w:rPr>
        <w:t xml:space="preserve">                </w:t>
      </w:r>
    </w:p>
    <w:p>
      <w:pPr>
        <w:adjustRightInd w:val="0"/>
        <w:snapToGrid w:val="0"/>
        <w:spacing w:line="360" w:lineRule="auto"/>
        <w:ind w:right="23" w:rightChars="11"/>
        <w:outlineLvl w:val="0"/>
        <w:rPr>
          <w:rFonts w:hint="eastAsia" w:ascii="宋体" w:hAnsi="宋体"/>
          <w:color w:val="auto"/>
          <w:szCs w:val="21"/>
        </w:rPr>
      </w:pPr>
      <w:bookmarkStart w:id="25" w:name="_Toc14356"/>
      <w:r>
        <w:rPr>
          <w:rFonts w:hint="eastAsia" w:ascii="宋体" w:hAnsi="宋体"/>
          <w:color w:val="auto"/>
          <w:szCs w:val="21"/>
        </w:rPr>
        <w:t>法定代表人或其委托代理人(签字)：</w:t>
      </w:r>
      <w:r>
        <w:rPr>
          <w:rFonts w:hint="eastAsia" w:ascii="宋体" w:hAnsi="宋体"/>
          <w:color w:val="auto"/>
          <w:szCs w:val="21"/>
          <w:u w:val="single"/>
        </w:rPr>
        <w:t xml:space="preserve">              </w:t>
      </w:r>
      <w:r>
        <w:rPr>
          <w:rFonts w:hint="eastAsia" w:ascii="宋体" w:hAnsi="宋体"/>
          <w:color w:val="auto"/>
          <w:szCs w:val="21"/>
        </w:rPr>
        <w:t>_</w:t>
      </w:r>
      <w:bookmarkEnd w:id="25"/>
    </w:p>
    <w:p>
      <w:pPr>
        <w:spacing w:line="360" w:lineRule="exact"/>
        <w:ind w:right="23" w:rightChars="11"/>
        <w:rPr>
          <w:rFonts w:hint="eastAsia" w:ascii="宋体"/>
          <w:color w:val="auto"/>
        </w:rPr>
      </w:pPr>
      <w:r>
        <w:rPr>
          <w:rFonts w:hint="eastAsia" w:ascii="宋体" w:hAnsi="宋体"/>
          <w:color w:val="auto"/>
          <w:szCs w:val="21"/>
        </w:rPr>
        <w:t xml:space="preserve">日期： </w:t>
      </w:r>
      <w:r>
        <w:rPr>
          <w:rFonts w:hint="eastAsia" w:ascii="宋体" w:hAnsi="宋体"/>
          <w:color w:val="auto"/>
          <w:szCs w:val="21"/>
          <w:u w:val="single"/>
        </w:rPr>
        <w:t xml:space="preserve">     </w:t>
      </w:r>
      <w:r>
        <w:rPr>
          <w:rFonts w:hint="eastAsia" w:ascii="宋体" w:hAnsi="宋体"/>
          <w:color w:val="auto"/>
          <w:szCs w:val="21"/>
        </w:rPr>
        <w:t xml:space="preserve"> 年 </w:t>
      </w:r>
      <w:r>
        <w:rPr>
          <w:rFonts w:hint="eastAsia" w:ascii="宋体" w:hAnsi="宋体"/>
          <w:color w:val="auto"/>
          <w:szCs w:val="21"/>
          <w:u w:val="single"/>
        </w:rPr>
        <w:t xml:space="preserve">    </w:t>
      </w:r>
      <w:r>
        <w:rPr>
          <w:rFonts w:hint="eastAsia" w:ascii="宋体" w:hAnsi="宋体"/>
          <w:color w:val="auto"/>
          <w:szCs w:val="21"/>
        </w:rPr>
        <w:t xml:space="preserve"> 月 </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ind w:right="23" w:rightChars="11"/>
        <w:rPr>
          <w:rFonts w:hint="eastAsia" w:ascii="黑体" w:eastAsia="黑体"/>
          <w:color w:val="auto"/>
          <w:sz w:val="24"/>
        </w:rPr>
      </w:pPr>
    </w:p>
    <w:p>
      <w:pPr>
        <w:adjustRightInd w:val="0"/>
        <w:snapToGrid w:val="0"/>
        <w:ind w:right="23" w:rightChars="11"/>
        <w:rPr>
          <w:rFonts w:hint="eastAsia" w:ascii="黑体" w:eastAsia="黑体"/>
          <w:color w:val="auto"/>
          <w:sz w:val="24"/>
        </w:rPr>
      </w:pPr>
    </w:p>
    <w:p>
      <w:pPr>
        <w:adjustRightInd w:val="0"/>
        <w:snapToGrid w:val="0"/>
        <w:spacing w:line="360" w:lineRule="auto"/>
        <w:ind w:right="23" w:rightChars="11"/>
        <w:rPr>
          <w:rFonts w:hint="eastAsia" w:ascii="宋体" w:hAnsi="宋体"/>
          <w:color w:val="auto"/>
          <w:szCs w:val="21"/>
        </w:rPr>
      </w:pPr>
    </w:p>
    <w:p>
      <w:pPr>
        <w:adjustRightInd w:val="0"/>
        <w:snapToGrid w:val="0"/>
        <w:spacing w:line="360" w:lineRule="auto"/>
        <w:ind w:right="23" w:rightChars="11"/>
        <w:jc w:val="center"/>
        <w:outlineLvl w:val="0"/>
        <w:rPr>
          <w:rFonts w:hint="eastAsia" w:ascii="黑体" w:hAnsi="宋体" w:eastAsia="黑体"/>
          <w:b/>
          <w:color w:val="auto"/>
          <w:sz w:val="32"/>
          <w:szCs w:val="32"/>
        </w:rPr>
      </w:pPr>
      <w:bookmarkStart w:id="26" w:name="_Toc24901"/>
      <w:r>
        <w:rPr>
          <w:rFonts w:hint="eastAsia" w:ascii="黑体" w:eastAsia="黑体"/>
          <w:b/>
          <w:color w:val="auto"/>
          <w:sz w:val="32"/>
          <w:szCs w:val="32"/>
        </w:rPr>
        <w:t>五、</w:t>
      </w:r>
      <w:r>
        <w:rPr>
          <w:rFonts w:hint="eastAsia" w:ascii="黑体" w:hAnsi="宋体" w:eastAsia="黑体"/>
          <w:b/>
          <w:color w:val="auto"/>
          <w:sz w:val="32"/>
          <w:szCs w:val="32"/>
        </w:rPr>
        <w:t>技术/</w:t>
      </w:r>
      <w:r>
        <w:rPr>
          <w:rFonts w:hint="eastAsia" w:ascii="黑体" w:eastAsia="黑体"/>
          <w:b/>
          <w:color w:val="auto"/>
          <w:sz w:val="32"/>
          <w:szCs w:val="32"/>
        </w:rPr>
        <w:t>商务</w:t>
      </w:r>
      <w:r>
        <w:rPr>
          <w:rFonts w:hint="eastAsia" w:ascii="黑体" w:hAnsi="宋体" w:eastAsia="黑体"/>
          <w:b/>
          <w:color w:val="auto"/>
          <w:sz w:val="32"/>
          <w:szCs w:val="32"/>
        </w:rPr>
        <w:t>响应与偏离表</w:t>
      </w:r>
      <w:bookmarkEnd w:id="26"/>
    </w:p>
    <w:p>
      <w:pPr>
        <w:adjustRightInd w:val="0"/>
        <w:snapToGrid w:val="0"/>
        <w:ind w:left="-88" w:leftChars="-42" w:right="23" w:rightChars="11" w:firstLine="315" w:firstLineChars="150"/>
        <w:rPr>
          <w:rFonts w:hint="eastAsia" w:ascii="宋体" w:hAnsi="宋体"/>
          <w:color w:val="auto"/>
          <w:szCs w:val="21"/>
          <w:u w:val="single"/>
        </w:rPr>
      </w:pPr>
    </w:p>
    <w:tbl>
      <w:tblPr>
        <w:tblStyle w:val="41"/>
        <w:tblW w:w="950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634"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序号</w:t>
            </w:r>
          </w:p>
        </w:tc>
        <w:tc>
          <w:tcPr>
            <w:tcW w:w="1685"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谈判文件条目号</w:t>
            </w:r>
          </w:p>
        </w:tc>
        <w:tc>
          <w:tcPr>
            <w:tcW w:w="1948"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采购规格/商务条款</w:t>
            </w:r>
          </w:p>
        </w:tc>
        <w:tc>
          <w:tcPr>
            <w:tcW w:w="2600"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响应文件的规格/商务条款</w:t>
            </w:r>
          </w:p>
        </w:tc>
        <w:tc>
          <w:tcPr>
            <w:tcW w:w="1517"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响应与偏离</w:t>
            </w:r>
          </w:p>
        </w:tc>
        <w:tc>
          <w:tcPr>
            <w:tcW w:w="1119"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r>
              <w:rPr>
                <w:rFonts w:hint="eastAsia" w:ascii="宋体" w:hAnsi="宋体" w:eastAsia="宋体" w:cs="Times New Roman"/>
                <w:color w:val="auto"/>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685"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948"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2600"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517"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119"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685"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948"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2600"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517"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119"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685"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948"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2600"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517"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119"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685"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948"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2600"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517"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119"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685"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948"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2600"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517"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c>
          <w:tcPr>
            <w:tcW w:w="1119" w:type="dxa"/>
            <w:noWrap w:val="0"/>
            <w:vAlign w:val="center"/>
          </w:tcPr>
          <w:p>
            <w:pPr>
              <w:keepNext w:val="0"/>
              <w:keepLines w:val="0"/>
              <w:suppressLineNumbers w:val="0"/>
              <w:adjustRightInd w:val="0"/>
              <w:snapToGrid w:val="0"/>
              <w:spacing w:before="0" w:beforeAutospacing="0" w:after="0" w:afterAutospacing="0"/>
              <w:ind w:left="-88" w:leftChars="-42" w:right="23" w:rightChars="11"/>
              <w:jc w:val="center"/>
              <w:rPr>
                <w:rFonts w:hint="eastAsia" w:ascii="宋体" w:hAnsi="宋体" w:eastAsia="宋体" w:cs="Times New Roman"/>
                <w:color w:val="auto"/>
                <w:szCs w:val="21"/>
              </w:rPr>
            </w:pPr>
          </w:p>
        </w:tc>
      </w:tr>
    </w:tbl>
    <w:p>
      <w:pPr>
        <w:adjustRightInd w:val="0"/>
        <w:snapToGrid w:val="0"/>
        <w:spacing w:line="360" w:lineRule="auto"/>
        <w:ind w:left="-88" w:leftChars="-42" w:right="23" w:rightChars="11"/>
        <w:rPr>
          <w:rFonts w:hint="eastAsia" w:ascii="仿宋_GB2312" w:hAnsi="宋体" w:eastAsia="仿宋_GB2312"/>
          <w:color w:val="auto"/>
          <w:szCs w:val="21"/>
        </w:rPr>
      </w:pPr>
      <w:r>
        <w:rPr>
          <w:rFonts w:hint="eastAsia" w:ascii="仿宋_GB2312" w:hAnsi="宋体" w:eastAsia="仿宋_GB2312"/>
          <w:color w:val="auto"/>
          <w:szCs w:val="21"/>
        </w:rPr>
        <w:t>说明：1、“响应与偏离”应注明“响应”或“偏离”。</w:t>
      </w:r>
    </w:p>
    <w:p>
      <w:pPr>
        <w:adjustRightInd w:val="0"/>
        <w:snapToGrid w:val="0"/>
        <w:spacing w:line="360" w:lineRule="auto"/>
        <w:ind w:right="23" w:rightChars="11"/>
        <w:rPr>
          <w:rFonts w:hint="eastAsia" w:ascii="仿宋_GB2312" w:hAnsi="宋体" w:eastAsia="仿宋_GB2312"/>
          <w:color w:val="auto"/>
          <w:szCs w:val="21"/>
        </w:rPr>
      </w:pPr>
      <w:r>
        <w:rPr>
          <w:rFonts w:hint="eastAsia" w:ascii="仿宋_GB2312" w:hAnsi="宋体" w:eastAsia="仿宋_GB2312"/>
          <w:b/>
          <w:color w:val="auto"/>
          <w:szCs w:val="21"/>
        </w:rPr>
        <w:t xml:space="preserve">     </w:t>
      </w:r>
      <w:r>
        <w:rPr>
          <w:rFonts w:hint="eastAsia" w:ascii="仿宋_GB2312" w:hAnsi="宋体" w:eastAsia="仿宋_GB2312"/>
          <w:color w:val="auto"/>
          <w:szCs w:val="21"/>
        </w:rPr>
        <w:t>2、属谈判文件规定可能变动的内容在“说明”栏中注明。</w:t>
      </w:r>
    </w:p>
    <w:p>
      <w:pPr>
        <w:pStyle w:val="24"/>
        <w:adjustRightInd w:val="0"/>
        <w:snapToGrid w:val="0"/>
        <w:spacing w:line="360" w:lineRule="auto"/>
        <w:ind w:right="23" w:rightChars="11"/>
        <w:outlineLvl w:val="0"/>
        <w:rPr>
          <w:rFonts w:hint="eastAsia" w:ascii="宋体" w:hAnsi="宋体"/>
          <w:color w:val="auto"/>
          <w:sz w:val="21"/>
          <w:szCs w:val="21"/>
        </w:rPr>
      </w:pPr>
    </w:p>
    <w:p>
      <w:pPr>
        <w:pStyle w:val="24"/>
        <w:adjustRightInd w:val="0"/>
        <w:snapToGrid w:val="0"/>
        <w:spacing w:line="360" w:lineRule="auto"/>
        <w:ind w:right="23" w:rightChars="11"/>
        <w:outlineLvl w:val="0"/>
        <w:rPr>
          <w:rFonts w:hint="eastAsia" w:ascii="宋体" w:hAnsi="宋体"/>
          <w:bCs/>
          <w:color w:val="auto"/>
          <w:sz w:val="21"/>
          <w:szCs w:val="21"/>
        </w:rPr>
      </w:pPr>
      <w:bookmarkStart w:id="27" w:name="_Toc12147"/>
      <w:r>
        <w:rPr>
          <w:rFonts w:hint="eastAsia" w:ascii="宋体" w:hAnsi="宋体"/>
          <w:color w:val="auto"/>
          <w:sz w:val="21"/>
          <w:szCs w:val="21"/>
        </w:rPr>
        <w:t>供应商名称：</w:t>
      </w:r>
      <w:bookmarkEnd w:id="27"/>
      <w:r>
        <w:rPr>
          <w:rFonts w:hint="eastAsia" w:ascii="宋体" w:hAnsi="宋体"/>
          <w:color w:val="auto"/>
          <w:sz w:val="21"/>
          <w:szCs w:val="21"/>
          <w:u w:val="single"/>
        </w:rPr>
        <w:t xml:space="preserve">                   </w:t>
      </w:r>
    </w:p>
    <w:p>
      <w:pPr>
        <w:adjustRightInd w:val="0"/>
        <w:snapToGrid w:val="0"/>
        <w:spacing w:line="360" w:lineRule="auto"/>
        <w:ind w:right="23" w:rightChars="11"/>
        <w:outlineLvl w:val="0"/>
        <w:rPr>
          <w:rFonts w:hint="eastAsia" w:ascii="宋体" w:hAnsi="宋体"/>
          <w:color w:val="auto"/>
          <w:szCs w:val="21"/>
        </w:rPr>
      </w:pPr>
      <w:bookmarkStart w:id="28" w:name="_Toc3799"/>
      <w:r>
        <w:rPr>
          <w:rFonts w:hint="eastAsia" w:ascii="宋体" w:hAnsi="宋体"/>
          <w:color w:val="auto"/>
          <w:szCs w:val="21"/>
        </w:rPr>
        <w:t>法定代表人或其委托代理人(签字)：</w:t>
      </w:r>
      <w:bookmarkEnd w:id="28"/>
      <w:r>
        <w:rPr>
          <w:rFonts w:hint="eastAsia" w:ascii="宋体" w:hAnsi="宋体"/>
          <w:color w:val="auto"/>
          <w:szCs w:val="21"/>
          <w:u w:val="single"/>
        </w:rPr>
        <w:t xml:space="preserve">                   </w:t>
      </w:r>
    </w:p>
    <w:p>
      <w:pPr>
        <w:adjustRightInd w:val="0"/>
        <w:snapToGrid w:val="0"/>
        <w:spacing w:line="360" w:lineRule="auto"/>
        <w:ind w:right="23" w:rightChars="11"/>
        <w:outlineLvl w:val="0"/>
        <w:rPr>
          <w:rFonts w:hint="eastAsia" w:ascii="宋体" w:hAnsi="宋体"/>
          <w:color w:val="auto"/>
          <w:szCs w:val="21"/>
        </w:rPr>
      </w:pPr>
      <w:bookmarkStart w:id="29" w:name="_Toc23884"/>
      <w:r>
        <w:rPr>
          <w:rFonts w:hint="eastAsia" w:ascii="宋体" w:hAnsi="宋体"/>
          <w:color w:val="auto"/>
          <w:szCs w:val="21"/>
        </w:rPr>
        <w:t xml:space="preserve">日          期： </w:t>
      </w:r>
      <w:r>
        <w:rPr>
          <w:rFonts w:hint="eastAsia" w:ascii="宋体" w:hAnsi="宋体"/>
          <w:color w:val="auto"/>
          <w:szCs w:val="21"/>
          <w:u w:val="single"/>
        </w:rPr>
        <w:t xml:space="preserve">     </w:t>
      </w:r>
      <w:r>
        <w:rPr>
          <w:rFonts w:hint="eastAsia" w:ascii="宋体" w:hAnsi="宋体"/>
          <w:color w:val="auto"/>
          <w:szCs w:val="21"/>
        </w:rPr>
        <w:t xml:space="preserve"> 年 </w:t>
      </w:r>
      <w:r>
        <w:rPr>
          <w:rFonts w:hint="eastAsia" w:ascii="宋体" w:hAnsi="宋体"/>
          <w:color w:val="auto"/>
          <w:szCs w:val="21"/>
          <w:u w:val="single"/>
        </w:rPr>
        <w:t xml:space="preserve">    </w:t>
      </w:r>
      <w:r>
        <w:rPr>
          <w:rFonts w:hint="eastAsia" w:ascii="宋体" w:hAnsi="宋体"/>
          <w:color w:val="auto"/>
          <w:szCs w:val="21"/>
        </w:rPr>
        <w:t xml:space="preserve"> 月 </w:t>
      </w:r>
      <w:r>
        <w:rPr>
          <w:rFonts w:hint="eastAsia" w:ascii="宋体" w:hAnsi="宋体"/>
          <w:color w:val="auto"/>
          <w:szCs w:val="21"/>
          <w:u w:val="single"/>
        </w:rPr>
        <w:t xml:space="preserve">   </w:t>
      </w:r>
      <w:r>
        <w:rPr>
          <w:rFonts w:hint="eastAsia" w:ascii="宋体" w:hAnsi="宋体"/>
          <w:color w:val="auto"/>
          <w:szCs w:val="21"/>
        </w:rPr>
        <w:t xml:space="preserve"> 日</w:t>
      </w:r>
      <w:bookmarkEnd w:id="29"/>
    </w:p>
    <w:p>
      <w:pPr>
        <w:adjustRightInd w:val="0"/>
        <w:snapToGrid w:val="0"/>
        <w:spacing w:line="360" w:lineRule="auto"/>
        <w:ind w:right="23" w:rightChars="11"/>
        <w:rPr>
          <w:rFonts w:hint="eastAsia" w:ascii="宋体" w:hAnsi="宋体"/>
          <w:color w:val="auto"/>
          <w:szCs w:val="21"/>
        </w:rPr>
      </w:pPr>
    </w:p>
    <w:p>
      <w:pPr>
        <w:tabs>
          <w:tab w:val="left" w:pos="3600"/>
        </w:tabs>
        <w:adjustRightInd w:val="0"/>
        <w:snapToGrid w:val="0"/>
        <w:ind w:right="23" w:rightChars="11"/>
        <w:jc w:val="center"/>
        <w:rPr>
          <w:rFonts w:hint="eastAsia"/>
          <w:color w:val="auto"/>
        </w:rPr>
      </w:pPr>
    </w:p>
    <w:p>
      <w:pPr>
        <w:tabs>
          <w:tab w:val="left" w:pos="3600"/>
        </w:tabs>
        <w:adjustRightInd w:val="0"/>
        <w:snapToGrid w:val="0"/>
        <w:ind w:right="23" w:rightChars="11"/>
        <w:jc w:val="center"/>
        <w:rPr>
          <w:rFonts w:hint="eastAsia"/>
          <w:color w:val="auto"/>
        </w:rPr>
      </w:pPr>
    </w:p>
    <w:p>
      <w:pPr>
        <w:tabs>
          <w:tab w:val="left" w:pos="3600"/>
        </w:tabs>
        <w:adjustRightInd w:val="0"/>
        <w:snapToGrid w:val="0"/>
        <w:ind w:right="23" w:rightChars="11"/>
        <w:jc w:val="center"/>
        <w:rPr>
          <w:rFonts w:hint="eastAsia" w:ascii="黑体" w:eastAsia="黑体"/>
          <w:b/>
          <w:color w:val="auto"/>
          <w:sz w:val="32"/>
          <w:szCs w:val="32"/>
        </w:rPr>
      </w:pPr>
    </w:p>
    <w:p>
      <w:pPr>
        <w:tabs>
          <w:tab w:val="left" w:pos="3600"/>
        </w:tabs>
        <w:adjustRightInd w:val="0"/>
        <w:snapToGrid w:val="0"/>
        <w:ind w:right="23" w:rightChars="11"/>
        <w:jc w:val="center"/>
        <w:rPr>
          <w:rFonts w:hint="eastAsia" w:ascii="黑体" w:eastAsia="黑体"/>
          <w:b/>
          <w:color w:val="auto"/>
          <w:sz w:val="32"/>
          <w:szCs w:val="32"/>
        </w:rPr>
      </w:pPr>
    </w:p>
    <w:p>
      <w:pPr>
        <w:tabs>
          <w:tab w:val="left" w:pos="3600"/>
        </w:tabs>
        <w:adjustRightInd w:val="0"/>
        <w:snapToGrid w:val="0"/>
        <w:ind w:right="23" w:rightChars="11"/>
        <w:jc w:val="center"/>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rPr>
          <w:rFonts w:hint="eastAsia" w:ascii="黑体" w:eastAsia="黑体"/>
          <w:b/>
          <w:color w:val="auto"/>
          <w:sz w:val="32"/>
          <w:szCs w:val="32"/>
        </w:rPr>
      </w:pPr>
    </w:p>
    <w:p>
      <w:pPr>
        <w:tabs>
          <w:tab w:val="left" w:pos="3600"/>
        </w:tabs>
        <w:adjustRightInd w:val="0"/>
        <w:snapToGrid w:val="0"/>
        <w:ind w:right="23" w:rightChars="11"/>
        <w:jc w:val="center"/>
        <w:rPr>
          <w:rFonts w:hint="eastAsia" w:ascii="黑体" w:hAnsi="宋体" w:eastAsia="黑体"/>
          <w:b/>
          <w:color w:val="auto"/>
          <w:sz w:val="32"/>
          <w:szCs w:val="32"/>
        </w:rPr>
      </w:pPr>
      <w:r>
        <w:rPr>
          <w:rFonts w:hint="eastAsia" w:ascii="黑体" w:eastAsia="黑体"/>
          <w:b/>
          <w:color w:val="auto"/>
          <w:sz w:val="32"/>
          <w:szCs w:val="32"/>
        </w:rPr>
        <w:t>六、</w:t>
      </w:r>
      <w:r>
        <w:rPr>
          <w:rFonts w:hint="eastAsia" w:ascii="黑体" w:hAnsi="宋体" w:eastAsia="黑体"/>
          <w:b/>
          <w:color w:val="auto"/>
          <w:sz w:val="32"/>
          <w:szCs w:val="32"/>
        </w:rPr>
        <w:t>提供政府采购政策产品等证明材料</w:t>
      </w:r>
    </w:p>
    <w:p>
      <w:pPr>
        <w:tabs>
          <w:tab w:val="left" w:pos="3600"/>
        </w:tabs>
        <w:adjustRightInd w:val="0"/>
        <w:snapToGrid w:val="0"/>
        <w:ind w:right="23" w:rightChars="11"/>
        <w:rPr>
          <w:rFonts w:hint="eastAsia" w:ascii="黑体" w:hAnsi="宋体" w:eastAsia="黑体"/>
          <w:b/>
          <w:color w:val="auto"/>
          <w:sz w:val="32"/>
          <w:szCs w:val="32"/>
        </w:rPr>
      </w:pPr>
    </w:p>
    <w:p>
      <w:pPr>
        <w:adjustRightInd w:val="0"/>
        <w:snapToGrid w:val="0"/>
        <w:ind w:right="23" w:rightChars="11"/>
        <w:rPr>
          <w:rFonts w:hint="eastAsia" w:ascii="黑体" w:eastAsia="黑体"/>
          <w:color w:val="auto"/>
          <w:sz w:val="24"/>
        </w:rPr>
      </w:pPr>
      <w:r>
        <w:rPr>
          <w:rFonts w:hint="eastAsia" w:ascii="黑体" w:eastAsia="黑体"/>
          <w:color w:val="auto"/>
          <w:sz w:val="24"/>
        </w:rPr>
        <w:t>附件</w:t>
      </w:r>
      <w:r>
        <w:rPr>
          <w:rFonts w:hint="eastAsia" w:ascii="黑体" w:eastAsia="黑体"/>
          <w:color w:val="auto"/>
          <w:sz w:val="24"/>
          <w:lang w:val="en-US" w:eastAsia="zh-CN"/>
        </w:rPr>
        <w:t>8</w:t>
      </w:r>
      <w:r>
        <w:rPr>
          <w:rFonts w:hint="eastAsia" w:ascii="黑体" w:eastAsia="黑体"/>
          <w:color w:val="auto"/>
          <w:sz w:val="24"/>
        </w:rPr>
        <w:t>：</w:t>
      </w:r>
    </w:p>
    <w:p>
      <w:pPr>
        <w:tabs>
          <w:tab w:val="left" w:pos="3600"/>
        </w:tabs>
        <w:adjustRightInd w:val="0"/>
        <w:snapToGrid w:val="0"/>
        <w:ind w:right="23" w:rightChars="11"/>
        <w:jc w:val="center"/>
        <w:rPr>
          <w:rFonts w:hint="eastAsia" w:ascii="黑体" w:hAnsi="华文中宋" w:eastAsia="黑体" w:cs="宋体"/>
          <w:b/>
          <w:color w:val="auto"/>
          <w:kern w:val="0"/>
          <w:sz w:val="28"/>
          <w:szCs w:val="28"/>
        </w:rPr>
      </w:pPr>
      <w:r>
        <w:rPr>
          <w:rFonts w:hint="eastAsia" w:ascii="黑体" w:hAnsi="华文中宋" w:eastAsia="黑体" w:cs="宋体"/>
          <w:b/>
          <w:bCs/>
          <w:color w:val="auto"/>
          <w:spacing w:val="6"/>
          <w:kern w:val="0"/>
          <w:sz w:val="28"/>
          <w:szCs w:val="28"/>
        </w:rPr>
        <w:t>中小企业声明函</w:t>
      </w:r>
    </w:p>
    <w:p>
      <w:pPr>
        <w:widowControl/>
        <w:adjustRightInd w:val="0"/>
        <w:snapToGrid w:val="0"/>
        <w:spacing w:before="120" w:beforeLines="50" w:line="360" w:lineRule="auto"/>
        <w:ind w:right="23" w:rightChars="11" w:firstLine="444" w:firstLineChars="200"/>
        <w:jc w:val="left"/>
        <w:rPr>
          <w:rFonts w:hint="eastAsia" w:ascii="宋体" w:hAnsi="宋体" w:cs="宋体"/>
          <w:color w:val="auto"/>
          <w:spacing w:val="6"/>
          <w:kern w:val="0"/>
          <w:szCs w:val="21"/>
        </w:rPr>
      </w:pPr>
    </w:p>
    <w:p>
      <w:pPr>
        <w:widowControl/>
        <w:adjustRightInd w:val="0"/>
        <w:snapToGrid w:val="0"/>
        <w:spacing w:line="360" w:lineRule="auto"/>
        <w:ind w:right="23" w:rightChars="11"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本公司郑重声明，根据《政府采购促进中小企业发展暂行办法》（财库[2011]181号）的规定，本公司为</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（请填写：中型、小型、微型）企业。即，本公司同时满足以下条件：</w:t>
      </w:r>
    </w:p>
    <w:p>
      <w:pPr>
        <w:widowControl/>
        <w:adjustRightInd w:val="0"/>
        <w:snapToGrid w:val="0"/>
        <w:spacing w:line="360" w:lineRule="auto"/>
        <w:ind w:right="23" w:rightChars="11"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（请填写：中型、小型、微型）企业。</w:t>
      </w:r>
    </w:p>
    <w:p>
      <w:pPr>
        <w:widowControl/>
        <w:adjustRightInd w:val="0"/>
        <w:snapToGrid w:val="0"/>
        <w:spacing w:line="360" w:lineRule="auto"/>
        <w:ind w:right="23" w:rightChars="11"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2.本公司参加</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单位的</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 xml:space="preserve"> 项目采购活动提供本企业制造的货物，由本企业承担工程、提供服务，或者提供其他</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（请填写：中型、小型、微型）企业制造的货物。本条所称货物不包括使用大型企业注册商标的货物。</w:t>
      </w:r>
    </w:p>
    <w:p>
      <w:pPr>
        <w:widowControl/>
        <w:adjustRightInd w:val="0"/>
        <w:snapToGrid w:val="0"/>
        <w:spacing w:line="360" w:lineRule="auto"/>
        <w:ind w:right="23" w:rightChars="11"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本公司对上述声明的真实性负责。如有虚假，将依法承担相应责任。</w:t>
      </w:r>
    </w:p>
    <w:p>
      <w:pPr>
        <w:widowControl/>
        <w:adjustRightInd w:val="0"/>
        <w:snapToGrid w:val="0"/>
        <w:spacing w:line="360" w:lineRule="auto"/>
        <w:ind w:right="23" w:rightChars="11" w:firstLine="420" w:firstLineChars="200"/>
        <w:jc w:val="left"/>
        <w:rPr>
          <w:rFonts w:hint="eastAsia" w:ascii="宋体" w:hAnsi="宋体" w:cs="宋体"/>
          <w:color w:val="auto"/>
          <w:kern w:val="0"/>
          <w:szCs w:val="21"/>
        </w:rPr>
      </w:pPr>
    </w:p>
    <w:p>
      <w:pPr>
        <w:widowControl/>
        <w:adjustRightInd w:val="0"/>
        <w:snapToGrid w:val="0"/>
        <w:spacing w:line="360" w:lineRule="auto"/>
        <w:ind w:right="23" w:rightChars="11" w:firstLine="444" w:firstLineChars="200"/>
        <w:jc w:val="center"/>
        <w:rPr>
          <w:rFonts w:hint="eastAsia" w:ascii="宋体" w:hAnsi="宋体" w:cs="宋体"/>
          <w:color w:val="auto"/>
          <w:spacing w:val="6"/>
          <w:kern w:val="0"/>
          <w:szCs w:val="21"/>
        </w:rPr>
      </w:pPr>
      <w:r>
        <w:rPr>
          <w:rFonts w:hint="eastAsia" w:ascii="宋体" w:hAnsi="宋体" w:cs="宋体"/>
          <w:color w:val="auto"/>
          <w:spacing w:val="6"/>
          <w:kern w:val="0"/>
          <w:szCs w:val="21"/>
        </w:rPr>
        <w:t xml:space="preserve">            供应商名称（盖单位章）： </w:t>
      </w:r>
    </w:p>
    <w:p>
      <w:pPr>
        <w:widowControl/>
        <w:adjustRightInd w:val="0"/>
        <w:snapToGrid w:val="0"/>
        <w:spacing w:line="360" w:lineRule="auto"/>
        <w:ind w:right="23" w:rightChars="11" w:firstLine="444" w:firstLineChars="200"/>
        <w:jc w:val="center"/>
        <w:rPr>
          <w:rFonts w:hint="eastAsia" w:ascii="宋体" w:hAnsi="宋体"/>
          <w:color w:val="auto"/>
          <w:szCs w:val="21"/>
        </w:rPr>
      </w:pPr>
      <w:r>
        <w:rPr>
          <w:rFonts w:hint="eastAsia" w:ascii="宋体" w:hAnsi="宋体" w:cs="宋体"/>
          <w:color w:val="auto"/>
          <w:spacing w:val="6"/>
          <w:kern w:val="0"/>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adjustRightInd w:val="0"/>
        <w:snapToGrid w:val="0"/>
        <w:spacing w:line="360" w:lineRule="auto"/>
        <w:ind w:right="23" w:rightChars="11" w:firstLine="420" w:firstLineChars="200"/>
        <w:jc w:val="center"/>
        <w:rPr>
          <w:rFonts w:hint="eastAsia" w:ascii="宋体" w:hAnsi="宋体"/>
          <w:color w:val="auto"/>
          <w:szCs w:val="21"/>
        </w:rPr>
      </w:pP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供应商（盖单位章）：</w:t>
      </w: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法定代表人或其委托代理人（签字）：</w:t>
      </w:r>
      <w:r>
        <w:rPr>
          <w:rFonts w:hint="eastAsia" w:ascii="宋体" w:hAnsi="宋体"/>
          <w:color w:val="auto"/>
          <w:szCs w:val="21"/>
          <w:u w:val="single"/>
        </w:rPr>
        <w:t xml:space="preserve">               </w:t>
      </w:r>
    </w:p>
    <w:p>
      <w:pPr>
        <w:adjustRightInd w:val="0"/>
        <w:snapToGrid w:val="0"/>
        <w:spacing w:line="360" w:lineRule="auto"/>
        <w:ind w:right="23" w:rightChars="11"/>
        <w:rPr>
          <w:rFonts w:hint="eastAsia" w:ascii="宋体" w:hAnsi="宋体"/>
          <w:bCs/>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bCs/>
          <w:color w:val="auto"/>
          <w:szCs w:val="21"/>
        </w:rPr>
        <w:t>日</w:t>
      </w:r>
    </w:p>
    <w:p>
      <w:pPr>
        <w:adjustRightInd w:val="0"/>
        <w:snapToGrid w:val="0"/>
        <w:spacing w:line="360" w:lineRule="auto"/>
        <w:ind w:right="23" w:rightChars="11"/>
        <w:rPr>
          <w:rFonts w:hint="eastAsia" w:ascii="仿宋_GB2312" w:hAnsi="宋体" w:eastAsia="仿宋_GB2312"/>
          <w:color w:val="auto"/>
          <w:szCs w:val="21"/>
        </w:rPr>
      </w:pPr>
    </w:p>
    <w:p>
      <w:pPr>
        <w:adjustRightInd w:val="0"/>
        <w:snapToGrid w:val="0"/>
        <w:spacing w:line="360" w:lineRule="auto"/>
        <w:ind w:right="23" w:rightChars="11"/>
        <w:rPr>
          <w:rFonts w:hint="eastAsia" w:ascii="仿宋_GB2312" w:hAnsi="宋体" w:eastAsia="仿宋_GB2312"/>
          <w:color w:val="auto"/>
          <w:szCs w:val="21"/>
        </w:rPr>
      </w:pPr>
    </w:p>
    <w:p>
      <w:pPr>
        <w:adjustRightInd w:val="0"/>
        <w:snapToGrid w:val="0"/>
        <w:spacing w:line="360" w:lineRule="auto"/>
        <w:ind w:right="23" w:rightChars="11"/>
        <w:rPr>
          <w:rFonts w:hint="eastAsia" w:ascii="仿宋_GB2312" w:hAnsi="宋体" w:eastAsia="仿宋_GB2312"/>
          <w:color w:val="auto"/>
          <w:szCs w:val="21"/>
        </w:rPr>
      </w:pPr>
      <w:r>
        <w:rPr>
          <w:rFonts w:hint="eastAsia" w:ascii="仿宋_GB2312" w:hAnsi="宋体" w:eastAsia="仿宋_GB2312"/>
          <w:color w:val="auto"/>
          <w:szCs w:val="21"/>
        </w:rPr>
        <w:t>说明：1、填写前请认真阅读</w:t>
      </w:r>
      <w:r>
        <w:rPr>
          <w:rFonts w:hint="eastAsia" w:ascii="仿宋_GB2312" w:hAnsi="宋体" w:eastAsia="仿宋_GB2312" w:cs="宋体"/>
          <w:color w:val="auto"/>
          <w:spacing w:val="6"/>
          <w:kern w:val="0"/>
          <w:szCs w:val="21"/>
        </w:rPr>
        <w:t>《工业和信息化部、国家统计局、国家发展和改革委员会、财政部关于印发中小企业划型标准规定的通知》（工信部联企业[2011]300号）和</w:t>
      </w:r>
      <w:r>
        <w:rPr>
          <w:rFonts w:hint="eastAsia" w:ascii="仿宋_GB2312" w:hAnsi="宋体" w:eastAsia="仿宋_GB2312"/>
          <w:color w:val="auto"/>
          <w:spacing w:val="6"/>
          <w:szCs w:val="21"/>
        </w:rPr>
        <w:t>《财政部</w:t>
      </w:r>
      <w:r>
        <w:rPr>
          <w:rFonts w:hint="eastAsia" w:ascii="仿宋_GB2312" w:hAnsi="宋体" w:eastAsia="仿宋_GB2312"/>
          <w:color w:val="auto"/>
          <w:szCs w:val="21"/>
        </w:rPr>
        <w:t xml:space="preserve"> </w:t>
      </w:r>
      <w:r>
        <w:rPr>
          <w:rFonts w:hint="eastAsia" w:ascii="仿宋_GB2312" w:hAnsi="宋体" w:eastAsia="仿宋_GB2312"/>
          <w:color w:val="auto"/>
          <w:spacing w:val="6"/>
          <w:szCs w:val="21"/>
        </w:rPr>
        <w:t>工业和信息化部</w:t>
      </w:r>
      <w:r>
        <w:rPr>
          <w:rFonts w:hint="eastAsia" w:ascii="仿宋_GB2312" w:hAnsi="宋体" w:eastAsia="仿宋_GB2312"/>
          <w:bCs/>
          <w:color w:val="auto"/>
          <w:szCs w:val="21"/>
        </w:rPr>
        <w:t>关于印发＜政府采购促进中小企业发展暂行办法＞的通知》(</w:t>
      </w:r>
      <w:r>
        <w:rPr>
          <w:rFonts w:hint="eastAsia" w:ascii="仿宋_GB2312" w:hAnsi="宋体" w:eastAsia="仿宋_GB2312"/>
          <w:color w:val="auto"/>
          <w:szCs w:val="21"/>
        </w:rPr>
        <w:t>财库[2011]181号)相关规定。</w:t>
      </w:r>
    </w:p>
    <w:p>
      <w:pPr>
        <w:adjustRightInd w:val="0"/>
        <w:snapToGrid w:val="0"/>
        <w:spacing w:line="360" w:lineRule="auto"/>
        <w:ind w:right="23" w:rightChars="11"/>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 xml:space="preserve">      2、中小企业部分提供其他中小企业制造货物的应另附清单说明，并与后面的报价一栏表保持一致。</w:t>
      </w:r>
    </w:p>
    <w:p>
      <w:pPr>
        <w:adjustRightInd w:val="0"/>
        <w:snapToGrid w:val="0"/>
        <w:spacing w:line="360" w:lineRule="auto"/>
        <w:ind w:right="23" w:rightChars="11" w:firstLine="630" w:firstLineChars="300"/>
        <w:rPr>
          <w:rFonts w:hint="eastAsia" w:ascii="黑体" w:hAnsi="宋体" w:eastAsia="黑体"/>
          <w:color w:val="auto"/>
          <w:sz w:val="30"/>
          <w:szCs w:val="30"/>
        </w:rPr>
      </w:pP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w:t>
      </w:r>
      <w:r>
        <w:rPr>
          <w:rFonts w:hint="eastAsia" w:ascii="仿宋_GB2312" w:hAnsi="宋体" w:eastAsia="仿宋_GB2312"/>
          <w:bCs/>
          <w:color w:val="auto"/>
          <w:szCs w:val="21"/>
        </w:rPr>
        <w:t>未按上述要求提供、</w:t>
      </w:r>
      <w:r>
        <w:rPr>
          <w:rFonts w:hint="eastAsia" w:ascii="仿宋_GB2312" w:hAnsi="宋体" w:eastAsia="仿宋_GB2312"/>
          <w:color w:val="auto"/>
          <w:szCs w:val="21"/>
        </w:rPr>
        <w:t>填写</w:t>
      </w:r>
      <w:r>
        <w:rPr>
          <w:rFonts w:hint="eastAsia" w:ascii="仿宋_GB2312" w:hAnsi="宋体" w:eastAsia="仿宋_GB2312"/>
          <w:bCs/>
          <w:color w:val="auto"/>
          <w:szCs w:val="21"/>
        </w:rPr>
        <w:t>的，评审时不予以考虑</w:t>
      </w:r>
    </w:p>
    <w:p>
      <w:pPr>
        <w:adjustRightInd w:val="0"/>
        <w:snapToGrid w:val="0"/>
        <w:spacing w:before="50" w:line="360" w:lineRule="auto"/>
        <w:jc w:val="left"/>
        <w:rPr>
          <w:rFonts w:hint="eastAsia" w:ascii="黑体" w:hAnsi="宋体" w:eastAsia="黑体"/>
          <w:color w:val="auto"/>
          <w:sz w:val="30"/>
          <w:szCs w:val="30"/>
        </w:rPr>
      </w:pPr>
    </w:p>
    <w:p>
      <w:pPr>
        <w:adjustRightInd w:val="0"/>
        <w:snapToGrid w:val="0"/>
        <w:spacing w:before="50" w:line="360" w:lineRule="auto"/>
        <w:jc w:val="left"/>
        <w:rPr>
          <w:rFonts w:hint="eastAsia" w:ascii="黑体" w:hAnsi="宋体" w:eastAsia="黑体"/>
          <w:color w:val="auto"/>
          <w:sz w:val="30"/>
          <w:szCs w:val="30"/>
        </w:rPr>
      </w:pPr>
    </w:p>
    <w:p>
      <w:pPr>
        <w:adjustRightInd w:val="0"/>
        <w:snapToGrid w:val="0"/>
        <w:spacing w:line="360" w:lineRule="auto"/>
        <w:ind w:right="23" w:rightChars="11"/>
        <w:rPr>
          <w:rFonts w:hint="eastAsia" w:ascii="仿宋_GB2312" w:hAnsi="宋体" w:eastAsia="仿宋_GB2312"/>
          <w:bCs/>
          <w:color w:val="auto"/>
          <w:szCs w:val="21"/>
        </w:rPr>
      </w:pPr>
    </w:p>
    <w:p>
      <w:pPr>
        <w:adjustRightInd w:val="0"/>
        <w:snapToGrid w:val="0"/>
        <w:spacing w:line="360" w:lineRule="auto"/>
        <w:ind w:right="23" w:rightChars="11"/>
        <w:jc w:val="center"/>
        <w:rPr>
          <w:rFonts w:hint="eastAsia" w:ascii="黑体" w:eastAsia="黑体"/>
          <w:b/>
          <w:bCs/>
          <w:color w:val="auto"/>
          <w:sz w:val="32"/>
          <w:szCs w:val="32"/>
        </w:rPr>
      </w:pPr>
    </w:p>
    <w:p>
      <w:pPr>
        <w:adjustRightInd w:val="0"/>
        <w:snapToGrid w:val="0"/>
        <w:spacing w:line="360" w:lineRule="auto"/>
        <w:ind w:right="23" w:rightChars="11"/>
        <w:jc w:val="center"/>
        <w:rPr>
          <w:rFonts w:hint="eastAsia" w:ascii="黑体" w:hAnsi="宋体" w:eastAsia="黑体"/>
          <w:b/>
          <w:color w:val="auto"/>
          <w:sz w:val="32"/>
          <w:szCs w:val="32"/>
        </w:rPr>
      </w:pPr>
      <w:r>
        <w:rPr>
          <w:rFonts w:hint="eastAsia" w:ascii="黑体" w:eastAsia="黑体"/>
          <w:b/>
          <w:bCs/>
          <w:color w:val="auto"/>
          <w:sz w:val="32"/>
          <w:szCs w:val="32"/>
        </w:rPr>
        <w:t>七、</w:t>
      </w:r>
      <w:r>
        <w:rPr>
          <w:rFonts w:hint="eastAsia" w:ascii="黑体" w:hAnsi="宋体" w:eastAsia="黑体"/>
          <w:b/>
          <w:color w:val="auto"/>
          <w:sz w:val="32"/>
          <w:szCs w:val="32"/>
        </w:rPr>
        <w:t>报价一览表及报价文件</w:t>
      </w:r>
    </w:p>
    <w:p>
      <w:pPr>
        <w:rPr>
          <w:rFonts w:ascii="黑体" w:hAnsi="宋体" w:eastAsia="黑体"/>
          <w:color w:val="auto"/>
          <w:sz w:val="28"/>
          <w:szCs w:val="28"/>
        </w:rPr>
      </w:pPr>
      <w:r>
        <w:rPr>
          <w:rFonts w:hint="eastAsia" w:ascii="黑体" w:hAnsi="宋体" w:eastAsia="黑体"/>
          <w:b/>
          <w:color w:val="auto"/>
          <w:sz w:val="24"/>
        </w:rPr>
        <w:t>附件</w:t>
      </w:r>
      <w:r>
        <w:rPr>
          <w:rFonts w:hint="eastAsia" w:ascii="黑体" w:hAnsi="宋体" w:eastAsia="黑体"/>
          <w:b/>
          <w:color w:val="auto"/>
          <w:sz w:val="24"/>
          <w:lang w:val="en-US" w:eastAsia="zh-CN"/>
        </w:rPr>
        <w:t>9</w:t>
      </w:r>
      <w:r>
        <w:rPr>
          <w:rFonts w:hint="eastAsia" w:ascii="黑体" w:hAnsi="宋体" w:eastAsia="黑体"/>
          <w:b/>
          <w:color w:val="auto"/>
          <w:sz w:val="24"/>
        </w:rPr>
        <w:t xml:space="preserve">-1：                          </w:t>
      </w:r>
      <w:r>
        <w:rPr>
          <w:rFonts w:hint="eastAsia" w:ascii="黑体" w:hAnsi="宋体" w:eastAsia="黑体"/>
          <w:bCs/>
          <w:color w:val="auto"/>
          <w:sz w:val="28"/>
          <w:szCs w:val="28"/>
        </w:rPr>
        <w:t>报价一览表</w:t>
      </w:r>
    </w:p>
    <w:p>
      <w:pPr>
        <w:adjustRightInd w:val="0"/>
        <w:snapToGrid w:val="0"/>
        <w:ind w:right="23" w:rightChars="11"/>
        <w:rPr>
          <w:rFonts w:hint="eastAsia" w:ascii="黑体" w:hAnsi="宋体" w:eastAsia="黑体"/>
          <w:color w:val="auto"/>
          <w:sz w:val="24"/>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127"/>
        <w:gridCol w:w="1553"/>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620" w:type="dxa"/>
            <w:vMerge w:val="restart"/>
            <w:tcBorders>
              <w:top w:val="double" w:color="auto" w:sz="4" w:space="0"/>
              <w:left w:val="double" w:color="auto" w:sz="4" w:space="0"/>
              <w:bottom w:val="single" w:color="auto" w:sz="6" w:space="0"/>
              <w:right w:val="single" w:color="auto" w:sz="6" w:space="0"/>
            </w:tcBorders>
            <w:noWrap w:val="0"/>
            <w:vAlign w:val="center"/>
          </w:tcPr>
          <w:p>
            <w:pPr>
              <w:keepNext w:val="0"/>
              <w:keepLines w:val="0"/>
              <w:suppressLineNumbers w:val="0"/>
              <w:tabs>
                <w:tab w:val="left" w:pos="403"/>
                <w:tab w:val="center" w:pos="3781"/>
              </w:tabs>
              <w:spacing w:before="0" w:beforeAutospacing="0" w:after="0" w:afterAutospacing="0" w:line="420" w:lineRule="exact"/>
              <w:ind w:left="0" w:right="-5206" w:rightChars="-2479" w:firstLine="210" w:firstLineChars="100"/>
              <w:rPr>
                <w:rFonts w:ascii="宋体" w:hAnsi="宋体" w:eastAsia="宋体" w:cs="Times New Roman"/>
                <w:szCs w:val="21"/>
              </w:rPr>
            </w:pPr>
            <w:r>
              <w:rPr>
                <w:rFonts w:ascii="宋体" w:hAnsi="宋体" w:eastAsia="宋体" w:cs="Times New Roman"/>
                <w:szCs w:val="21"/>
              </w:rPr>
              <w:t>项目名称</w:t>
            </w:r>
            <w:r>
              <w:rPr>
                <w:rFonts w:ascii="宋体" w:hAnsi="宋体" w:eastAsia="宋体" w:cs="Times New Roman"/>
                <w:szCs w:val="21"/>
              </w:rPr>
              <w:tab/>
            </w:r>
            <w:r>
              <w:rPr>
                <w:rFonts w:ascii="宋体" w:hAnsi="宋体" w:eastAsia="宋体" w:cs="Times New Roman"/>
                <w:szCs w:val="21"/>
              </w:rPr>
              <w:t>项目名称</w:t>
            </w:r>
          </w:p>
        </w:tc>
        <w:tc>
          <w:tcPr>
            <w:tcW w:w="3127" w:type="dxa"/>
            <w:vMerge w:val="restart"/>
            <w:tcBorders>
              <w:top w:val="doub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hint="eastAsia" w:ascii="宋体" w:hAnsi="宋体" w:cs="Times New Roman"/>
                <w:szCs w:val="21"/>
                <w:lang w:eastAsia="zh-CN"/>
              </w:rPr>
              <w:t>宁乡市金玉路金鑫北路提质改造项目监理</w:t>
            </w:r>
          </w:p>
        </w:tc>
        <w:tc>
          <w:tcPr>
            <w:tcW w:w="1553" w:type="dxa"/>
            <w:tcBorders>
              <w:top w:val="doub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hint="eastAsia" w:ascii="宋体" w:hAnsi="宋体" w:eastAsia="宋体" w:cs="Times New Roman"/>
                <w:szCs w:val="21"/>
              </w:rPr>
              <w:t>政府采购</w:t>
            </w:r>
            <w:r>
              <w:rPr>
                <w:rFonts w:ascii="宋体" w:hAnsi="宋体" w:eastAsia="宋体" w:cs="Times New Roman"/>
                <w:szCs w:val="21"/>
              </w:rPr>
              <w:t>编号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lang w:val="en-US"/>
              </w:rPr>
            </w:pPr>
            <w:r>
              <w:rPr>
                <w:rFonts w:hint="eastAsia" w:ascii="宋体" w:hAnsi="宋体" w:cs="Times New Roman"/>
                <w:szCs w:val="21"/>
                <w:lang w:val="en-US" w:eastAsia="zh-CN"/>
              </w:rPr>
              <w:t>NXCG-JZ-201906240261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620"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tabs>
                <w:tab w:val="left" w:pos="403"/>
                <w:tab w:val="center" w:pos="3781"/>
              </w:tabs>
              <w:spacing w:before="0" w:beforeAutospacing="0" w:after="0" w:afterAutospacing="0" w:line="420" w:lineRule="exact"/>
              <w:ind w:left="0" w:right="-5206" w:rightChars="-2479"/>
              <w:rPr>
                <w:rFonts w:hint="eastAsia" w:ascii="宋体" w:hAnsi="宋体" w:eastAsia="宋体" w:cs="Times New Roman"/>
                <w:szCs w:val="21"/>
              </w:rPr>
            </w:pPr>
          </w:p>
        </w:tc>
        <w:tc>
          <w:tcPr>
            <w:tcW w:w="312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p>
        </w:tc>
        <w:tc>
          <w:tcPr>
            <w:tcW w:w="15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Times New Roman"/>
                <w:szCs w:val="21"/>
              </w:rPr>
            </w:pPr>
            <w:r>
              <w:rPr>
                <w:rFonts w:hint="eastAsia" w:ascii="宋体" w:hAnsi="宋体" w:eastAsia="宋体" w:cs="Times New Roman"/>
                <w:szCs w:val="21"/>
              </w:rPr>
              <w:t>采购代理</w:t>
            </w:r>
            <w:r>
              <w:rPr>
                <w:rFonts w:ascii="宋体" w:hAnsi="宋体" w:eastAsia="宋体" w:cs="Times New Roman"/>
                <w:szCs w:val="21"/>
              </w:rPr>
              <w:t>编号</w:t>
            </w:r>
          </w:p>
        </w:tc>
        <w:tc>
          <w:tcPr>
            <w:tcW w:w="2520" w:type="dxa"/>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hint="eastAsia" w:ascii="宋体" w:hAnsi="宋体" w:cs="Times New Roman"/>
                <w:szCs w:val="21"/>
                <w:lang w:val="en-US" w:eastAsia="zh-CN"/>
              </w:rPr>
              <w:t>ZF-2019CG-022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Times New Roman"/>
                <w:szCs w:val="21"/>
              </w:rPr>
            </w:pPr>
            <w:r>
              <w:rPr>
                <w:rFonts w:hint="eastAsia" w:ascii="宋体" w:hAnsi="宋体" w:eastAsia="宋体" w:cs="Times New Roman"/>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ascii="宋体" w:hAnsi="宋体" w:eastAsia="宋体" w:cs="Times New Roman"/>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Times New Roman"/>
                <w:szCs w:val="21"/>
              </w:rPr>
            </w:pPr>
          </w:p>
          <w:p>
            <w:pPr>
              <w:keepNext w:val="0"/>
              <w:keepLines w:val="0"/>
              <w:suppressLineNumbers w:val="0"/>
              <w:spacing w:before="0" w:beforeAutospacing="0" w:after="0" w:afterAutospacing="0"/>
              <w:ind w:left="0" w:right="0"/>
              <w:rPr>
                <w:rFonts w:hint="eastAsia" w:ascii="宋体" w:hAnsi="宋体" w:eastAsia="宋体" w:cs="Times New Roman"/>
                <w:szCs w:val="21"/>
              </w:rPr>
            </w:pP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rPr>
              <w:t>元人民币整</w:t>
            </w:r>
          </w:p>
          <w:p>
            <w:pPr>
              <w:keepNext w:val="0"/>
              <w:keepLines w:val="0"/>
              <w:suppressLineNumbers w:val="0"/>
              <w:spacing w:before="0" w:beforeAutospacing="0" w:after="0" w:afterAutospacing="0" w:line="420" w:lineRule="exact"/>
              <w:ind w:left="0" w:right="0"/>
              <w:rPr>
                <w:rFonts w:hint="eastAsia" w:ascii="宋体" w:hAnsi="宋体" w:eastAsia="宋体" w:cs="Times New Roman"/>
                <w:szCs w:val="21"/>
              </w:rPr>
            </w:pPr>
            <w:r>
              <w:rPr>
                <w:rFonts w:hint="eastAsia" w:ascii="宋体" w:hAnsi="宋体" w:eastAsia="宋体" w:cs="Times New Roman"/>
                <w:szCs w:val="21"/>
              </w:rPr>
              <w:t>小写：</w:t>
            </w:r>
            <w:r>
              <w:rPr>
                <w:rFonts w:hint="eastAsia" w:ascii="宋体" w:hAnsi="宋体" w:eastAsia="宋体" w:cs="Times New Roman"/>
                <w:szCs w:val="21"/>
                <w:u w:val="single"/>
              </w:rPr>
              <w:t xml:space="preserve">                    </w:t>
            </w:r>
            <w:r>
              <w:rPr>
                <w:rFonts w:hint="eastAsia" w:ascii="宋体" w:hAnsi="宋体" w:eastAsia="宋体" w:cs="Times New Roman"/>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hint="eastAsia" w:ascii="宋体" w:hAnsi="宋体" w:eastAsia="宋体" w:cs="Times New Roman"/>
                <w:szCs w:val="21"/>
              </w:rPr>
              <w:t>合同</w:t>
            </w:r>
            <w:r>
              <w:rPr>
                <w:rFonts w:ascii="宋体" w:hAnsi="宋体" w:eastAsia="宋体" w:cs="Times New Roman"/>
                <w:szCs w:val="21"/>
              </w:rPr>
              <w:t>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spacing w:before="0" w:beforeAutospacing="0" w:after="0" w:afterAutospacing="0" w:line="420" w:lineRule="exact"/>
              <w:ind w:left="0" w:right="0"/>
              <w:rPr>
                <w:rFonts w:hint="eastAsia" w:ascii="宋体" w:hAnsi="宋体" w:eastAsia="宋体" w:cs="Times New Roman"/>
                <w:i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hint="eastAsia" w:ascii="宋体" w:hAnsi="宋体" w:eastAsia="宋体" w:cs="Times New Roman"/>
                <w:szCs w:val="21"/>
              </w:rPr>
              <w:t>总监理工程师</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keepNext w:val="0"/>
              <w:keepLines w:val="0"/>
              <w:suppressLineNumbers w:val="0"/>
              <w:spacing w:before="0" w:beforeAutospacing="0" w:after="0" w:afterAutospacing="0" w:line="420" w:lineRule="exact"/>
              <w:ind w:left="0" w:right="0" w:firstLine="210" w:firstLineChars="100"/>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keepNext w:val="0"/>
              <w:keepLines w:val="0"/>
              <w:suppressLineNumbers w:val="0"/>
              <w:spacing w:before="0" w:beforeAutospacing="0" w:after="0" w:afterAutospacing="0" w:line="420" w:lineRule="exact"/>
              <w:ind w:left="0" w:right="0"/>
              <w:jc w:val="center"/>
              <w:rPr>
                <w:rFonts w:ascii="宋体" w:hAnsi="宋体" w:eastAsia="宋体" w:cs="Times New Roman"/>
                <w:szCs w:val="21"/>
              </w:rPr>
            </w:pPr>
            <w:r>
              <w:rPr>
                <w:rFonts w:ascii="宋体" w:hAnsi="宋体" w:eastAsia="宋体" w:cs="Times New Roman"/>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keepNext w:val="0"/>
              <w:keepLines w:val="0"/>
              <w:suppressLineNumbers w:val="0"/>
              <w:spacing w:before="0" w:beforeAutospacing="0" w:after="0" w:afterAutospacing="0" w:line="420" w:lineRule="exact"/>
              <w:ind w:left="0" w:right="0"/>
              <w:rPr>
                <w:rFonts w:ascii="宋体" w:hAnsi="宋体" w:eastAsia="宋体" w:cs="Times New Roman"/>
                <w:szCs w:val="21"/>
              </w:rPr>
            </w:pPr>
          </w:p>
        </w:tc>
      </w:tr>
    </w:tbl>
    <w:p>
      <w:pPr>
        <w:adjustRightInd w:val="0"/>
        <w:snapToGrid w:val="0"/>
        <w:ind w:right="23" w:rightChars="11"/>
        <w:jc w:val="right"/>
        <w:rPr>
          <w:rFonts w:hint="eastAsia" w:ascii="宋体" w:hAnsi="宋体"/>
          <w:color w:val="auto"/>
          <w:szCs w:val="21"/>
        </w:rPr>
      </w:pPr>
    </w:p>
    <w:p>
      <w:pPr>
        <w:adjustRightInd w:val="0"/>
        <w:snapToGrid w:val="0"/>
        <w:spacing w:line="360" w:lineRule="auto"/>
        <w:ind w:right="23" w:rightChars="11"/>
        <w:rPr>
          <w:rFonts w:hint="eastAsia" w:ascii="宋体"/>
          <w:color w:val="auto"/>
        </w:rPr>
      </w:pPr>
    </w:p>
    <w:p>
      <w:pPr>
        <w:adjustRightInd w:val="0"/>
        <w:snapToGrid w:val="0"/>
        <w:spacing w:line="360" w:lineRule="auto"/>
        <w:ind w:right="23" w:rightChars="11"/>
        <w:rPr>
          <w:rFonts w:hint="eastAsia" w:ascii="宋体"/>
          <w:color w:val="auto"/>
        </w:rPr>
      </w:pP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供应商（盖单位章）：</w:t>
      </w:r>
    </w:p>
    <w:p>
      <w:pPr>
        <w:adjustRightInd w:val="0"/>
        <w:snapToGrid w:val="0"/>
        <w:spacing w:line="360" w:lineRule="auto"/>
        <w:ind w:right="23" w:rightChars="11"/>
        <w:rPr>
          <w:rFonts w:hint="eastAsia" w:ascii="宋体" w:hAnsi="宋体"/>
          <w:color w:val="auto"/>
          <w:szCs w:val="21"/>
        </w:rPr>
      </w:pPr>
      <w:r>
        <w:rPr>
          <w:rFonts w:hint="eastAsia" w:ascii="宋体" w:hAnsi="宋体"/>
          <w:color w:val="auto"/>
          <w:szCs w:val="21"/>
        </w:rPr>
        <w:t>法定代表人或其委托代理人签字：</w:t>
      </w:r>
      <w:r>
        <w:rPr>
          <w:rFonts w:hint="eastAsia" w:ascii="宋体" w:hAnsi="宋体"/>
          <w:color w:val="auto"/>
          <w:szCs w:val="21"/>
          <w:u w:val="single"/>
        </w:rPr>
        <w:t xml:space="preserve">       </w:t>
      </w:r>
    </w:p>
    <w:p>
      <w:pPr>
        <w:adjustRightInd w:val="0"/>
        <w:snapToGrid w:val="0"/>
        <w:spacing w:line="360" w:lineRule="auto"/>
        <w:ind w:right="23" w:rightChars="11"/>
        <w:rPr>
          <w:rFonts w:hint="eastAsia" w:ascii="仿宋_GB2312" w:hAnsi="宋体" w:eastAsia="仿宋_GB2312"/>
          <w:bCs/>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spacing w:line="360" w:lineRule="auto"/>
        <w:ind w:right="23" w:rightChars="11" w:firstLine="420" w:firstLineChars="200"/>
        <w:rPr>
          <w:rFonts w:hint="eastAsia" w:ascii="仿宋_GB2312" w:hAnsi="宋体" w:eastAsia="仿宋_GB2312"/>
          <w:color w:val="auto"/>
          <w:szCs w:val="21"/>
        </w:rPr>
        <w:sectPr>
          <w:footerReference r:id="rId5" w:type="default"/>
          <w:pgSz w:w="11906" w:h="16838"/>
          <w:pgMar w:top="1474" w:right="1418" w:bottom="1418" w:left="1474" w:header="851" w:footer="992" w:gutter="0"/>
          <w:pgNumType w:fmt="decimal" w:start="1"/>
          <w:cols w:space="720" w:num="1"/>
          <w:docGrid w:linePitch="312" w:charSpace="0"/>
        </w:sectPr>
      </w:pPr>
    </w:p>
    <w:p>
      <w:pPr>
        <w:adjustRightInd w:val="0"/>
        <w:snapToGrid w:val="0"/>
        <w:rPr>
          <w:rFonts w:hint="eastAsia" w:ascii="黑体" w:hAnsi="宋体" w:eastAsia="黑体"/>
          <w:b/>
          <w:sz w:val="24"/>
        </w:rPr>
      </w:pPr>
      <w:r>
        <w:rPr>
          <w:rFonts w:hint="eastAsia" w:ascii="黑体" w:hAnsi="宋体" w:eastAsia="黑体"/>
          <w:b/>
          <w:sz w:val="24"/>
        </w:rPr>
        <w:t>附件</w:t>
      </w:r>
      <w:r>
        <w:rPr>
          <w:rFonts w:hint="eastAsia" w:ascii="黑体" w:hAnsi="宋体" w:eastAsia="黑体"/>
          <w:b/>
          <w:sz w:val="24"/>
          <w:lang w:val="en-US" w:eastAsia="zh-CN"/>
        </w:rPr>
        <w:t>9</w:t>
      </w:r>
      <w:r>
        <w:rPr>
          <w:rFonts w:hint="eastAsia" w:ascii="黑体" w:hAnsi="宋体" w:eastAsia="黑体"/>
          <w:b/>
          <w:sz w:val="24"/>
        </w:rPr>
        <w:t>-2：</w:t>
      </w: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分项价格表(服务</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rPr>
      </w:pPr>
      <w:r>
        <w:rPr>
          <w:rFonts w:hint="eastAsia" w:ascii="楷体_GB2312" w:eastAsia="楷体_GB2312"/>
          <w:b/>
        </w:rPr>
        <w:t xml:space="preserve">包号：                                                            </w:t>
      </w:r>
      <w:r>
        <w:rPr>
          <w:rFonts w:hint="eastAsia" w:ascii="楷体_GB2312" w:eastAsia="楷体_GB2312"/>
          <w:b/>
          <w:lang w:val="en-US" w:eastAsia="zh-CN"/>
        </w:rPr>
        <w:t xml:space="preserve">     </w:t>
      </w:r>
      <w:r>
        <w:rPr>
          <w:rFonts w:hint="eastAsia" w:ascii="楷体_GB2312" w:eastAsia="楷体_GB2312"/>
          <w:b/>
        </w:rPr>
        <w:t>金额单位：元</w:t>
      </w:r>
    </w:p>
    <w:tbl>
      <w:tblPr>
        <w:tblStyle w:val="41"/>
        <w:tblW w:w="8880" w:type="dxa"/>
        <w:tblInd w:w="28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53"/>
        <w:gridCol w:w="868"/>
        <w:gridCol w:w="869"/>
        <w:gridCol w:w="1144"/>
        <w:gridCol w:w="592"/>
        <w:gridCol w:w="592"/>
        <w:gridCol w:w="1224"/>
        <w:gridCol w:w="89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51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序号</w:t>
            </w:r>
          </w:p>
        </w:tc>
        <w:tc>
          <w:tcPr>
            <w:tcW w:w="753"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服务</w:t>
            </w:r>
          </w:p>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名称</w:t>
            </w:r>
          </w:p>
        </w:tc>
        <w:tc>
          <w:tcPr>
            <w:tcW w:w="86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品目</w:t>
            </w:r>
          </w:p>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分类</w:t>
            </w:r>
          </w:p>
        </w:tc>
        <w:tc>
          <w:tcPr>
            <w:tcW w:w="869"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计量</w:t>
            </w:r>
          </w:p>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单位</w:t>
            </w:r>
          </w:p>
        </w:tc>
        <w:tc>
          <w:tcPr>
            <w:tcW w:w="1144"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具体要求说明</w:t>
            </w:r>
          </w:p>
        </w:tc>
        <w:tc>
          <w:tcPr>
            <w:tcW w:w="59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单价</w:t>
            </w:r>
          </w:p>
        </w:tc>
        <w:tc>
          <w:tcPr>
            <w:tcW w:w="59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数量</w:t>
            </w:r>
          </w:p>
        </w:tc>
        <w:tc>
          <w:tcPr>
            <w:tcW w:w="1224"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小计</w:t>
            </w:r>
          </w:p>
        </w:tc>
        <w:tc>
          <w:tcPr>
            <w:tcW w:w="89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政策功</w:t>
            </w:r>
          </w:p>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能编码</w:t>
            </w:r>
          </w:p>
        </w:tc>
        <w:tc>
          <w:tcPr>
            <w:tcW w:w="14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1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753"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lang w:eastAsia="zh-CN"/>
              </w:rPr>
            </w:pPr>
          </w:p>
        </w:tc>
        <w:tc>
          <w:tcPr>
            <w:tcW w:w="868"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lang w:val="en-US" w:eastAsia="zh-CN"/>
              </w:rPr>
            </w:pPr>
          </w:p>
        </w:tc>
        <w:tc>
          <w:tcPr>
            <w:tcW w:w="869"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lang w:eastAsia="zh-CN"/>
              </w:rPr>
            </w:pPr>
          </w:p>
        </w:tc>
        <w:tc>
          <w:tcPr>
            <w:tcW w:w="1144"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59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59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1224"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89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14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1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753"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r>
              <w:rPr>
                <w:rFonts w:hint="eastAsia" w:ascii="宋体" w:hAnsi="宋体" w:eastAsia="宋体" w:cs="Times New Roman"/>
                <w:szCs w:val="21"/>
              </w:rPr>
              <w:t>合计</w:t>
            </w:r>
          </w:p>
        </w:tc>
        <w:tc>
          <w:tcPr>
            <w:tcW w:w="868"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869"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1144"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59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59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1224" w:type="dxa"/>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89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c>
          <w:tcPr>
            <w:tcW w:w="14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w:t>
      </w:r>
    </w:p>
    <w:p>
      <w:pPr>
        <w:adjustRightInd w:val="0"/>
        <w:snapToGrid w:val="0"/>
        <w:spacing w:line="360" w:lineRule="auto"/>
        <w:ind w:left="-88" w:leftChars="-42" w:firstLine="315" w:firstLineChars="150"/>
        <w:rPr>
          <w:rFonts w:hint="eastAsia" w:ascii="仿宋_GB2312" w:hAnsi="宋体" w:eastAsia="仿宋_GB2312"/>
          <w:szCs w:val="21"/>
        </w:rPr>
      </w:pPr>
      <w:r>
        <w:rPr>
          <w:rFonts w:hint="eastAsia" w:ascii="仿宋_GB2312" w:hAnsi="宋体" w:eastAsia="仿宋_GB2312"/>
          <w:szCs w:val="21"/>
        </w:rPr>
        <w:t>1、本表包含谈判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210" w:firstLineChars="100"/>
        <w:rPr>
          <w:rFonts w:hint="eastAsia" w:ascii="仿宋_GB2312" w:hAnsi="宋体" w:eastAsia="仿宋_GB2312"/>
          <w:szCs w:val="21"/>
        </w:rPr>
      </w:pPr>
      <w:r>
        <w:rPr>
          <w:rFonts w:hint="eastAsia" w:ascii="仿宋_GB2312" w:hAnsi="宋体" w:eastAsia="仿宋_GB2312"/>
          <w:szCs w:val="21"/>
        </w:rPr>
        <w:t>2、“服务名称”是指整包分项服务的内容，品目分类是指分项服务费用构成的明细分类项。</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szCs w:val="21"/>
        </w:rPr>
        <w:t>3、服务类含有货物的，供应商应填写提供的产品的中国环境标志认证证书编号、节能标志认证证书编号、湖南省两型产品和长沙市两型产品编号。</w:t>
      </w:r>
    </w:p>
    <w:p>
      <w:pPr>
        <w:adjustRightInd w:val="0"/>
        <w:snapToGrid w:val="0"/>
        <w:ind w:right="23" w:rightChars="11"/>
        <w:rPr>
          <w:rFonts w:hint="eastAsia" w:ascii="宋体" w:hAnsi="宋体"/>
          <w:color w:val="auto"/>
          <w:szCs w:val="21"/>
        </w:rPr>
      </w:pPr>
    </w:p>
    <w:p>
      <w:pPr>
        <w:adjustRightInd w:val="0"/>
        <w:snapToGrid w:val="0"/>
        <w:ind w:right="23" w:rightChars="11"/>
        <w:jc w:val="center"/>
        <w:rPr>
          <w:rFonts w:hint="eastAsia" w:ascii="黑体" w:hAnsi="宋体" w:eastAsia="黑体"/>
          <w:b/>
          <w:color w:val="auto"/>
          <w:sz w:val="28"/>
          <w:szCs w:val="28"/>
        </w:rPr>
      </w:pPr>
    </w:p>
    <w:p>
      <w:pPr>
        <w:adjustRightInd w:val="0"/>
        <w:snapToGrid w:val="0"/>
        <w:ind w:right="23" w:rightChars="11"/>
        <w:rPr>
          <w:rFonts w:hint="eastAsia" w:ascii="黑体" w:hAnsi="宋体" w:eastAsia="黑体"/>
          <w:b/>
          <w:color w:val="auto"/>
          <w:sz w:val="28"/>
          <w:szCs w:val="28"/>
        </w:rPr>
      </w:pPr>
    </w:p>
    <w:p>
      <w:pPr>
        <w:adjustRightInd w:val="0"/>
        <w:snapToGrid w:val="0"/>
        <w:ind w:right="23" w:rightChars="11"/>
        <w:jc w:val="center"/>
        <w:rPr>
          <w:rFonts w:hint="eastAsia" w:ascii="黑体" w:hAnsi="宋体" w:eastAsia="黑体"/>
          <w:b/>
          <w:color w:val="auto"/>
          <w:sz w:val="28"/>
          <w:szCs w:val="28"/>
        </w:rPr>
      </w:pPr>
    </w:p>
    <w:p>
      <w:pPr>
        <w:spacing w:line="360" w:lineRule="exact"/>
        <w:ind w:right="23" w:rightChars="11"/>
        <w:rPr>
          <w:rFonts w:hint="eastAsia" w:ascii="宋体"/>
          <w:color w:val="auto"/>
        </w:rPr>
      </w:pPr>
    </w:p>
    <w:p>
      <w:pPr>
        <w:adjustRightInd w:val="0"/>
        <w:snapToGrid w:val="0"/>
        <w:spacing w:line="360" w:lineRule="auto"/>
        <w:ind w:left="-88" w:leftChars="-42" w:right="23" w:rightChars="11"/>
        <w:jc w:val="center"/>
        <w:rPr>
          <w:rFonts w:hint="eastAsia" w:ascii="黑体" w:hAnsi="宋体" w:eastAsia="黑体"/>
          <w:color w:val="auto"/>
          <w:sz w:val="28"/>
          <w:szCs w:val="28"/>
        </w:rPr>
      </w:pPr>
      <w:r>
        <w:rPr>
          <w:rFonts w:hint="eastAsia" w:ascii="黑体" w:eastAsia="黑体"/>
          <w:b/>
          <w:color w:val="auto"/>
          <w:sz w:val="32"/>
          <w:szCs w:val="32"/>
        </w:rPr>
        <w:br w:type="page"/>
      </w:r>
      <w:r>
        <w:rPr>
          <w:rFonts w:hint="eastAsia" w:ascii="黑体" w:eastAsia="黑体"/>
          <w:b/>
          <w:color w:val="auto"/>
          <w:sz w:val="32"/>
          <w:szCs w:val="32"/>
        </w:rPr>
        <w:t>八</w:t>
      </w:r>
      <w:r>
        <w:rPr>
          <w:rFonts w:hint="eastAsia" w:ascii="黑体" w:eastAsia="黑体"/>
          <w:b/>
          <w:bCs/>
          <w:color w:val="auto"/>
          <w:sz w:val="32"/>
          <w:szCs w:val="32"/>
        </w:rPr>
        <w:t>、供应商认为需要提供的其它资料</w:t>
      </w:r>
    </w:p>
    <w:p>
      <w:pPr>
        <w:adjustRightInd w:val="0"/>
        <w:snapToGrid w:val="0"/>
        <w:spacing w:before="120" w:beforeLines="50" w:line="360" w:lineRule="auto"/>
        <w:ind w:right="23" w:rightChars="11"/>
        <w:jc w:val="center"/>
        <w:outlineLvl w:val="0"/>
        <w:rPr>
          <w:rFonts w:hint="eastAsia" w:ascii="黑体" w:hAnsi="宋体" w:eastAsia="黑体"/>
          <w:color w:val="auto"/>
          <w:sz w:val="28"/>
          <w:szCs w:val="28"/>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bookmarkStart w:id="30" w:name="_Toc19438"/>
      <w:r>
        <w:rPr>
          <w:rFonts w:hint="eastAsia" w:ascii="黑体" w:hAnsi="宋体" w:eastAsia="黑体"/>
          <w:b/>
          <w:color w:val="auto"/>
          <w:sz w:val="32"/>
          <w:szCs w:val="32"/>
        </w:rPr>
        <w:t>九、最后报价</w:t>
      </w:r>
      <w:bookmarkEnd w:id="30"/>
    </w:p>
    <w:p>
      <w:pPr>
        <w:adjustRightInd w:val="0"/>
        <w:snapToGrid w:val="0"/>
        <w:ind w:left="-88" w:leftChars="-42" w:right="23" w:rightChars="11"/>
        <w:rPr>
          <w:rFonts w:hint="eastAsia" w:ascii="宋体" w:hAnsi="宋体"/>
          <w:color w:val="auto"/>
          <w:szCs w:val="21"/>
        </w:rPr>
      </w:pPr>
    </w:p>
    <w:p>
      <w:pPr>
        <w:adjustRightInd w:val="0"/>
        <w:snapToGrid w:val="0"/>
        <w:ind w:left="-88" w:leftChars="-42" w:right="23" w:rightChars="11"/>
        <w:rPr>
          <w:rFonts w:hint="eastAsia" w:ascii="仿宋_GB2312" w:hAnsi="宋体" w:eastAsia="仿宋_GB2312"/>
          <w:color w:val="auto"/>
          <w:szCs w:val="21"/>
        </w:rPr>
      </w:pPr>
    </w:p>
    <w:p>
      <w:pPr>
        <w:adjustRightInd w:val="0"/>
        <w:snapToGrid w:val="0"/>
        <w:spacing w:line="360" w:lineRule="auto"/>
        <w:ind w:right="23" w:rightChars="11"/>
        <w:rPr>
          <w:rFonts w:hint="eastAsia" w:ascii="宋体" w:hAnsi="宋体" w:eastAsia="宋体" w:cs="宋体"/>
          <w:color w:val="auto"/>
          <w:szCs w:val="21"/>
        </w:rPr>
      </w:pPr>
      <w:r>
        <w:rPr>
          <w:rFonts w:hint="eastAsia" w:ascii="宋体" w:hAnsi="宋体" w:eastAsia="宋体" w:cs="宋体"/>
          <w:color w:val="auto"/>
          <w:szCs w:val="21"/>
        </w:rPr>
        <w:t>说明：</w:t>
      </w:r>
      <w:r>
        <w:rPr>
          <w:rFonts w:hint="eastAsia" w:ascii="宋体" w:hAnsi="宋体" w:eastAsia="宋体" w:cs="宋体"/>
          <w:color w:val="auto"/>
          <w:szCs w:val="21"/>
          <w:lang w:val="en-US" w:eastAsia="zh-CN"/>
        </w:rPr>
        <w:t>1、</w:t>
      </w:r>
      <w:r>
        <w:rPr>
          <w:rFonts w:hint="eastAsia" w:ascii="宋体" w:hAnsi="宋体" w:eastAsia="宋体" w:cs="宋体"/>
          <w:color w:val="auto"/>
          <w:szCs w:val="21"/>
        </w:rPr>
        <w:t>最后报价按第二章谈判须知第29条规定提供，格式按附件</w:t>
      </w:r>
      <w:r>
        <w:rPr>
          <w:rFonts w:hint="eastAsia" w:ascii="宋体" w:hAnsi="宋体" w:eastAsia="宋体" w:cs="宋体"/>
          <w:color w:val="auto"/>
          <w:szCs w:val="21"/>
          <w:lang w:val="en-US" w:eastAsia="zh-CN"/>
        </w:rPr>
        <w:t>9-1、9-2提供</w:t>
      </w:r>
      <w:r>
        <w:rPr>
          <w:rFonts w:hint="eastAsia" w:ascii="宋体" w:hAnsi="宋体" w:eastAsia="宋体" w:cs="宋体"/>
          <w:color w:val="auto"/>
          <w:szCs w:val="21"/>
        </w:rPr>
        <w:t>。</w:t>
      </w:r>
      <w:r>
        <w:rPr>
          <w:rFonts w:hint="eastAsia" w:ascii="宋体" w:hAnsi="宋体" w:eastAsia="宋体" w:cs="宋体"/>
          <w:b w:val="0"/>
          <w:bCs w:val="0"/>
          <w:sz w:val="21"/>
          <w:szCs w:val="21"/>
        </w:rPr>
        <w:t>（开标时投标人自备）</w:t>
      </w: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spacing w:before="120" w:beforeLines="50" w:line="360" w:lineRule="auto"/>
        <w:ind w:right="23" w:rightChars="11"/>
        <w:jc w:val="center"/>
        <w:outlineLvl w:val="0"/>
        <w:rPr>
          <w:rFonts w:hint="eastAsia" w:ascii="黑体" w:hAnsi="宋体" w:eastAsia="黑体"/>
          <w:b/>
          <w:color w:val="auto"/>
          <w:sz w:val="32"/>
          <w:szCs w:val="32"/>
        </w:rPr>
      </w:pPr>
    </w:p>
    <w:p>
      <w:pPr>
        <w:adjustRightInd w:val="0"/>
        <w:snapToGrid w:val="0"/>
        <w:ind w:right="23" w:rightChars="11"/>
        <w:rPr>
          <w:rFonts w:hint="eastAsia" w:ascii="黑体" w:hAnsi="宋体" w:eastAsia="黑体"/>
          <w:b/>
          <w:color w:val="auto"/>
          <w:sz w:val="24"/>
        </w:rPr>
      </w:pPr>
    </w:p>
    <w:p>
      <w:pPr>
        <w:adjustRightInd w:val="0"/>
        <w:snapToGrid w:val="0"/>
        <w:ind w:right="23" w:rightChars="11"/>
        <w:rPr>
          <w:rFonts w:hint="eastAsia" w:ascii="黑体" w:hAnsi="宋体" w:eastAsia="黑体"/>
          <w:b/>
          <w:color w:val="auto"/>
          <w:sz w:val="24"/>
        </w:rPr>
      </w:pPr>
      <w:bookmarkStart w:id="31" w:name="_GoBack"/>
      <w:bookmarkEnd w:id="31"/>
    </w:p>
    <w:sectPr>
      <w:footerReference r:id="rId6" w:type="default"/>
      <w:pgSz w:w="11906" w:h="16838"/>
      <w:pgMar w:top="1474" w:right="1418" w:bottom="1418"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ZShuSong-Z01">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eastAsia="宋体"/>
        <w:lang w:eastAsia="zh-CN"/>
      </w:rPr>
    </w:pPr>
    <w:r>
      <w:rPr>
        <w:rFonts w:hint="eastAsia"/>
        <w:lang w:eastAsia="zh-CN"/>
      </w:rPr>
      <w:t>湖南志方项目管理有限公司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eastAsia="zh-CN"/>
      </w:rPr>
      <w:t>湖南志方项目管理有限公司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Mzsb0BAABi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L+0ZYmox6yliXh5vwohjnvwJnUX1qMGVL+oh&#10;GMdGHy7NVWMmsjxaLpbLBkMSY9MF8dnz8wgp36vgSDE4BZxebarYP6R8Sp1SSjUf7oy1dYLW/+FA&#10;zOJhhfuJY7HyuBnPgjahO6AeXFys0wf4TMmAS8Cpxy2lxL7z2OOyL5MBk7GZDOElPuQ0U7KLYLZ9&#10;3a1CI8XrXUZulXIpfKp25oODrKLPS1c25fd7zXr+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h8zOx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eastAsia="zh-CN"/>
      </w:rPr>
      <w:t>湖南志方项目管理有限公司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jc w:val="left"/>
      <w:rPr>
        <w:rFonts w:hint="eastAsia"/>
      </w:rPr>
    </w:pPr>
    <w:r>
      <w:rPr>
        <w:rFonts w:hint="eastAsia"/>
        <w:lang w:val="en-US" w:eastAsia="zh-CN"/>
      </w:rPr>
      <w:t xml:space="preserve">宁乡市金玉路金鑫北路提质改造项目监理                                                </w:t>
    </w: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93804B"/>
    <w:multiLevelType w:val="singleLevel"/>
    <w:tmpl w:val="C993804B"/>
    <w:lvl w:ilvl="0" w:tentative="0">
      <w:start w:val="2"/>
      <w:numFmt w:val="decimal"/>
      <w:suff w:val="nothing"/>
      <w:lvlText w:val="%1、"/>
      <w:lvlJc w:val="left"/>
    </w:lvl>
  </w:abstractNum>
  <w:abstractNum w:abstractNumId="1">
    <w:nsid w:val="CDA96FEE"/>
    <w:multiLevelType w:val="singleLevel"/>
    <w:tmpl w:val="CDA96FEE"/>
    <w:lvl w:ilvl="0" w:tentative="0">
      <w:start w:val="1"/>
      <w:numFmt w:val="decimal"/>
      <w:suff w:val="nothing"/>
      <w:lvlText w:val="（%1）"/>
      <w:lvlJc w:val="left"/>
    </w:lvl>
  </w:abstractNum>
  <w:abstractNum w:abstractNumId="2">
    <w:nsid w:val="F97B202B"/>
    <w:multiLevelType w:val="singleLevel"/>
    <w:tmpl w:val="F97B202B"/>
    <w:lvl w:ilvl="0" w:tentative="0">
      <w:start w:val="1"/>
      <w:numFmt w:val="decimal"/>
      <w:suff w:val="nothing"/>
      <w:lvlText w:val="%1、"/>
      <w:lvlJc w:val="left"/>
      <w:pPr>
        <w:ind w:left="105" w:firstLine="0"/>
      </w:pPr>
    </w:lvl>
  </w:abstractNum>
  <w:abstractNum w:abstractNumId="3">
    <w:nsid w:val="5762303D"/>
    <w:multiLevelType w:val="singleLevel"/>
    <w:tmpl w:val="5762303D"/>
    <w:lvl w:ilvl="0" w:tentative="0">
      <w:start w:val="1"/>
      <w:numFmt w:val="chineseCounting"/>
      <w:suff w:val="nothing"/>
      <w:lvlText w:val="%1、"/>
      <w:lvlJc w:val="left"/>
    </w:lvl>
  </w:abstractNum>
  <w:abstractNum w:abstractNumId="4">
    <w:nsid w:val="5804A0AB"/>
    <w:multiLevelType w:val="singleLevel"/>
    <w:tmpl w:val="5804A0AB"/>
    <w:lvl w:ilvl="0" w:tentative="0">
      <w:start w:val="1"/>
      <w:numFmt w:val="decimal"/>
      <w:suff w:val="nothing"/>
      <w:lvlText w:val="%1、"/>
      <w:lvlJc w:val="left"/>
    </w:lvl>
  </w:abstractNum>
  <w:abstractNum w:abstractNumId="5">
    <w:nsid w:val="58522DDC"/>
    <w:multiLevelType w:val="singleLevel"/>
    <w:tmpl w:val="58522DDC"/>
    <w:lvl w:ilvl="0" w:tentative="0">
      <w:start w:val="2"/>
      <w:numFmt w:val="chineseCounting"/>
      <w:suff w:val="space"/>
      <w:lvlText w:val="第%1章"/>
      <w:lvlJc w:val="left"/>
    </w:lvl>
  </w:abstractNum>
  <w:abstractNum w:abstractNumId="6">
    <w:nsid w:val="58EDC0E0"/>
    <w:multiLevelType w:val="singleLevel"/>
    <w:tmpl w:val="58EDC0E0"/>
    <w:lvl w:ilvl="0" w:tentative="0">
      <w:start w:val="3"/>
      <w:numFmt w:val="chineseCounting"/>
      <w:suff w:val="nothing"/>
      <w:lvlText w:val="%1、"/>
      <w:lvlJc w:val="left"/>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25"/>
    <w:rsid w:val="0002077F"/>
    <w:rsid w:val="00030FE0"/>
    <w:rsid w:val="00050CDE"/>
    <w:rsid w:val="00052125"/>
    <w:rsid w:val="0005595B"/>
    <w:rsid w:val="00067BBB"/>
    <w:rsid w:val="00082976"/>
    <w:rsid w:val="0009356F"/>
    <w:rsid w:val="000939D8"/>
    <w:rsid w:val="000A07D4"/>
    <w:rsid w:val="000A0DAE"/>
    <w:rsid w:val="000A2247"/>
    <w:rsid w:val="000A79F2"/>
    <w:rsid w:val="000D7DF8"/>
    <w:rsid w:val="000F0691"/>
    <w:rsid w:val="000F764E"/>
    <w:rsid w:val="001028A7"/>
    <w:rsid w:val="00113E41"/>
    <w:rsid w:val="001162F6"/>
    <w:rsid w:val="001166DC"/>
    <w:rsid w:val="00123586"/>
    <w:rsid w:val="001278FA"/>
    <w:rsid w:val="00131EDB"/>
    <w:rsid w:val="0014099B"/>
    <w:rsid w:val="0015321C"/>
    <w:rsid w:val="001544EE"/>
    <w:rsid w:val="00161962"/>
    <w:rsid w:val="00163D8E"/>
    <w:rsid w:val="00164C7B"/>
    <w:rsid w:val="00166A8A"/>
    <w:rsid w:val="00184775"/>
    <w:rsid w:val="001950EA"/>
    <w:rsid w:val="001A28E3"/>
    <w:rsid w:val="001A324E"/>
    <w:rsid w:val="001A5EEA"/>
    <w:rsid w:val="001A7B2C"/>
    <w:rsid w:val="001B62F0"/>
    <w:rsid w:val="001D0E7B"/>
    <w:rsid w:val="001D35B5"/>
    <w:rsid w:val="001D6D31"/>
    <w:rsid w:val="001E0685"/>
    <w:rsid w:val="001E220C"/>
    <w:rsid w:val="001E6917"/>
    <w:rsid w:val="001E7C11"/>
    <w:rsid w:val="001F19BB"/>
    <w:rsid w:val="00231B52"/>
    <w:rsid w:val="00236708"/>
    <w:rsid w:val="00253F7F"/>
    <w:rsid w:val="00256BEE"/>
    <w:rsid w:val="00261E45"/>
    <w:rsid w:val="0026561F"/>
    <w:rsid w:val="00271F75"/>
    <w:rsid w:val="0027467E"/>
    <w:rsid w:val="0027476F"/>
    <w:rsid w:val="00282160"/>
    <w:rsid w:val="002926C7"/>
    <w:rsid w:val="002A0E49"/>
    <w:rsid w:val="002A7EA7"/>
    <w:rsid w:val="002B2E68"/>
    <w:rsid w:val="002B7EEB"/>
    <w:rsid w:val="002C36C9"/>
    <w:rsid w:val="002C712F"/>
    <w:rsid w:val="002D0D4A"/>
    <w:rsid w:val="002E7B3D"/>
    <w:rsid w:val="002F2FC2"/>
    <w:rsid w:val="002F459C"/>
    <w:rsid w:val="00300213"/>
    <w:rsid w:val="00300CD3"/>
    <w:rsid w:val="003068C2"/>
    <w:rsid w:val="00306B13"/>
    <w:rsid w:val="00306C32"/>
    <w:rsid w:val="003125E6"/>
    <w:rsid w:val="0032019B"/>
    <w:rsid w:val="0032159E"/>
    <w:rsid w:val="00326719"/>
    <w:rsid w:val="00334949"/>
    <w:rsid w:val="00344BC3"/>
    <w:rsid w:val="00344E5D"/>
    <w:rsid w:val="00363D52"/>
    <w:rsid w:val="003646DD"/>
    <w:rsid w:val="00376EEC"/>
    <w:rsid w:val="00377FEF"/>
    <w:rsid w:val="00385438"/>
    <w:rsid w:val="00387B72"/>
    <w:rsid w:val="00396BC6"/>
    <w:rsid w:val="003A0D4C"/>
    <w:rsid w:val="003C0751"/>
    <w:rsid w:val="003C562D"/>
    <w:rsid w:val="003D7751"/>
    <w:rsid w:val="003F26E0"/>
    <w:rsid w:val="003F7492"/>
    <w:rsid w:val="004040E8"/>
    <w:rsid w:val="00422330"/>
    <w:rsid w:val="00431494"/>
    <w:rsid w:val="004343A8"/>
    <w:rsid w:val="00450949"/>
    <w:rsid w:val="00461742"/>
    <w:rsid w:val="00490444"/>
    <w:rsid w:val="0049306F"/>
    <w:rsid w:val="00496AF2"/>
    <w:rsid w:val="004A04C1"/>
    <w:rsid w:val="004A53FC"/>
    <w:rsid w:val="004B0E0F"/>
    <w:rsid w:val="004B26A3"/>
    <w:rsid w:val="004D59F0"/>
    <w:rsid w:val="004E68CD"/>
    <w:rsid w:val="004F0E5B"/>
    <w:rsid w:val="004F0EEF"/>
    <w:rsid w:val="004F2D54"/>
    <w:rsid w:val="004F5D75"/>
    <w:rsid w:val="0050402F"/>
    <w:rsid w:val="00504E01"/>
    <w:rsid w:val="005068B3"/>
    <w:rsid w:val="00507C1B"/>
    <w:rsid w:val="00520B9D"/>
    <w:rsid w:val="00521E31"/>
    <w:rsid w:val="005228FA"/>
    <w:rsid w:val="00527372"/>
    <w:rsid w:val="00527C36"/>
    <w:rsid w:val="005307CA"/>
    <w:rsid w:val="00535EB7"/>
    <w:rsid w:val="00541020"/>
    <w:rsid w:val="00553AFE"/>
    <w:rsid w:val="00555619"/>
    <w:rsid w:val="00561C62"/>
    <w:rsid w:val="005779D5"/>
    <w:rsid w:val="005804CE"/>
    <w:rsid w:val="00581930"/>
    <w:rsid w:val="00587935"/>
    <w:rsid w:val="005A4ED0"/>
    <w:rsid w:val="005A6154"/>
    <w:rsid w:val="005B56E6"/>
    <w:rsid w:val="005B7057"/>
    <w:rsid w:val="005C6DA7"/>
    <w:rsid w:val="005D135A"/>
    <w:rsid w:val="005D3931"/>
    <w:rsid w:val="005D40D1"/>
    <w:rsid w:val="005E19E7"/>
    <w:rsid w:val="005F5A12"/>
    <w:rsid w:val="00600FDC"/>
    <w:rsid w:val="00610549"/>
    <w:rsid w:val="006159EF"/>
    <w:rsid w:val="00631E23"/>
    <w:rsid w:val="00641D08"/>
    <w:rsid w:val="0064519B"/>
    <w:rsid w:val="00651EFF"/>
    <w:rsid w:val="0065501B"/>
    <w:rsid w:val="006678BA"/>
    <w:rsid w:val="00674D19"/>
    <w:rsid w:val="00680F90"/>
    <w:rsid w:val="00691316"/>
    <w:rsid w:val="006915F5"/>
    <w:rsid w:val="006A089B"/>
    <w:rsid w:val="006A4020"/>
    <w:rsid w:val="006B387E"/>
    <w:rsid w:val="006B6344"/>
    <w:rsid w:val="006C3B5C"/>
    <w:rsid w:val="006C6164"/>
    <w:rsid w:val="006C6A74"/>
    <w:rsid w:val="006D3F52"/>
    <w:rsid w:val="006D4442"/>
    <w:rsid w:val="006E1253"/>
    <w:rsid w:val="006E34FD"/>
    <w:rsid w:val="006E48AD"/>
    <w:rsid w:val="006E59DA"/>
    <w:rsid w:val="006F56B2"/>
    <w:rsid w:val="00701CA6"/>
    <w:rsid w:val="007070F1"/>
    <w:rsid w:val="00716528"/>
    <w:rsid w:val="007208A4"/>
    <w:rsid w:val="007220BE"/>
    <w:rsid w:val="0072608D"/>
    <w:rsid w:val="007348AD"/>
    <w:rsid w:val="00741735"/>
    <w:rsid w:val="0074721B"/>
    <w:rsid w:val="00747290"/>
    <w:rsid w:val="00752A5B"/>
    <w:rsid w:val="00753151"/>
    <w:rsid w:val="0075375B"/>
    <w:rsid w:val="00754475"/>
    <w:rsid w:val="00756EC4"/>
    <w:rsid w:val="007616D1"/>
    <w:rsid w:val="00762CF4"/>
    <w:rsid w:val="00770B73"/>
    <w:rsid w:val="007727D0"/>
    <w:rsid w:val="007748E8"/>
    <w:rsid w:val="00792857"/>
    <w:rsid w:val="007A3474"/>
    <w:rsid w:val="007A36A9"/>
    <w:rsid w:val="007B0154"/>
    <w:rsid w:val="007B163E"/>
    <w:rsid w:val="007B1653"/>
    <w:rsid w:val="007B3058"/>
    <w:rsid w:val="007C0265"/>
    <w:rsid w:val="007D1FEA"/>
    <w:rsid w:val="007D6581"/>
    <w:rsid w:val="007E1505"/>
    <w:rsid w:val="007F275E"/>
    <w:rsid w:val="007F4C0C"/>
    <w:rsid w:val="00806889"/>
    <w:rsid w:val="0081014B"/>
    <w:rsid w:val="00815D86"/>
    <w:rsid w:val="00817DE6"/>
    <w:rsid w:val="00822522"/>
    <w:rsid w:val="00825FC8"/>
    <w:rsid w:val="008260CE"/>
    <w:rsid w:val="0082798E"/>
    <w:rsid w:val="0083639C"/>
    <w:rsid w:val="00842E7C"/>
    <w:rsid w:val="0085572D"/>
    <w:rsid w:val="00861A39"/>
    <w:rsid w:val="0086635E"/>
    <w:rsid w:val="0087119E"/>
    <w:rsid w:val="008730D9"/>
    <w:rsid w:val="00881113"/>
    <w:rsid w:val="0088303B"/>
    <w:rsid w:val="00886C43"/>
    <w:rsid w:val="00896284"/>
    <w:rsid w:val="00897D47"/>
    <w:rsid w:val="008A15FB"/>
    <w:rsid w:val="008A1DA0"/>
    <w:rsid w:val="008B37CF"/>
    <w:rsid w:val="008B4331"/>
    <w:rsid w:val="008C09FA"/>
    <w:rsid w:val="008C56B1"/>
    <w:rsid w:val="008D0341"/>
    <w:rsid w:val="008D171F"/>
    <w:rsid w:val="008D3276"/>
    <w:rsid w:val="008E670C"/>
    <w:rsid w:val="008F1D07"/>
    <w:rsid w:val="00910624"/>
    <w:rsid w:val="0091647E"/>
    <w:rsid w:val="009175CC"/>
    <w:rsid w:val="009301E7"/>
    <w:rsid w:val="00930404"/>
    <w:rsid w:val="0093607F"/>
    <w:rsid w:val="009503CD"/>
    <w:rsid w:val="00952082"/>
    <w:rsid w:val="00962CC7"/>
    <w:rsid w:val="00962F46"/>
    <w:rsid w:val="00965B26"/>
    <w:rsid w:val="00976C93"/>
    <w:rsid w:val="00981F78"/>
    <w:rsid w:val="00987BEA"/>
    <w:rsid w:val="00992C67"/>
    <w:rsid w:val="00996BDD"/>
    <w:rsid w:val="009A1140"/>
    <w:rsid w:val="009A2BE8"/>
    <w:rsid w:val="009A378C"/>
    <w:rsid w:val="009B0BFF"/>
    <w:rsid w:val="009B41EE"/>
    <w:rsid w:val="009C1B35"/>
    <w:rsid w:val="009C6507"/>
    <w:rsid w:val="009C7155"/>
    <w:rsid w:val="009C7211"/>
    <w:rsid w:val="009D257B"/>
    <w:rsid w:val="009D27A0"/>
    <w:rsid w:val="009D6EC6"/>
    <w:rsid w:val="009E2F0F"/>
    <w:rsid w:val="009E4BEB"/>
    <w:rsid w:val="009F048F"/>
    <w:rsid w:val="009F606B"/>
    <w:rsid w:val="00A00DF2"/>
    <w:rsid w:val="00A027F5"/>
    <w:rsid w:val="00A05FC7"/>
    <w:rsid w:val="00A12FC3"/>
    <w:rsid w:val="00A228B0"/>
    <w:rsid w:val="00A22915"/>
    <w:rsid w:val="00A27D65"/>
    <w:rsid w:val="00A336E2"/>
    <w:rsid w:val="00A34B2C"/>
    <w:rsid w:val="00A36A6B"/>
    <w:rsid w:val="00A450CA"/>
    <w:rsid w:val="00A51A1D"/>
    <w:rsid w:val="00A526B8"/>
    <w:rsid w:val="00A736DB"/>
    <w:rsid w:val="00A943BF"/>
    <w:rsid w:val="00A95102"/>
    <w:rsid w:val="00AA08AD"/>
    <w:rsid w:val="00AA23FC"/>
    <w:rsid w:val="00AB02A6"/>
    <w:rsid w:val="00AB1F15"/>
    <w:rsid w:val="00AB7E34"/>
    <w:rsid w:val="00AC684A"/>
    <w:rsid w:val="00AD34A7"/>
    <w:rsid w:val="00AD4C5F"/>
    <w:rsid w:val="00AD56F0"/>
    <w:rsid w:val="00AE28BD"/>
    <w:rsid w:val="00AE4945"/>
    <w:rsid w:val="00AE5496"/>
    <w:rsid w:val="00AE7BB6"/>
    <w:rsid w:val="00AF4203"/>
    <w:rsid w:val="00B07C43"/>
    <w:rsid w:val="00B1152A"/>
    <w:rsid w:val="00B16681"/>
    <w:rsid w:val="00B21270"/>
    <w:rsid w:val="00B227B5"/>
    <w:rsid w:val="00B24A57"/>
    <w:rsid w:val="00B262DA"/>
    <w:rsid w:val="00B31A8D"/>
    <w:rsid w:val="00B4682E"/>
    <w:rsid w:val="00B47DDB"/>
    <w:rsid w:val="00B47E7A"/>
    <w:rsid w:val="00B54937"/>
    <w:rsid w:val="00B56AA5"/>
    <w:rsid w:val="00B57A8D"/>
    <w:rsid w:val="00B7462A"/>
    <w:rsid w:val="00B74AE3"/>
    <w:rsid w:val="00B76874"/>
    <w:rsid w:val="00B77D0E"/>
    <w:rsid w:val="00B811EE"/>
    <w:rsid w:val="00B9002F"/>
    <w:rsid w:val="00B901A3"/>
    <w:rsid w:val="00B93317"/>
    <w:rsid w:val="00B9395E"/>
    <w:rsid w:val="00B97E78"/>
    <w:rsid w:val="00BA2A4B"/>
    <w:rsid w:val="00BB33AA"/>
    <w:rsid w:val="00BB35BD"/>
    <w:rsid w:val="00BC0501"/>
    <w:rsid w:val="00BC1941"/>
    <w:rsid w:val="00BF743D"/>
    <w:rsid w:val="00C27FA4"/>
    <w:rsid w:val="00C4489D"/>
    <w:rsid w:val="00C4526E"/>
    <w:rsid w:val="00C55D8E"/>
    <w:rsid w:val="00C57FED"/>
    <w:rsid w:val="00C72B30"/>
    <w:rsid w:val="00C87547"/>
    <w:rsid w:val="00C92949"/>
    <w:rsid w:val="00C955E0"/>
    <w:rsid w:val="00C95BB2"/>
    <w:rsid w:val="00CB7A2C"/>
    <w:rsid w:val="00CC034A"/>
    <w:rsid w:val="00CC6AEA"/>
    <w:rsid w:val="00CC70B9"/>
    <w:rsid w:val="00CC729C"/>
    <w:rsid w:val="00CE1E89"/>
    <w:rsid w:val="00CE4DE4"/>
    <w:rsid w:val="00CE6849"/>
    <w:rsid w:val="00CF1A50"/>
    <w:rsid w:val="00CF31B1"/>
    <w:rsid w:val="00D04275"/>
    <w:rsid w:val="00D06085"/>
    <w:rsid w:val="00D10C36"/>
    <w:rsid w:val="00D126DB"/>
    <w:rsid w:val="00D14288"/>
    <w:rsid w:val="00D14F2C"/>
    <w:rsid w:val="00D158F6"/>
    <w:rsid w:val="00D206D1"/>
    <w:rsid w:val="00D368AF"/>
    <w:rsid w:val="00D41FA2"/>
    <w:rsid w:val="00D441DC"/>
    <w:rsid w:val="00D50B39"/>
    <w:rsid w:val="00D518E5"/>
    <w:rsid w:val="00D52394"/>
    <w:rsid w:val="00D62457"/>
    <w:rsid w:val="00D66817"/>
    <w:rsid w:val="00D679BA"/>
    <w:rsid w:val="00D80D63"/>
    <w:rsid w:val="00DA173D"/>
    <w:rsid w:val="00DA4C7C"/>
    <w:rsid w:val="00DB1CE0"/>
    <w:rsid w:val="00DB2C39"/>
    <w:rsid w:val="00DB4D23"/>
    <w:rsid w:val="00DD2190"/>
    <w:rsid w:val="00DE0602"/>
    <w:rsid w:val="00DE14C4"/>
    <w:rsid w:val="00DE5110"/>
    <w:rsid w:val="00DE6887"/>
    <w:rsid w:val="00DE6F60"/>
    <w:rsid w:val="00DF31A1"/>
    <w:rsid w:val="00E001AA"/>
    <w:rsid w:val="00E06133"/>
    <w:rsid w:val="00E073C5"/>
    <w:rsid w:val="00E07887"/>
    <w:rsid w:val="00E128DA"/>
    <w:rsid w:val="00E16604"/>
    <w:rsid w:val="00E266F2"/>
    <w:rsid w:val="00E31093"/>
    <w:rsid w:val="00E40963"/>
    <w:rsid w:val="00E42517"/>
    <w:rsid w:val="00E42EF2"/>
    <w:rsid w:val="00E44D25"/>
    <w:rsid w:val="00E51D96"/>
    <w:rsid w:val="00E60874"/>
    <w:rsid w:val="00E6584F"/>
    <w:rsid w:val="00E65F4E"/>
    <w:rsid w:val="00E72FE7"/>
    <w:rsid w:val="00E76894"/>
    <w:rsid w:val="00E80823"/>
    <w:rsid w:val="00E83833"/>
    <w:rsid w:val="00E86025"/>
    <w:rsid w:val="00E946A5"/>
    <w:rsid w:val="00E9617F"/>
    <w:rsid w:val="00EA6472"/>
    <w:rsid w:val="00EB0F3B"/>
    <w:rsid w:val="00EB195A"/>
    <w:rsid w:val="00EB19EE"/>
    <w:rsid w:val="00EB3043"/>
    <w:rsid w:val="00EB3FF5"/>
    <w:rsid w:val="00EC3326"/>
    <w:rsid w:val="00EE4ED6"/>
    <w:rsid w:val="00EE67C9"/>
    <w:rsid w:val="00EF1B52"/>
    <w:rsid w:val="00EF587D"/>
    <w:rsid w:val="00EF79BA"/>
    <w:rsid w:val="00F06DC2"/>
    <w:rsid w:val="00F13661"/>
    <w:rsid w:val="00F137FB"/>
    <w:rsid w:val="00F20F59"/>
    <w:rsid w:val="00F254B1"/>
    <w:rsid w:val="00F2584A"/>
    <w:rsid w:val="00F264AE"/>
    <w:rsid w:val="00F26EE4"/>
    <w:rsid w:val="00F31B8F"/>
    <w:rsid w:val="00F33EB4"/>
    <w:rsid w:val="00F35711"/>
    <w:rsid w:val="00F41216"/>
    <w:rsid w:val="00F50D13"/>
    <w:rsid w:val="00F51EA4"/>
    <w:rsid w:val="00F53EA0"/>
    <w:rsid w:val="00F55BDA"/>
    <w:rsid w:val="00F65C5A"/>
    <w:rsid w:val="00F76E18"/>
    <w:rsid w:val="00F8067D"/>
    <w:rsid w:val="00F87CFD"/>
    <w:rsid w:val="00F93264"/>
    <w:rsid w:val="00F93AA0"/>
    <w:rsid w:val="00F94C99"/>
    <w:rsid w:val="00F95493"/>
    <w:rsid w:val="00FA33C9"/>
    <w:rsid w:val="00FA548D"/>
    <w:rsid w:val="00FA7489"/>
    <w:rsid w:val="00FB038F"/>
    <w:rsid w:val="00FB0E16"/>
    <w:rsid w:val="00FB2150"/>
    <w:rsid w:val="00FC227E"/>
    <w:rsid w:val="00FD16C2"/>
    <w:rsid w:val="00FD3B12"/>
    <w:rsid w:val="00FD488F"/>
    <w:rsid w:val="00FE21CE"/>
    <w:rsid w:val="00FF4007"/>
    <w:rsid w:val="00FF44A6"/>
    <w:rsid w:val="01056A70"/>
    <w:rsid w:val="010B3F91"/>
    <w:rsid w:val="012D5194"/>
    <w:rsid w:val="01666866"/>
    <w:rsid w:val="018C4EA6"/>
    <w:rsid w:val="0192310B"/>
    <w:rsid w:val="01AA1C43"/>
    <w:rsid w:val="01AA23BE"/>
    <w:rsid w:val="01D51CD0"/>
    <w:rsid w:val="02261C75"/>
    <w:rsid w:val="02C127B3"/>
    <w:rsid w:val="03074012"/>
    <w:rsid w:val="034A4966"/>
    <w:rsid w:val="034F32DF"/>
    <w:rsid w:val="035D5D99"/>
    <w:rsid w:val="037105C9"/>
    <w:rsid w:val="0371398B"/>
    <w:rsid w:val="03AB499F"/>
    <w:rsid w:val="03F65646"/>
    <w:rsid w:val="041F620F"/>
    <w:rsid w:val="042F1D30"/>
    <w:rsid w:val="04322547"/>
    <w:rsid w:val="04572B4D"/>
    <w:rsid w:val="047939E1"/>
    <w:rsid w:val="04910C20"/>
    <w:rsid w:val="04BC0C55"/>
    <w:rsid w:val="04EB1A3F"/>
    <w:rsid w:val="04EE3D47"/>
    <w:rsid w:val="04F26DD2"/>
    <w:rsid w:val="04FF2701"/>
    <w:rsid w:val="051D2E38"/>
    <w:rsid w:val="05252895"/>
    <w:rsid w:val="053C610D"/>
    <w:rsid w:val="05605612"/>
    <w:rsid w:val="056E6763"/>
    <w:rsid w:val="058D02DF"/>
    <w:rsid w:val="05982525"/>
    <w:rsid w:val="05A55937"/>
    <w:rsid w:val="062E2963"/>
    <w:rsid w:val="06990C20"/>
    <w:rsid w:val="069E736F"/>
    <w:rsid w:val="06A4695C"/>
    <w:rsid w:val="06D3684A"/>
    <w:rsid w:val="06D81F30"/>
    <w:rsid w:val="070A0C2F"/>
    <w:rsid w:val="07250244"/>
    <w:rsid w:val="07526D9D"/>
    <w:rsid w:val="0755606B"/>
    <w:rsid w:val="076335E6"/>
    <w:rsid w:val="07A96284"/>
    <w:rsid w:val="07F704E9"/>
    <w:rsid w:val="081A6E12"/>
    <w:rsid w:val="08282511"/>
    <w:rsid w:val="082A4DC8"/>
    <w:rsid w:val="084527FD"/>
    <w:rsid w:val="0859127A"/>
    <w:rsid w:val="08771280"/>
    <w:rsid w:val="089022CD"/>
    <w:rsid w:val="089928B2"/>
    <w:rsid w:val="08AA786D"/>
    <w:rsid w:val="08B261AB"/>
    <w:rsid w:val="08C974E1"/>
    <w:rsid w:val="0901478D"/>
    <w:rsid w:val="092724D7"/>
    <w:rsid w:val="09646A93"/>
    <w:rsid w:val="098C375E"/>
    <w:rsid w:val="09AB44F3"/>
    <w:rsid w:val="09B9244E"/>
    <w:rsid w:val="09F140EB"/>
    <w:rsid w:val="0A0D012B"/>
    <w:rsid w:val="0A376299"/>
    <w:rsid w:val="0A923D92"/>
    <w:rsid w:val="0AA64CCA"/>
    <w:rsid w:val="0AFE7F2B"/>
    <w:rsid w:val="0B001B67"/>
    <w:rsid w:val="0B047E97"/>
    <w:rsid w:val="0B074965"/>
    <w:rsid w:val="0B296E49"/>
    <w:rsid w:val="0B6B766B"/>
    <w:rsid w:val="0B7D732A"/>
    <w:rsid w:val="0BC035D0"/>
    <w:rsid w:val="0BEC6FC9"/>
    <w:rsid w:val="0C316622"/>
    <w:rsid w:val="0C96502C"/>
    <w:rsid w:val="0CA13935"/>
    <w:rsid w:val="0D243DB2"/>
    <w:rsid w:val="0D6660EC"/>
    <w:rsid w:val="0D77462C"/>
    <w:rsid w:val="0D8721FC"/>
    <w:rsid w:val="0DC722D4"/>
    <w:rsid w:val="0DD812E7"/>
    <w:rsid w:val="0DE92A53"/>
    <w:rsid w:val="0E0B14EA"/>
    <w:rsid w:val="0E2A73F5"/>
    <w:rsid w:val="0E3B409A"/>
    <w:rsid w:val="0E564847"/>
    <w:rsid w:val="0E825123"/>
    <w:rsid w:val="0EA956C8"/>
    <w:rsid w:val="0EB5788F"/>
    <w:rsid w:val="0EF639D7"/>
    <w:rsid w:val="0EFC05D3"/>
    <w:rsid w:val="0F006CD3"/>
    <w:rsid w:val="0F040782"/>
    <w:rsid w:val="0F1D1B4F"/>
    <w:rsid w:val="0F3B39DF"/>
    <w:rsid w:val="0F4E41F8"/>
    <w:rsid w:val="0F6F1A49"/>
    <w:rsid w:val="0F973F5F"/>
    <w:rsid w:val="0FD436A2"/>
    <w:rsid w:val="0FE777D7"/>
    <w:rsid w:val="104A4D4E"/>
    <w:rsid w:val="107D704B"/>
    <w:rsid w:val="10A7091B"/>
    <w:rsid w:val="10B94AB5"/>
    <w:rsid w:val="10BA67C9"/>
    <w:rsid w:val="10BB28A3"/>
    <w:rsid w:val="10C20237"/>
    <w:rsid w:val="10F86B67"/>
    <w:rsid w:val="10FF04F2"/>
    <w:rsid w:val="11285CF6"/>
    <w:rsid w:val="11357BA7"/>
    <w:rsid w:val="113B0570"/>
    <w:rsid w:val="115D48A3"/>
    <w:rsid w:val="118A28D1"/>
    <w:rsid w:val="11B0307C"/>
    <w:rsid w:val="11C8581E"/>
    <w:rsid w:val="11DD62F7"/>
    <w:rsid w:val="11DF2EC9"/>
    <w:rsid w:val="11E40019"/>
    <w:rsid w:val="11FF23FF"/>
    <w:rsid w:val="120766F1"/>
    <w:rsid w:val="1214125D"/>
    <w:rsid w:val="12471463"/>
    <w:rsid w:val="125A0999"/>
    <w:rsid w:val="127C5518"/>
    <w:rsid w:val="12950CA0"/>
    <w:rsid w:val="12CE0EC9"/>
    <w:rsid w:val="12D933DF"/>
    <w:rsid w:val="131969FF"/>
    <w:rsid w:val="13274ECD"/>
    <w:rsid w:val="134E4915"/>
    <w:rsid w:val="13A0372D"/>
    <w:rsid w:val="13C93ADD"/>
    <w:rsid w:val="13D83537"/>
    <w:rsid w:val="13EC1D85"/>
    <w:rsid w:val="1432478F"/>
    <w:rsid w:val="14324C5D"/>
    <w:rsid w:val="144A4CFB"/>
    <w:rsid w:val="144A7967"/>
    <w:rsid w:val="145B6AA2"/>
    <w:rsid w:val="14684451"/>
    <w:rsid w:val="14A53B10"/>
    <w:rsid w:val="14C64996"/>
    <w:rsid w:val="14FE4C4C"/>
    <w:rsid w:val="15106ECC"/>
    <w:rsid w:val="15605052"/>
    <w:rsid w:val="15AC2754"/>
    <w:rsid w:val="15C03D55"/>
    <w:rsid w:val="15F35C18"/>
    <w:rsid w:val="160B4BA3"/>
    <w:rsid w:val="163F7172"/>
    <w:rsid w:val="164919CB"/>
    <w:rsid w:val="167E2AB5"/>
    <w:rsid w:val="1682764D"/>
    <w:rsid w:val="169C27B6"/>
    <w:rsid w:val="16B3623D"/>
    <w:rsid w:val="16D25371"/>
    <w:rsid w:val="16FF4965"/>
    <w:rsid w:val="17057BCF"/>
    <w:rsid w:val="17240C96"/>
    <w:rsid w:val="173417FD"/>
    <w:rsid w:val="176955CE"/>
    <w:rsid w:val="177E36E8"/>
    <w:rsid w:val="17AD68A5"/>
    <w:rsid w:val="17AF6E4B"/>
    <w:rsid w:val="17F250FC"/>
    <w:rsid w:val="186D361D"/>
    <w:rsid w:val="187B428C"/>
    <w:rsid w:val="188512BA"/>
    <w:rsid w:val="18901D27"/>
    <w:rsid w:val="18FB6815"/>
    <w:rsid w:val="19002883"/>
    <w:rsid w:val="191C0224"/>
    <w:rsid w:val="19217CA0"/>
    <w:rsid w:val="192C469A"/>
    <w:rsid w:val="19AC5722"/>
    <w:rsid w:val="19B40416"/>
    <w:rsid w:val="19BD4970"/>
    <w:rsid w:val="19BE5B07"/>
    <w:rsid w:val="19D559BE"/>
    <w:rsid w:val="19DD0B77"/>
    <w:rsid w:val="1A09609E"/>
    <w:rsid w:val="1A26373C"/>
    <w:rsid w:val="1A3E76E1"/>
    <w:rsid w:val="1A6E64BF"/>
    <w:rsid w:val="1A9911F8"/>
    <w:rsid w:val="1A9F02D6"/>
    <w:rsid w:val="1AA10A1F"/>
    <w:rsid w:val="1AAB01B0"/>
    <w:rsid w:val="1ADE6FB0"/>
    <w:rsid w:val="1AE43667"/>
    <w:rsid w:val="1AE4607D"/>
    <w:rsid w:val="1AF4337D"/>
    <w:rsid w:val="1B107B6E"/>
    <w:rsid w:val="1B17333B"/>
    <w:rsid w:val="1B1E51D2"/>
    <w:rsid w:val="1B2418BC"/>
    <w:rsid w:val="1B254B97"/>
    <w:rsid w:val="1B760A31"/>
    <w:rsid w:val="1B94435F"/>
    <w:rsid w:val="1BB22ACF"/>
    <w:rsid w:val="1BBC15C0"/>
    <w:rsid w:val="1BC86AE5"/>
    <w:rsid w:val="1BCC4EE7"/>
    <w:rsid w:val="1BD17FD8"/>
    <w:rsid w:val="1BF36DB0"/>
    <w:rsid w:val="1C09251A"/>
    <w:rsid w:val="1C0B33C4"/>
    <w:rsid w:val="1C232774"/>
    <w:rsid w:val="1C31439C"/>
    <w:rsid w:val="1C5132D6"/>
    <w:rsid w:val="1C9118A9"/>
    <w:rsid w:val="1CE204D7"/>
    <w:rsid w:val="1D153AC9"/>
    <w:rsid w:val="1D754840"/>
    <w:rsid w:val="1D825FF8"/>
    <w:rsid w:val="1D915F12"/>
    <w:rsid w:val="1DB17C70"/>
    <w:rsid w:val="1DD173BE"/>
    <w:rsid w:val="1DE440A9"/>
    <w:rsid w:val="1E0E40A9"/>
    <w:rsid w:val="1E842FCE"/>
    <w:rsid w:val="1E892FE2"/>
    <w:rsid w:val="1E926D81"/>
    <w:rsid w:val="1EE000B5"/>
    <w:rsid w:val="1F041527"/>
    <w:rsid w:val="1F356AEA"/>
    <w:rsid w:val="1F431248"/>
    <w:rsid w:val="1F501827"/>
    <w:rsid w:val="1F5311D5"/>
    <w:rsid w:val="1F830030"/>
    <w:rsid w:val="1F933BB5"/>
    <w:rsid w:val="1F9D0018"/>
    <w:rsid w:val="1FDB73D4"/>
    <w:rsid w:val="1FE87FC3"/>
    <w:rsid w:val="1FF82764"/>
    <w:rsid w:val="20574FC1"/>
    <w:rsid w:val="206A481D"/>
    <w:rsid w:val="207A6457"/>
    <w:rsid w:val="20AE4358"/>
    <w:rsid w:val="20FD17BA"/>
    <w:rsid w:val="210A2EDF"/>
    <w:rsid w:val="21241CB6"/>
    <w:rsid w:val="21437918"/>
    <w:rsid w:val="21644539"/>
    <w:rsid w:val="21A13C73"/>
    <w:rsid w:val="21A37CF2"/>
    <w:rsid w:val="21A57DC7"/>
    <w:rsid w:val="21B75AB7"/>
    <w:rsid w:val="22137E2C"/>
    <w:rsid w:val="22231DAD"/>
    <w:rsid w:val="22245691"/>
    <w:rsid w:val="222824A0"/>
    <w:rsid w:val="224A79AC"/>
    <w:rsid w:val="227E659F"/>
    <w:rsid w:val="228A54E8"/>
    <w:rsid w:val="22C757C0"/>
    <w:rsid w:val="22F6566B"/>
    <w:rsid w:val="23215456"/>
    <w:rsid w:val="236A48D6"/>
    <w:rsid w:val="23D872E5"/>
    <w:rsid w:val="23DE316A"/>
    <w:rsid w:val="23E437B6"/>
    <w:rsid w:val="23FF4120"/>
    <w:rsid w:val="24136E4B"/>
    <w:rsid w:val="24202624"/>
    <w:rsid w:val="242A6F83"/>
    <w:rsid w:val="243C5E4C"/>
    <w:rsid w:val="2449176B"/>
    <w:rsid w:val="24915102"/>
    <w:rsid w:val="24B53B83"/>
    <w:rsid w:val="24E07A0D"/>
    <w:rsid w:val="250B2128"/>
    <w:rsid w:val="25204DD5"/>
    <w:rsid w:val="254F7ECA"/>
    <w:rsid w:val="255F6875"/>
    <w:rsid w:val="25623CEE"/>
    <w:rsid w:val="2588130B"/>
    <w:rsid w:val="258C1540"/>
    <w:rsid w:val="25B51CC8"/>
    <w:rsid w:val="25CB16AE"/>
    <w:rsid w:val="25FA53A5"/>
    <w:rsid w:val="26DF7301"/>
    <w:rsid w:val="26EB48CE"/>
    <w:rsid w:val="27011535"/>
    <w:rsid w:val="27172DD9"/>
    <w:rsid w:val="274F52EB"/>
    <w:rsid w:val="27805BF2"/>
    <w:rsid w:val="27886638"/>
    <w:rsid w:val="27C042AC"/>
    <w:rsid w:val="27FE22C9"/>
    <w:rsid w:val="2828176C"/>
    <w:rsid w:val="283103CC"/>
    <w:rsid w:val="284C16F2"/>
    <w:rsid w:val="28831AEC"/>
    <w:rsid w:val="288863A3"/>
    <w:rsid w:val="28B378D7"/>
    <w:rsid w:val="28D3685E"/>
    <w:rsid w:val="28EC4CDF"/>
    <w:rsid w:val="28F50A40"/>
    <w:rsid w:val="29055D46"/>
    <w:rsid w:val="29615532"/>
    <w:rsid w:val="298C3EBC"/>
    <w:rsid w:val="29DF1792"/>
    <w:rsid w:val="29E25849"/>
    <w:rsid w:val="29F0066C"/>
    <w:rsid w:val="2A0B1D9C"/>
    <w:rsid w:val="2A78794A"/>
    <w:rsid w:val="2AE53D12"/>
    <w:rsid w:val="2AFA036B"/>
    <w:rsid w:val="2B287A21"/>
    <w:rsid w:val="2B395632"/>
    <w:rsid w:val="2B3967A5"/>
    <w:rsid w:val="2B436D41"/>
    <w:rsid w:val="2B896A0E"/>
    <w:rsid w:val="2B915A10"/>
    <w:rsid w:val="2BB77849"/>
    <w:rsid w:val="2BF76B01"/>
    <w:rsid w:val="2C250106"/>
    <w:rsid w:val="2C3E1CCB"/>
    <w:rsid w:val="2C4E6374"/>
    <w:rsid w:val="2CB4331D"/>
    <w:rsid w:val="2CD0052F"/>
    <w:rsid w:val="2D16523A"/>
    <w:rsid w:val="2D195237"/>
    <w:rsid w:val="2D5202CE"/>
    <w:rsid w:val="2D6C204E"/>
    <w:rsid w:val="2D7E6ED7"/>
    <w:rsid w:val="2D9108BC"/>
    <w:rsid w:val="2DEA7B0F"/>
    <w:rsid w:val="2E006872"/>
    <w:rsid w:val="2E012089"/>
    <w:rsid w:val="2E204920"/>
    <w:rsid w:val="2E2C3516"/>
    <w:rsid w:val="2E4D2AED"/>
    <w:rsid w:val="2EB12802"/>
    <w:rsid w:val="2EC80AFA"/>
    <w:rsid w:val="2F183291"/>
    <w:rsid w:val="2F2C501D"/>
    <w:rsid w:val="2F4275F1"/>
    <w:rsid w:val="2F64797D"/>
    <w:rsid w:val="2F7946CF"/>
    <w:rsid w:val="2F7C077B"/>
    <w:rsid w:val="2F7C3FB8"/>
    <w:rsid w:val="2FC707A6"/>
    <w:rsid w:val="2FD727F1"/>
    <w:rsid w:val="306946C2"/>
    <w:rsid w:val="306A2819"/>
    <w:rsid w:val="308E7F5B"/>
    <w:rsid w:val="30AC24FB"/>
    <w:rsid w:val="30C47D6B"/>
    <w:rsid w:val="30C61539"/>
    <w:rsid w:val="310C5EB9"/>
    <w:rsid w:val="3115156A"/>
    <w:rsid w:val="31363701"/>
    <w:rsid w:val="31B26CC9"/>
    <w:rsid w:val="31E65EE4"/>
    <w:rsid w:val="31F01947"/>
    <w:rsid w:val="320031CE"/>
    <w:rsid w:val="3223395F"/>
    <w:rsid w:val="324F00EB"/>
    <w:rsid w:val="324F2031"/>
    <w:rsid w:val="32533C1F"/>
    <w:rsid w:val="32760543"/>
    <w:rsid w:val="32B877CA"/>
    <w:rsid w:val="33002C4F"/>
    <w:rsid w:val="3306434A"/>
    <w:rsid w:val="333E2197"/>
    <w:rsid w:val="3344295D"/>
    <w:rsid w:val="3361737A"/>
    <w:rsid w:val="337A0D45"/>
    <w:rsid w:val="33B16FAC"/>
    <w:rsid w:val="33BB61D6"/>
    <w:rsid w:val="34A52437"/>
    <w:rsid w:val="34EC57CC"/>
    <w:rsid w:val="34FD172D"/>
    <w:rsid w:val="35292A95"/>
    <w:rsid w:val="3536453E"/>
    <w:rsid w:val="355B4635"/>
    <w:rsid w:val="359A66B5"/>
    <w:rsid w:val="35DD1998"/>
    <w:rsid w:val="360F0E66"/>
    <w:rsid w:val="36161F93"/>
    <w:rsid w:val="363F411E"/>
    <w:rsid w:val="36587505"/>
    <w:rsid w:val="368600C9"/>
    <w:rsid w:val="36933FDF"/>
    <w:rsid w:val="370F11C7"/>
    <w:rsid w:val="375847F2"/>
    <w:rsid w:val="375918E0"/>
    <w:rsid w:val="376A314B"/>
    <w:rsid w:val="377621B5"/>
    <w:rsid w:val="378F0B9C"/>
    <w:rsid w:val="37A7160D"/>
    <w:rsid w:val="37AD5B1E"/>
    <w:rsid w:val="37E05EB7"/>
    <w:rsid w:val="3830544C"/>
    <w:rsid w:val="38385096"/>
    <w:rsid w:val="385E698E"/>
    <w:rsid w:val="38611A80"/>
    <w:rsid w:val="386B726B"/>
    <w:rsid w:val="387270F4"/>
    <w:rsid w:val="38EA774A"/>
    <w:rsid w:val="39081937"/>
    <w:rsid w:val="393C4BB9"/>
    <w:rsid w:val="394B03BD"/>
    <w:rsid w:val="39973DEC"/>
    <w:rsid w:val="39AE37D8"/>
    <w:rsid w:val="39CD78E8"/>
    <w:rsid w:val="39E02538"/>
    <w:rsid w:val="39E6113B"/>
    <w:rsid w:val="39F17CE8"/>
    <w:rsid w:val="39FB0DAF"/>
    <w:rsid w:val="39FD5B8E"/>
    <w:rsid w:val="3A1B737D"/>
    <w:rsid w:val="3B26241F"/>
    <w:rsid w:val="3B760A59"/>
    <w:rsid w:val="3B77403E"/>
    <w:rsid w:val="3BCE66F6"/>
    <w:rsid w:val="3C7B415A"/>
    <w:rsid w:val="3C8B76D4"/>
    <w:rsid w:val="3D996BA1"/>
    <w:rsid w:val="3DEE0F05"/>
    <w:rsid w:val="3E0A2B35"/>
    <w:rsid w:val="3E640F1F"/>
    <w:rsid w:val="3E647F35"/>
    <w:rsid w:val="3E777553"/>
    <w:rsid w:val="3E9C0CC1"/>
    <w:rsid w:val="3EB97CD7"/>
    <w:rsid w:val="3F012DE3"/>
    <w:rsid w:val="3F143335"/>
    <w:rsid w:val="3F3B486C"/>
    <w:rsid w:val="3F5F4038"/>
    <w:rsid w:val="3F9E2590"/>
    <w:rsid w:val="3FE652A3"/>
    <w:rsid w:val="3FF43602"/>
    <w:rsid w:val="400715EF"/>
    <w:rsid w:val="40344105"/>
    <w:rsid w:val="4037657C"/>
    <w:rsid w:val="40763342"/>
    <w:rsid w:val="408E5936"/>
    <w:rsid w:val="40B10125"/>
    <w:rsid w:val="40F234D0"/>
    <w:rsid w:val="4117527D"/>
    <w:rsid w:val="411D3327"/>
    <w:rsid w:val="41425C8C"/>
    <w:rsid w:val="416872C7"/>
    <w:rsid w:val="41D71A2C"/>
    <w:rsid w:val="42571A68"/>
    <w:rsid w:val="42584FC8"/>
    <w:rsid w:val="42903EBE"/>
    <w:rsid w:val="42C360A1"/>
    <w:rsid w:val="42F600DF"/>
    <w:rsid w:val="43032562"/>
    <w:rsid w:val="43704D00"/>
    <w:rsid w:val="438C21FC"/>
    <w:rsid w:val="43964F4A"/>
    <w:rsid w:val="43B0333E"/>
    <w:rsid w:val="43E13F11"/>
    <w:rsid w:val="446C20B0"/>
    <w:rsid w:val="44A12C92"/>
    <w:rsid w:val="44FD32EB"/>
    <w:rsid w:val="44FF211C"/>
    <w:rsid w:val="451C1CE7"/>
    <w:rsid w:val="4560759A"/>
    <w:rsid w:val="457F1551"/>
    <w:rsid w:val="45BC7AD5"/>
    <w:rsid w:val="45F43A36"/>
    <w:rsid w:val="463C4ABA"/>
    <w:rsid w:val="46431309"/>
    <w:rsid w:val="465056FD"/>
    <w:rsid w:val="4651476F"/>
    <w:rsid w:val="46971412"/>
    <w:rsid w:val="46C6665D"/>
    <w:rsid w:val="46FF6D70"/>
    <w:rsid w:val="47006912"/>
    <w:rsid w:val="472E081D"/>
    <w:rsid w:val="47397584"/>
    <w:rsid w:val="47461D06"/>
    <w:rsid w:val="475C7B01"/>
    <w:rsid w:val="47876ABD"/>
    <w:rsid w:val="47E655A4"/>
    <w:rsid w:val="47EF2F4C"/>
    <w:rsid w:val="48156942"/>
    <w:rsid w:val="484F26D7"/>
    <w:rsid w:val="48545643"/>
    <w:rsid w:val="48576274"/>
    <w:rsid w:val="48CF6CDA"/>
    <w:rsid w:val="48D41B91"/>
    <w:rsid w:val="490B71F5"/>
    <w:rsid w:val="49145A0C"/>
    <w:rsid w:val="49151B19"/>
    <w:rsid w:val="492130EF"/>
    <w:rsid w:val="49392E60"/>
    <w:rsid w:val="493B6BEC"/>
    <w:rsid w:val="494738BD"/>
    <w:rsid w:val="498B6E8B"/>
    <w:rsid w:val="49AA5C14"/>
    <w:rsid w:val="49C01AAD"/>
    <w:rsid w:val="49C51AD2"/>
    <w:rsid w:val="49C77E2F"/>
    <w:rsid w:val="4A0B4320"/>
    <w:rsid w:val="4A5B106D"/>
    <w:rsid w:val="4A95289C"/>
    <w:rsid w:val="4AC52564"/>
    <w:rsid w:val="4AC92ECE"/>
    <w:rsid w:val="4ACD0A2D"/>
    <w:rsid w:val="4ACE0228"/>
    <w:rsid w:val="4B35591B"/>
    <w:rsid w:val="4B3B4A75"/>
    <w:rsid w:val="4B8D460D"/>
    <w:rsid w:val="4BF82CCF"/>
    <w:rsid w:val="4C0C1DC5"/>
    <w:rsid w:val="4C2E4DC3"/>
    <w:rsid w:val="4C373B15"/>
    <w:rsid w:val="4C3E49F8"/>
    <w:rsid w:val="4C5510A0"/>
    <w:rsid w:val="4C697AD2"/>
    <w:rsid w:val="4CC04926"/>
    <w:rsid w:val="4D123923"/>
    <w:rsid w:val="4D4F24CB"/>
    <w:rsid w:val="4D586ECE"/>
    <w:rsid w:val="4D6F4A2B"/>
    <w:rsid w:val="4D7D7C00"/>
    <w:rsid w:val="4D9D44D6"/>
    <w:rsid w:val="4DA42059"/>
    <w:rsid w:val="4DC22589"/>
    <w:rsid w:val="4DC27109"/>
    <w:rsid w:val="4DD17F34"/>
    <w:rsid w:val="4DE50586"/>
    <w:rsid w:val="4DEB1161"/>
    <w:rsid w:val="4E2A5475"/>
    <w:rsid w:val="4E2D415D"/>
    <w:rsid w:val="4E3D5808"/>
    <w:rsid w:val="4E680B8B"/>
    <w:rsid w:val="4E734357"/>
    <w:rsid w:val="4EAC118C"/>
    <w:rsid w:val="4EB4663A"/>
    <w:rsid w:val="4F2F4DE5"/>
    <w:rsid w:val="4F396120"/>
    <w:rsid w:val="4F504579"/>
    <w:rsid w:val="4F832F9A"/>
    <w:rsid w:val="4F9D4F65"/>
    <w:rsid w:val="4FBF1C42"/>
    <w:rsid w:val="4FDD3801"/>
    <w:rsid w:val="4FE179B6"/>
    <w:rsid w:val="4FE92006"/>
    <w:rsid w:val="5025682A"/>
    <w:rsid w:val="503D3F91"/>
    <w:rsid w:val="50A52690"/>
    <w:rsid w:val="50C62F8C"/>
    <w:rsid w:val="50E70BF6"/>
    <w:rsid w:val="510C53DB"/>
    <w:rsid w:val="514C197E"/>
    <w:rsid w:val="51641882"/>
    <w:rsid w:val="5168677A"/>
    <w:rsid w:val="51C36C93"/>
    <w:rsid w:val="51E45748"/>
    <w:rsid w:val="51F16483"/>
    <w:rsid w:val="520D653E"/>
    <w:rsid w:val="527028C3"/>
    <w:rsid w:val="52AC0A73"/>
    <w:rsid w:val="52B551DF"/>
    <w:rsid w:val="52BD6365"/>
    <w:rsid w:val="52C76698"/>
    <w:rsid w:val="52CB3649"/>
    <w:rsid w:val="52F10F22"/>
    <w:rsid w:val="52FB27A8"/>
    <w:rsid w:val="52FE12FD"/>
    <w:rsid w:val="530049E4"/>
    <w:rsid w:val="5352257C"/>
    <w:rsid w:val="538D6AEB"/>
    <w:rsid w:val="53C3779D"/>
    <w:rsid w:val="53CB7CBE"/>
    <w:rsid w:val="540D4C16"/>
    <w:rsid w:val="540E7DDD"/>
    <w:rsid w:val="54121883"/>
    <w:rsid w:val="545C391C"/>
    <w:rsid w:val="5482032E"/>
    <w:rsid w:val="54DC1B9C"/>
    <w:rsid w:val="54F51514"/>
    <w:rsid w:val="54FC4602"/>
    <w:rsid w:val="56270015"/>
    <w:rsid w:val="563815A8"/>
    <w:rsid w:val="56464E5B"/>
    <w:rsid w:val="564C0249"/>
    <w:rsid w:val="567A2CAF"/>
    <w:rsid w:val="569E65DF"/>
    <w:rsid w:val="56B31640"/>
    <w:rsid w:val="56B75A7A"/>
    <w:rsid w:val="56B872D1"/>
    <w:rsid w:val="56FD607D"/>
    <w:rsid w:val="570F6AEB"/>
    <w:rsid w:val="571559B1"/>
    <w:rsid w:val="57200AD3"/>
    <w:rsid w:val="57264FC6"/>
    <w:rsid w:val="572F0381"/>
    <w:rsid w:val="57422BC4"/>
    <w:rsid w:val="575811DD"/>
    <w:rsid w:val="579B1240"/>
    <w:rsid w:val="57A575CA"/>
    <w:rsid w:val="57A86471"/>
    <w:rsid w:val="581A12F1"/>
    <w:rsid w:val="58651740"/>
    <w:rsid w:val="589D0520"/>
    <w:rsid w:val="59001A66"/>
    <w:rsid w:val="59156250"/>
    <w:rsid w:val="595D2544"/>
    <w:rsid w:val="598A2C4F"/>
    <w:rsid w:val="59D36DE1"/>
    <w:rsid w:val="5A2B5664"/>
    <w:rsid w:val="5A33533B"/>
    <w:rsid w:val="5A611857"/>
    <w:rsid w:val="5A777C5B"/>
    <w:rsid w:val="5A8C31CC"/>
    <w:rsid w:val="5AB71156"/>
    <w:rsid w:val="5ABA3EA0"/>
    <w:rsid w:val="5AF765EC"/>
    <w:rsid w:val="5B2F3D03"/>
    <w:rsid w:val="5B3901F6"/>
    <w:rsid w:val="5B541813"/>
    <w:rsid w:val="5B6214F4"/>
    <w:rsid w:val="5B736859"/>
    <w:rsid w:val="5B7B0572"/>
    <w:rsid w:val="5B952A9A"/>
    <w:rsid w:val="5C142E39"/>
    <w:rsid w:val="5C1A39A5"/>
    <w:rsid w:val="5C337A27"/>
    <w:rsid w:val="5C384E82"/>
    <w:rsid w:val="5C6D0ECE"/>
    <w:rsid w:val="5C926742"/>
    <w:rsid w:val="5CB96BFF"/>
    <w:rsid w:val="5CC73F13"/>
    <w:rsid w:val="5CCF27C6"/>
    <w:rsid w:val="5CDB5C8B"/>
    <w:rsid w:val="5D1D7307"/>
    <w:rsid w:val="5D4A5D14"/>
    <w:rsid w:val="5D545840"/>
    <w:rsid w:val="5D6D3389"/>
    <w:rsid w:val="5D706D81"/>
    <w:rsid w:val="5D887F82"/>
    <w:rsid w:val="5DA9396C"/>
    <w:rsid w:val="5E030215"/>
    <w:rsid w:val="5E2B5B78"/>
    <w:rsid w:val="5E414989"/>
    <w:rsid w:val="5E676CCE"/>
    <w:rsid w:val="5E6B6D2A"/>
    <w:rsid w:val="5E6F0DE6"/>
    <w:rsid w:val="5E9A2625"/>
    <w:rsid w:val="5E9C378D"/>
    <w:rsid w:val="5EA07009"/>
    <w:rsid w:val="5EAE7F8D"/>
    <w:rsid w:val="5ECC0FD0"/>
    <w:rsid w:val="5EEF0274"/>
    <w:rsid w:val="5F2932A1"/>
    <w:rsid w:val="5F5B17B0"/>
    <w:rsid w:val="5F890370"/>
    <w:rsid w:val="5F945A73"/>
    <w:rsid w:val="5F9F62E4"/>
    <w:rsid w:val="5FAA40A5"/>
    <w:rsid w:val="5FAE2707"/>
    <w:rsid w:val="5FAF1590"/>
    <w:rsid w:val="5FC300CE"/>
    <w:rsid w:val="60102A4F"/>
    <w:rsid w:val="605F7354"/>
    <w:rsid w:val="60D21207"/>
    <w:rsid w:val="60D82F1A"/>
    <w:rsid w:val="60EA080B"/>
    <w:rsid w:val="60F0555F"/>
    <w:rsid w:val="60F43775"/>
    <w:rsid w:val="61607282"/>
    <w:rsid w:val="616D08F1"/>
    <w:rsid w:val="617B02EF"/>
    <w:rsid w:val="61835E9A"/>
    <w:rsid w:val="61BF3545"/>
    <w:rsid w:val="62072E0E"/>
    <w:rsid w:val="62331C0E"/>
    <w:rsid w:val="623E634F"/>
    <w:rsid w:val="62452235"/>
    <w:rsid w:val="626B640F"/>
    <w:rsid w:val="627F69CB"/>
    <w:rsid w:val="62906199"/>
    <w:rsid w:val="62B702D6"/>
    <w:rsid w:val="62CE6DAE"/>
    <w:rsid w:val="63515BB4"/>
    <w:rsid w:val="635E7690"/>
    <w:rsid w:val="63751B5B"/>
    <w:rsid w:val="637D7D46"/>
    <w:rsid w:val="639D32C3"/>
    <w:rsid w:val="63BE6B90"/>
    <w:rsid w:val="63C35793"/>
    <w:rsid w:val="63F2447C"/>
    <w:rsid w:val="63F959FA"/>
    <w:rsid w:val="643A444F"/>
    <w:rsid w:val="643F2115"/>
    <w:rsid w:val="6446272E"/>
    <w:rsid w:val="64777F6C"/>
    <w:rsid w:val="648B13FE"/>
    <w:rsid w:val="64A82A3A"/>
    <w:rsid w:val="64E36098"/>
    <w:rsid w:val="64FD0A24"/>
    <w:rsid w:val="65041B65"/>
    <w:rsid w:val="650D0293"/>
    <w:rsid w:val="651463D6"/>
    <w:rsid w:val="65A02122"/>
    <w:rsid w:val="65C50563"/>
    <w:rsid w:val="65E40ADB"/>
    <w:rsid w:val="65F82A87"/>
    <w:rsid w:val="66046B9C"/>
    <w:rsid w:val="662D1214"/>
    <w:rsid w:val="66AD3559"/>
    <w:rsid w:val="66C112FB"/>
    <w:rsid w:val="66DA55B7"/>
    <w:rsid w:val="66DC561D"/>
    <w:rsid w:val="66E07B28"/>
    <w:rsid w:val="66E90B04"/>
    <w:rsid w:val="66EF297F"/>
    <w:rsid w:val="675C2408"/>
    <w:rsid w:val="678C09FA"/>
    <w:rsid w:val="679B3E77"/>
    <w:rsid w:val="67E27804"/>
    <w:rsid w:val="67EC5428"/>
    <w:rsid w:val="67F916CB"/>
    <w:rsid w:val="68145B93"/>
    <w:rsid w:val="68164A71"/>
    <w:rsid w:val="681F6C80"/>
    <w:rsid w:val="68237BA5"/>
    <w:rsid w:val="683A376D"/>
    <w:rsid w:val="68A1766E"/>
    <w:rsid w:val="68A8725D"/>
    <w:rsid w:val="68AF7698"/>
    <w:rsid w:val="68E5771D"/>
    <w:rsid w:val="69055312"/>
    <w:rsid w:val="692D577E"/>
    <w:rsid w:val="69EC6256"/>
    <w:rsid w:val="6A336852"/>
    <w:rsid w:val="6AC14E84"/>
    <w:rsid w:val="6AEA67CA"/>
    <w:rsid w:val="6AF27C76"/>
    <w:rsid w:val="6B0255AC"/>
    <w:rsid w:val="6B1A02CA"/>
    <w:rsid w:val="6B3C49B1"/>
    <w:rsid w:val="6B485120"/>
    <w:rsid w:val="6B652055"/>
    <w:rsid w:val="6B77190B"/>
    <w:rsid w:val="6B940742"/>
    <w:rsid w:val="6B9F26A7"/>
    <w:rsid w:val="6BA91109"/>
    <w:rsid w:val="6BCB375D"/>
    <w:rsid w:val="6C350A91"/>
    <w:rsid w:val="6C4F6E2B"/>
    <w:rsid w:val="6C6E1809"/>
    <w:rsid w:val="6C755B6E"/>
    <w:rsid w:val="6C7721C5"/>
    <w:rsid w:val="6CA30658"/>
    <w:rsid w:val="6CA960C0"/>
    <w:rsid w:val="6CAC53CD"/>
    <w:rsid w:val="6CF07FE0"/>
    <w:rsid w:val="6DC065AD"/>
    <w:rsid w:val="6E014B09"/>
    <w:rsid w:val="6E373199"/>
    <w:rsid w:val="6E6F621B"/>
    <w:rsid w:val="6E9C4FAD"/>
    <w:rsid w:val="6EA74E61"/>
    <w:rsid w:val="6F1B3DDC"/>
    <w:rsid w:val="6F227A50"/>
    <w:rsid w:val="6F280F2F"/>
    <w:rsid w:val="6F311465"/>
    <w:rsid w:val="6F39696B"/>
    <w:rsid w:val="6F6E3E35"/>
    <w:rsid w:val="6F8B07D6"/>
    <w:rsid w:val="6FAC0464"/>
    <w:rsid w:val="6FF27C0C"/>
    <w:rsid w:val="6FF915BC"/>
    <w:rsid w:val="701805B6"/>
    <w:rsid w:val="701E4CF0"/>
    <w:rsid w:val="703D1A3A"/>
    <w:rsid w:val="70A52D1D"/>
    <w:rsid w:val="70C67435"/>
    <w:rsid w:val="71337872"/>
    <w:rsid w:val="714A64F0"/>
    <w:rsid w:val="71A125FC"/>
    <w:rsid w:val="71A71C5C"/>
    <w:rsid w:val="71C2203C"/>
    <w:rsid w:val="71E25CE0"/>
    <w:rsid w:val="720D3798"/>
    <w:rsid w:val="721F3EF8"/>
    <w:rsid w:val="72431BE1"/>
    <w:rsid w:val="727E124F"/>
    <w:rsid w:val="72933A8A"/>
    <w:rsid w:val="72AD2216"/>
    <w:rsid w:val="73306260"/>
    <w:rsid w:val="738152A9"/>
    <w:rsid w:val="73B26E73"/>
    <w:rsid w:val="73D27A0B"/>
    <w:rsid w:val="73E832E5"/>
    <w:rsid w:val="73F156AF"/>
    <w:rsid w:val="73F9511E"/>
    <w:rsid w:val="743E2AE2"/>
    <w:rsid w:val="744B7451"/>
    <w:rsid w:val="745945B9"/>
    <w:rsid w:val="746B3AB6"/>
    <w:rsid w:val="74745699"/>
    <w:rsid w:val="74E62171"/>
    <w:rsid w:val="74F328AE"/>
    <w:rsid w:val="74F83092"/>
    <w:rsid w:val="750632E2"/>
    <w:rsid w:val="75183E56"/>
    <w:rsid w:val="752A66D4"/>
    <w:rsid w:val="758B5078"/>
    <w:rsid w:val="75903E2B"/>
    <w:rsid w:val="75AC173C"/>
    <w:rsid w:val="75AC31FB"/>
    <w:rsid w:val="75E915AC"/>
    <w:rsid w:val="760003C7"/>
    <w:rsid w:val="7614095D"/>
    <w:rsid w:val="764C255D"/>
    <w:rsid w:val="76544772"/>
    <w:rsid w:val="767B1FEC"/>
    <w:rsid w:val="76D942E2"/>
    <w:rsid w:val="773C4F51"/>
    <w:rsid w:val="77497400"/>
    <w:rsid w:val="77655C4D"/>
    <w:rsid w:val="77935CDB"/>
    <w:rsid w:val="77946541"/>
    <w:rsid w:val="77C96A4A"/>
    <w:rsid w:val="781D07ED"/>
    <w:rsid w:val="78256E14"/>
    <w:rsid w:val="782F6AA7"/>
    <w:rsid w:val="783D2635"/>
    <w:rsid w:val="78960FA1"/>
    <w:rsid w:val="789D5E19"/>
    <w:rsid w:val="78A217CB"/>
    <w:rsid w:val="78BA1D6B"/>
    <w:rsid w:val="78C6284C"/>
    <w:rsid w:val="78D9463B"/>
    <w:rsid w:val="79111B1D"/>
    <w:rsid w:val="79115172"/>
    <w:rsid w:val="794C420E"/>
    <w:rsid w:val="79743A7D"/>
    <w:rsid w:val="79846617"/>
    <w:rsid w:val="79856904"/>
    <w:rsid w:val="79A40CFA"/>
    <w:rsid w:val="79EF5B7A"/>
    <w:rsid w:val="79F64D61"/>
    <w:rsid w:val="7A1303CB"/>
    <w:rsid w:val="7A575DA0"/>
    <w:rsid w:val="7A587FFA"/>
    <w:rsid w:val="7A61493D"/>
    <w:rsid w:val="7A671886"/>
    <w:rsid w:val="7A9A03BC"/>
    <w:rsid w:val="7AA5322A"/>
    <w:rsid w:val="7AB53F30"/>
    <w:rsid w:val="7ABC4760"/>
    <w:rsid w:val="7AF56099"/>
    <w:rsid w:val="7B247CBC"/>
    <w:rsid w:val="7B291A3C"/>
    <w:rsid w:val="7B2E368C"/>
    <w:rsid w:val="7B3345F1"/>
    <w:rsid w:val="7B5F3590"/>
    <w:rsid w:val="7B6164D1"/>
    <w:rsid w:val="7B820322"/>
    <w:rsid w:val="7B993F1F"/>
    <w:rsid w:val="7BB717B8"/>
    <w:rsid w:val="7BBC02B4"/>
    <w:rsid w:val="7C33168B"/>
    <w:rsid w:val="7C5F70E3"/>
    <w:rsid w:val="7CB67147"/>
    <w:rsid w:val="7D4922C1"/>
    <w:rsid w:val="7DA8445F"/>
    <w:rsid w:val="7DCA761F"/>
    <w:rsid w:val="7DDF642C"/>
    <w:rsid w:val="7DE81B9F"/>
    <w:rsid w:val="7DEF4B2C"/>
    <w:rsid w:val="7E4208BE"/>
    <w:rsid w:val="7E63027B"/>
    <w:rsid w:val="7E753EB3"/>
    <w:rsid w:val="7E7B2D8C"/>
    <w:rsid w:val="7E9E291C"/>
    <w:rsid w:val="7EB01025"/>
    <w:rsid w:val="7EB37FDB"/>
    <w:rsid w:val="7F124D34"/>
    <w:rsid w:val="7F19075B"/>
    <w:rsid w:val="7F272AF3"/>
    <w:rsid w:val="7F35381E"/>
    <w:rsid w:val="7F5836FF"/>
    <w:rsid w:val="7F5A646D"/>
    <w:rsid w:val="7F662C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6"/>
    <w:qFormat/>
    <w:uiPriority w:val="0"/>
    <w:pPr>
      <w:keepNext/>
      <w:jc w:val="center"/>
      <w:outlineLvl w:val="0"/>
    </w:pPr>
    <w:rPr>
      <w:rFonts w:ascii="Times New Roman" w:hAnsi="Times New Roman" w:eastAsia="黑体"/>
      <w:b/>
      <w:bCs/>
      <w:sz w:val="32"/>
      <w:szCs w:val="20"/>
    </w:rPr>
  </w:style>
  <w:style w:type="paragraph" w:styleId="3">
    <w:name w:val="heading 2"/>
    <w:basedOn w:val="1"/>
    <w:next w:val="1"/>
    <w:link w:val="232"/>
    <w:qFormat/>
    <w:uiPriority w:val="0"/>
    <w:pPr>
      <w:keepNext/>
      <w:keepLines/>
      <w:spacing w:line="360" w:lineRule="auto"/>
      <w:outlineLvl w:val="1"/>
    </w:pPr>
    <w:rPr>
      <w:rFonts w:ascii="Arial" w:hAnsi="Arial"/>
      <w:b/>
      <w:bCs/>
      <w:sz w:val="24"/>
      <w:szCs w:val="32"/>
    </w:rPr>
  </w:style>
  <w:style w:type="paragraph" w:styleId="4">
    <w:name w:val="heading 3"/>
    <w:basedOn w:val="1"/>
    <w:next w:val="1"/>
    <w:link w:val="176"/>
    <w:qFormat/>
    <w:uiPriority w:val="0"/>
    <w:pPr>
      <w:keepNext/>
      <w:keepLines/>
      <w:spacing w:before="260" w:after="260" w:line="416" w:lineRule="auto"/>
      <w:outlineLvl w:val="2"/>
    </w:pPr>
    <w:rPr>
      <w:b/>
      <w:bCs/>
      <w:sz w:val="32"/>
      <w:szCs w:val="32"/>
    </w:rPr>
  </w:style>
  <w:style w:type="paragraph" w:styleId="5">
    <w:name w:val="heading 4"/>
    <w:basedOn w:val="1"/>
    <w:next w:val="1"/>
    <w:link w:val="2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4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18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257"/>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25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24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3">
    <w:name w:val="Default Paragraph Font"/>
    <w:semiHidden/>
    <w:qFormat/>
    <w:uiPriority w:val="0"/>
  </w:style>
  <w:style w:type="table" w:default="1" w:styleId="41">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semiHidden/>
    <w:qFormat/>
    <w:uiPriority w:val="0"/>
    <w:pPr>
      <w:shd w:val="clear" w:color="auto" w:fill="000080"/>
    </w:pPr>
  </w:style>
  <w:style w:type="paragraph" w:styleId="14">
    <w:name w:val="annotation text"/>
    <w:basedOn w:val="1"/>
    <w:link w:val="192"/>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qFormat/>
    <w:uiPriority w:val="0"/>
    <w:pPr>
      <w:spacing w:after="120"/>
    </w:pPr>
  </w:style>
  <w:style w:type="paragraph" w:styleId="18">
    <w:name w:val="Body Text Indent"/>
    <w:basedOn w:val="1"/>
    <w:link w:val="185"/>
    <w:qFormat/>
    <w:uiPriority w:val="0"/>
    <w:pPr>
      <w:spacing w:after="120"/>
      <w:ind w:left="420" w:leftChars="20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260"/>
    <w:qFormat/>
    <w:uiPriority w:val="0"/>
    <w:rPr>
      <w:rFonts w:ascii="宋体" w:hAnsi="Courier New" w:cs="Courier New"/>
      <w:szCs w:val="21"/>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215"/>
    <w:qFormat/>
    <w:uiPriority w:val="0"/>
    <w:rPr>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220"/>
    <w:qFormat/>
    <w:uiPriority w:val="0"/>
    <w:rPr>
      <w:rFonts w:ascii="Calibri" w:hAnsi="Calibri"/>
      <w:sz w:val="18"/>
      <w:szCs w:val="18"/>
    </w:rPr>
  </w:style>
  <w:style w:type="paragraph" w:styleId="27">
    <w:name w:val="footer"/>
    <w:basedOn w:val="1"/>
    <w:link w:val="244"/>
    <w:qFormat/>
    <w:uiPriority w:val="0"/>
    <w:pPr>
      <w:tabs>
        <w:tab w:val="center" w:pos="4153"/>
        <w:tab w:val="right" w:pos="8306"/>
      </w:tabs>
      <w:snapToGrid w:val="0"/>
      <w:jc w:val="left"/>
    </w:pPr>
    <w:rPr>
      <w:sz w:val="18"/>
      <w:szCs w:val="18"/>
    </w:rPr>
  </w:style>
  <w:style w:type="paragraph" w:styleId="28">
    <w:name w:val="header"/>
    <w:basedOn w:val="1"/>
    <w:link w:val="247"/>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style>
  <w:style w:type="paragraph" w:styleId="30">
    <w:name w:val="toc 4"/>
    <w:basedOn w:val="1"/>
    <w:next w:val="1"/>
    <w:qFormat/>
    <w:uiPriority w:val="0"/>
    <w:pPr>
      <w:ind w:left="1260" w:leftChars="600"/>
    </w:pPr>
  </w:style>
  <w:style w:type="paragraph" w:styleId="31">
    <w:name w:val="toc 6"/>
    <w:basedOn w:val="1"/>
    <w:next w:val="1"/>
    <w:qFormat/>
    <w:uiPriority w:val="0"/>
    <w:pPr>
      <w:ind w:left="2100" w:leftChars="1000"/>
    </w:pPr>
    <w:rPr>
      <w:rFonts w:ascii="Calibri" w:hAnsi="Calibri"/>
      <w:szCs w:val="22"/>
    </w:rPr>
  </w:style>
  <w:style w:type="paragraph" w:styleId="32">
    <w:name w:val="Body Text Indent 3"/>
    <w:basedOn w:val="1"/>
    <w:link w:val="264"/>
    <w:qFormat/>
    <w:uiPriority w:val="0"/>
    <w:pPr>
      <w:spacing w:after="120"/>
      <w:ind w:left="420" w:leftChars="200"/>
    </w:pPr>
    <w:rPr>
      <w:sz w:val="16"/>
      <w:szCs w:val="16"/>
    </w:rPr>
  </w:style>
  <w:style w:type="paragraph" w:styleId="33">
    <w:name w:val="toc 2"/>
    <w:basedOn w:val="1"/>
    <w:next w:val="1"/>
    <w:uiPriority w:val="0"/>
    <w:pPr>
      <w:ind w:left="420" w:leftChars="200"/>
    </w:pPr>
  </w:style>
  <w:style w:type="paragraph" w:styleId="34">
    <w:name w:val="toc 9"/>
    <w:basedOn w:val="1"/>
    <w:next w:val="1"/>
    <w:uiPriority w:val="0"/>
    <w:pPr>
      <w:ind w:left="3360" w:leftChars="1600"/>
    </w:pPr>
    <w:rPr>
      <w:rFonts w:ascii="Calibri" w:hAnsi="Calibri"/>
      <w:szCs w:val="22"/>
    </w:rPr>
  </w:style>
  <w:style w:type="paragraph" w:styleId="35">
    <w:name w:val="Body Text 2"/>
    <w:basedOn w:val="1"/>
    <w:uiPriority w:val="0"/>
    <w:pPr>
      <w:spacing w:after="120" w:line="480" w:lineRule="auto"/>
    </w:p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pPr>
      <w:spacing w:line="220" w:lineRule="exact"/>
      <w:jc w:val="center"/>
    </w:pPr>
    <w:rPr>
      <w:rFonts w:ascii="仿宋_GB2312" w:eastAsia="仿宋_GB2312"/>
      <w:szCs w:val="20"/>
    </w:rPr>
  </w:style>
  <w:style w:type="paragraph" w:styleId="39">
    <w:name w:val="Title"/>
    <w:basedOn w:val="1"/>
    <w:next w:val="1"/>
    <w:qFormat/>
    <w:uiPriority w:val="0"/>
    <w:pPr>
      <w:spacing w:before="240" w:after="60"/>
      <w:jc w:val="center"/>
      <w:outlineLvl w:val="0"/>
    </w:pPr>
    <w:rPr>
      <w:rFonts w:ascii="Cambria" w:hAnsi="Cambria"/>
      <w:b/>
      <w:sz w:val="32"/>
    </w:rPr>
  </w:style>
  <w:style w:type="paragraph" w:styleId="40">
    <w:name w:val="annotation subject"/>
    <w:basedOn w:val="14"/>
    <w:next w:val="14"/>
    <w:link w:val="217"/>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4">
    <w:name w:val="Strong"/>
    <w:basedOn w:val="43"/>
    <w:qFormat/>
    <w:uiPriority w:val="0"/>
    <w:rPr>
      <w:b/>
      <w:bCs/>
    </w:rPr>
  </w:style>
  <w:style w:type="character" w:styleId="45">
    <w:name w:val="page number"/>
    <w:basedOn w:val="43"/>
    <w:uiPriority w:val="0"/>
  </w:style>
  <w:style w:type="character" w:styleId="46">
    <w:name w:val="FollowedHyperlink"/>
    <w:basedOn w:val="43"/>
    <w:uiPriority w:val="0"/>
    <w:rPr>
      <w:color w:val="373737"/>
      <w:u w:val="none"/>
    </w:rPr>
  </w:style>
  <w:style w:type="character" w:styleId="47">
    <w:name w:val="Emphasis"/>
    <w:basedOn w:val="43"/>
    <w:qFormat/>
    <w:uiPriority w:val="0"/>
    <w:rPr>
      <w:rFonts w:ascii="Times New Roman" w:hAnsi="Times New Roman" w:eastAsia="宋体"/>
    </w:rPr>
  </w:style>
  <w:style w:type="character" w:styleId="48">
    <w:name w:val="HTML Definition"/>
    <w:basedOn w:val="43"/>
    <w:uiPriority w:val="0"/>
    <w:rPr>
      <w:rFonts w:ascii="Times New Roman" w:hAnsi="Times New Roman" w:eastAsia="宋体"/>
    </w:rPr>
  </w:style>
  <w:style w:type="character" w:styleId="49">
    <w:name w:val="HTML Typewriter"/>
    <w:basedOn w:val="43"/>
    <w:uiPriority w:val="0"/>
    <w:rPr>
      <w:rFonts w:ascii="Courier New" w:hAnsi="Courier New"/>
      <w:sz w:val="24"/>
      <w:szCs w:val="24"/>
    </w:rPr>
  </w:style>
  <w:style w:type="character" w:styleId="50">
    <w:name w:val="HTML Acronym"/>
    <w:basedOn w:val="43"/>
    <w:uiPriority w:val="0"/>
  </w:style>
  <w:style w:type="character" w:styleId="51">
    <w:name w:val="HTML Variable"/>
    <w:basedOn w:val="43"/>
    <w:uiPriority w:val="0"/>
    <w:rPr>
      <w:rFonts w:ascii="Times New Roman" w:hAnsi="Times New Roman" w:eastAsia="宋体"/>
    </w:rPr>
  </w:style>
  <w:style w:type="character" w:styleId="52">
    <w:name w:val="Hyperlink"/>
    <w:uiPriority w:val="0"/>
    <w:rPr>
      <w:color w:val="136EC2"/>
      <w:u w:val="single"/>
    </w:rPr>
  </w:style>
  <w:style w:type="character" w:styleId="53">
    <w:name w:val="HTML Code"/>
    <w:basedOn w:val="43"/>
    <w:uiPriority w:val="0"/>
    <w:rPr>
      <w:rFonts w:ascii="Courier New" w:hAnsi="Courier New" w:eastAsia="Courier New" w:cs="Courier New"/>
      <w:sz w:val="20"/>
    </w:rPr>
  </w:style>
  <w:style w:type="character" w:styleId="54">
    <w:name w:val="annotation reference"/>
    <w:uiPriority w:val="0"/>
    <w:rPr>
      <w:sz w:val="21"/>
      <w:szCs w:val="21"/>
    </w:rPr>
  </w:style>
  <w:style w:type="character" w:styleId="55">
    <w:name w:val="HTML Cite"/>
    <w:basedOn w:val="43"/>
    <w:uiPriority w:val="0"/>
    <w:rPr>
      <w:rFonts w:ascii="Times New Roman" w:hAnsi="Times New Roman" w:eastAsia="宋体"/>
    </w:rPr>
  </w:style>
  <w:style w:type="character" w:styleId="56">
    <w:name w:val="HTML Keyboard"/>
    <w:basedOn w:val="43"/>
    <w:qFormat/>
    <w:uiPriority w:val="0"/>
    <w:rPr>
      <w:rFonts w:ascii="Courier New" w:hAnsi="Courier New" w:eastAsia="Courier New" w:cs="Courier New"/>
      <w:sz w:val="20"/>
    </w:rPr>
  </w:style>
  <w:style w:type="character" w:styleId="57">
    <w:name w:val="HTML Sample"/>
    <w:basedOn w:val="43"/>
    <w:qFormat/>
    <w:uiPriority w:val="0"/>
    <w:rPr>
      <w:rFonts w:ascii="Courier New" w:hAnsi="Courier New" w:eastAsia="Courier New" w:cs="Courier New"/>
    </w:rPr>
  </w:style>
  <w:style w:type="paragraph" w:customStyle="1" w:styleId="58">
    <w:name w:val="样式1"/>
    <w:basedOn w:val="1"/>
    <w:link w:val="227"/>
    <w:qFormat/>
    <w:uiPriority w:val="0"/>
    <w:pPr>
      <w:tabs>
        <w:tab w:val="left" w:pos="360"/>
      </w:tabs>
      <w:adjustRightInd w:val="0"/>
      <w:ind w:left="360" w:hanging="360"/>
      <w:textAlignment w:val="baseline"/>
    </w:pPr>
    <w:rPr>
      <w:rFonts w:ascii="宋体" w:hAnsi="宋体"/>
      <w:kern w:val="0"/>
      <w:szCs w:val="21"/>
    </w:rPr>
  </w:style>
  <w:style w:type="paragraph" w:customStyle="1" w:styleId="59">
    <w:name w:val="Style5"/>
    <w:basedOn w:val="1"/>
    <w:unhideWhenUsed/>
    <w:qFormat/>
    <w:uiPriority w:val="0"/>
  </w:style>
  <w:style w:type="paragraph" w:customStyle="1" w:styleId="60">
    <w:name w:val="CM62"/>
    <w:basedOn w:val="61"/>
    <w:next w:val="61"/>
    <w:qFormat/>
    <w:uiPriority w:val="0"/>
    <w:pPr>
      <w:spacing w:after="340"/>
    </w:pPr>
    <w:rPr>
      <w:rFonts w:ascii="FZShuSong-Z01" w:eastAsia="FZShuSong-Z01"/>
      <w:sz w:val="24"/>
      <w:szCs w:val="24"/>
    </w:rPr>
  </w:style>
  <w:style w:type="paragraph" w:customStyle="1" w:styleId="61">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62">
    <w:name w:val="CM30"/>
    <w:basedOn w:val="61"/>
    <w:next w:val="61"/>
    <w:qFormat/>
    <w:uiPriority w:val="0"/>
    <w:pPr>
      <w:spacing w:line="546" w:lineRule="atLeast"/>
    </w:pPr>
    <w:rPr>
      <w:rFonts w:ascii="FZShuSong-Z01" w:eastAsia="FZShuSong-Z01"/>
      <w:sz w:val="24"/>
      <w:szCs w:val="24"/>
    </w:rPr>
  </w:style>
  <w:style w:type="paragraph" w:customStyle="1" w:styleId="63">
    <w:name w:val="Style13"/>
    <w:basedOn w:val="1"/>
    <w:unhideWhenUsed/>
    <w:qFormat/>
    <w:uiPriority w:val="0"/>
  </w:style>
  <w:style w:type="paragraph" w:customStyle="1" w:styleId="64">
    <w:name w:val="Char Char1 Char Char Char Char Char1 Char Char Char Char"/>
    <w:basedOn w:val="13"/>
    <w:qFormat/>
    <w:uiPriority w:val="0"/>
    <w:rPr>
      <w:rFonts w:ascii="Tahoma" w:hAnsi="Tahoma"/>
    </w:rPr>
  </w:style>
  <w:style w:type="paragraph" w:customStyle="1" w:styleId="65">
    <w:name w:val="Style27"/>
    <w:basedOn w:val="1"/>
    <w:unhideWhenUsed/>
    <w:qFormat/>
    <w:uiPriority w:val="0"/>
  </w:style>
  <w:style w:type="paragraph" w:customStyle="1" w:styleId="6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67">
    <w:name w:val="Style12"/>
    <w:basedOn w:val="1"/>
    <w:unhideWhenUsed/>
    <w:qFormat/>
    <w:uiPriority w:val="0"/>
    <w:pPr>
      <w:spacing w:line="564" w:lineRule="exact"/>
      <w:ind w:hanging="115"/>
    </w:p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70">
    <w:name w:val="CM18"/>
    <w:basedOn w:val="61"/>
    <w:next w:val="61"/>
    <w:qFormat/>
    <w:uiPriority w:val="0"/>
    <w:rPr>
      <w:rFonts w:ascii="FZShuSong-Z01" w:eastAsia="FZShuSong-Z01"/>
      <w:sz w:val="24"/>
      <w:szCs w:val="24"/>
    </w:rPr>
  </w:style>
  <w:style w:type="paragraph" w:customStyle="1" w:styleId="71">
    <w:name w:val="CM70"/>
    <w:basedOn w:val="61"/>
    <w:next w:val="61"/>
    <w:qFormat/>
    <w:uiPriority w:val="0"/>
    <w:pPr>
      <w:spacing w:after="873"/>
    </w:pPr>
    <w:rPr>
      <w:rFonts w:ascii="FZShuSong-Z01" w:eastAsia="FZShuSong-Z01"/>
      <w:sz w:val="24"/>
      <w:szCs w:val="24"/>
    </w:rPr>
  </w:style>
  <w:style w:type="paragraph" w:customStyle="1" w:styleId="7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CM17"/>
    <w:basedOn w:val="61"/>
    <w:next w:val="61"/>
    <w:qFormat/>
    <w:uiPriority w:val="0"/>
    <w:pPr>
      <w:spacing w:line="546" w:lineRule="atLeast"/>
    </w:pPr>
    <w:rPr>
      <w:rFonts w:ascii="FZShuSong-Z01" w:eastAsia="FZShuSong-Z01"/>
      <w:sz w:val="24"/>
      <w:szCs w:val="24"/>
    </w:rPr>
  </w:style>
  <w:style w:type="paragraph" w:customStyle="1" w:styleId="7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5">
    <w:name w:val="Style9"/>
    <w:basedOn w:val="1"/>
    <w:unhideWhenUsed/>
    <w:qFormat/>
    <w:uiPriority w:val="0"/>
  </w:style>
  <w:style w:type="paragraph" w:customStyle="1" w:styleId="76">
    <w:name w:val="CM22"/>
    <w:basedOn w:val="61"/>
    <w:next w:val="61"/>
    <w:qFormat/>
    <w:uiPriority w:val="0"/>
    <w:pPr>
      <w:spacing w:line="546" w:lineRule="atLeast"/>
    </w:pPr>
    <w:rPr>
      <w:rFonts w:ascii="FZShuSong-Z01" w:eastAsia="FZShuSong-Z01"/>
      <w:sz w:val="24"/>
      <w:szCs w:val="24"/>
    </w:rPr>
  </w:style>
  <w:style w:type="paragraph" w:customStyle="1" w:styleId="77">
    <w:name w:val="Style76"/>
    <w:basedOn w:val="1"/>
    <w:unhideWhenUsed/>
    <w:qFormat/>
    <w:uiPriority w:val="0"/>
  </w:style>
  <w:style w:type="paragraph" w:customStyle="1" w:styleId="78">
    <w:name w:val="CM14"/>
    <w:basedOn w:val="61"/>
    <w:next w:val="61"/>
    <w:qFormat/>
    <w:uiPriority w:val="0"/>
    <w:pPr>
      <w:spacing w:line="546" w:lineRule="atLeast"/>
    </w:pPr>
    <w:rPr>
      <w:rFonts w:ascii="FZShuSong-Z01" w:eastAsia="FZShuSong-Z01"/>
      <w:sz w:val="24"/>
      <w:szCs w:val="24"/>
    </w:rPr>
  </w:style>
  <w:style w:type="paragraph" w:customStyle="1" w:styleId="79">
    <w:name w:val="Style29"/>
    <w:basedOn w:val="1"/>
    <w:unhideWhenUsed/>
    <w:qFormat/>
    <w:uiPriority w:val="0"/>
    <w:pPr>
      <w:spacing w:line="547" w:lineRule="exact"/>
      <w:ind w:firstLine="547"/>
    </w:pPr>
  </w:style>
  <w:style w:type="paragraph" w:customStyle="1" w:styleId="80">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1">
    <w:name w:val="CM52"/>
    <w:basedOn w:val="61"/>
    <w:next w:val="61"/>
    <w:qFormat/>
    <w:uiPriority w:val="0"/>
    <w:pPr>
      <w:spacing w:line="543" w:lineRule="atLeast"/>
    </w:pPr>
    <w:rPr>
      <w:rFonts w:ascii="FZShuSong-Z01" w:eastAsia="FZShuSong-Z01"/>
      <w:sz w:val="24"/>
      <w:szCs w:val="24"/>
    </w:rPr>
  </w:style>
  <w:style w:type="paragraph" w:customStyle="1" w:styleId="82">
    <w:name w:val="Style81"/>
    <w:basedOn w:val="1"/>
    <w:unhideWhenUsed/>
    <w:qFormat/>
    <w:uiPriority w:val="0"/>
    <w:pPr>
      <w:spacing w:line="547" w:lineRule="exact"/>
    </w:pPr>
  </w:style>
  <w:style w:type="paragraph" w:customStyle="1" w:styleId="83">
    <w:name w:val="Style45"/>
    <w:basedOn w:val="1"/>
    <w:unhideWhenUsed/>
    <w:qFormat/>
    <w:uiPriority w:val="0"/>
  </w:style>
  <w:style w:type="paragraph" w:customStyle="1" w:styleId="8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Style15"/>
    <w:basedOn w:val="1"/>
    <w:unhideWhenUsed/>
    <w:qFormat/>
    <w:uiPriority w:val="0"/>
    <w:pPr>
      <w:spacing w:line="557" w:lineRule="exact"/>
      <w:ind w:firstLine="672"/>
    </w:pPr>
  </w:style>
  <w:style w:type="paragraph" w:customStyle="1" w:styleId="86">
    <w:name w:val="Style73"/>
    <w:basedOn w:val="1"/>
    <w:unhideWhenUsed/>
    <w:qFormat/>
    <w:uiPriority w:val="0"/>
    <w:pPr>
      <w:spacing w:line="538" w:lineRule="exact"/>
      <w:ind w:firstLine="533"/>
    </w:pPr>
  </w:style>
  <w:style w:type="paragraph" w:customStyle="1" w:styleId="87">
    <w:name w:val="Style67"/>
    <w:basedOn w:val="1"/>
    <w:unhideWhenUsed/>
    <w:qFormat/>
    <w:uiPriority w:val="0"/>
    <w:pPr>
      <w:spacing w:line="566" w:lineRule="exact"/>
      <w:ind w:firstLine="552"/>
    </w:pPr>
  </w:style>
  <w:style w:type="paragraph" w:customStyle="1" w:styleId="88">
    <w:name w:val="Style24"/>
    <w:basedOn w:val="1"/>
    <w:unhideWhenUsed/>
    <w:qFormat/>
    <w:uiPriority w:val="0"/>
  </w:style>
  <w:style w:type="paragraph" w:customStyle="1" w:styleId="89">
    <w:name w:val="CM40"/>
    <w:basedOn w:val="61"/>
    <w:next w:val="61"/>
    <w:qFormat/>
    <w:uiPriority w:val="0"/>
    <w:rPr>
      <w:rFonts w:ascii="FZShuSong-Z01" w:eastAsia="FZShuSong-Z01"/>
      <w:sz w:val="24"/>
      <w:szCs w:val="24"/>
    </w:rPr>
  </w:style>
  <w:style w:type="paragraph" w:customStyle="1" w:styleId="90">
    <w:name w:val="CM4"/>
    <w:basedOn w:val="61"/>
    <w:next w:val="61"/>
    <w:qFormat/>
    <w:uiPriority w:val="0"/>
    <w:pPr>
      <w:spacing w:line="548" w:lineRule="atLeast"/>
    </w:pPr>
    <w:rPr>
      <w:rFonts w:ascii="FZShuSong-Z01" w:eastAsia="FZShuSong-Z01"/>
      <w:sz w:val="24"/>
      <w:szCs w:val="24"/>
    </w:rPr>
  </w:style>
  <w:style w:type="paragraph" w:customStyle="1" w:styleId="9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92">
    <w:name w:val="Style68"/>
    <w:basedOn w:val="1"/>
    <w:unhideWhenUsed/>
    <w:qFormat/>
    <w:uiPriority w:val="0"/>
    <w:pPr>
      <w:spacing w:line="547" w:lineRule="exact"/>
    </w:pPr>
  </w:style>
  <w:style w:type="paragraph" w:customStyle="1" w:styleId="93">
    <w:name w:val="Style53"/>
    <w:basedOn w:val="1"/>
    <w:unhideWhenUsed/>
    <w:qFormat/>
    <w:uiPriority w:val="0"/>
    <w:pPr>
      <w:spacing w:line="533" w:lineRule="exact"/>
      <w:ind w:firstLine="581"/>
    </w:pPr>
  </w:style>
  <w:style w:type="paragraph" w:customStyle="1" w:styleId="94">
    <w:name w:val="CM67"/>
    <w:basedOn w:val="61"/>
    <w:next w:val="61"/>
    <w:qFormat/>
    <w:uiPriority w:val="0"/>
    <w:pPr>
      <w:spacing w:after="115"/>
    </w:pPr>
    <w:rPr>
      <w:rFonts w:ascii="FZShuSong-Z01" w:eastAsia="FZShuSong-Z01"/>
      <w:sz w:val="24"/>
      <w:szCs w:val="24"/>
    </w:rPr>
  </w:style>
  <w:style w:type="paragraph" w:customStyle="1" w:styleId="95">
    <w:name w:val="CM59"/>
    <w:basedOn w:val="61"/>
    <w:next w:val="61"/>
    <w:qFormat/>
    <w:uiPriority w:val="0"/>
    <w:pPr>
      <w:spacing w:after="463"/>
    </w:pPr>
    <w:rPr>
      <w:rFonts w:ascii="FZShuSong-Z01" w:eastAsia="FZShuSong-Z01"/>
      <w:sz w:val="24"/>
      <w:szCs w:val="24"/>
    </w:rPr>
  </w:style>
  <w:style w:type="paragraph" w:customStyle="1" w:styleId="96">
    <w:name w:val="NO3"/>
    <w:basedOn w:val="1"/>
    <w:qFormat/>
    <w:uiPriority w:val="0"/>
    <w:pPr>
      <w:tabs>
        <w:tab w:val="left" w:pos="907"/>
      </w:tabs>
      <w:spacing w:line="360" w:lineRule="auto"/>
    </w:pPr>
    <w:rPr>
      <w:rFonts w:ascii="宋体" w:hAnsi="宋体"/>
      <w:sz w:val="24"/>
    </w:rPr>
  </w:style>
  <w:style w:type="paragraph" w:customStyle="1" w:styleId="97">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98">
    <w:name w:val="Style42"/>
    <w:basedOn w:val="1"/>
    <w:unhideWhenUsed/>
    <w:qFormat/>
    <w:uiPriority w:val="0"/>
    <w:pPr>
      <w:spacing w:line="542" w:lineRule="exact"/>
      <w:ind w:firstLine="547"/>
    </w:pPr>
  </w:style>
  <w:style w:type="paragraph" w:customStyle="1" w:styleId="99">
    <w:name w:val="CM24"/>
    <w:basedOn w:val="61"/>
    <w:next w:val="61"/>
    <w:qFormat/>
    <w:uiPriority w:val="0"/>
    <w:rPr>
      <w:rFonts w:ascii="FZShuSong-Z01" w:eastAsia="FZShuSong-Z01"/>
      <w:sz w:val="24"/>
      <w:szCs w:val="24"/>
    </w:rPr>
  </w:style>
  <w:style w:type="paragraph" w:customStyle="1" w:styleId="100">
    <w:name w:val="_Style 99"/>
    <w:qFormat/>
    <w:uiPriority w:val="0"/>
    <w:rPr>
      <w:rFonts w:ascii="Times New Roman" w:hAnsi="Times New Roman" w:eastAsia="宋体" w:cs="Times New Roman"/>
      <w:kern w:val="2"/>
      <w:sz w:val="21"/>
      <w:szCs w:val="24"/>
      <w:lang w:val="en-US" w:eastAsia="zh-CN" w:bidi="ar-SA"/>
    </w:rPr>
  </w:style>
  <w:style w:type="paragraph" w:customStyle="1" w:styleId="101">
    <w:name w:val="Style21"/>
    <w:basedOn w:val="1"/>
    <w:unhideWhenUsed/>
    <w:qFormat/>
    <w:uiPriority w:val="0"/>
    <w:pPr>
      <w:spacing w:line="566" w:lineRule="exact"/>
      <w:ind w:firstLine="682"/>
    </w:pPr>
  </w:style>
  <w:style w:type="paragraph" w:customStyle="1" w:styleId="102">
    <w:name w:val="Style52"/>
    <w:basedOn w:val="1"/>
    <w:unhideWhenUsed/>
    <w:qFormat/>
    <w:uiPriority w:val="0"/>
    <w:pPr>
      <w:spacing w:line="682" w:lineRule="exact"/>
      <w:ind w:firstLine="557"/>
    </w:pPr>
  </w:style>
  <w:style w:type="paragraph" w:customStyle="1" w:styleId="103">
    <w:name w:val="Style47"/>
    <w:basedOn w:val="1"/>
    <w:unhideWhenUsed/>
    <w:qFormat/>
    <w:uiPriority w:val="0"/>
  </w:style>
  <w:style w:type="paragraph" w:customStyle="1" w:styleId="104">
    <w:name w:val="Style23"/>
    <w:basedOn w:val="1"/>
    <w:unhideWhenUsed/>
    <w:qFormat/>
    <w:uiPriority w:val="0"/>
  </w:style>
  <w:style w:type="paragraph" w:customStyle="1" w:styleId="105">
    <w:name w:val="标题 1 +"/>
    <w:basedOn w:val="2"/>
    <w:next w:val="1"/>
    <w:qFormat/>
    <w:uiPriority w:val="0"/>
    <w:pPr>
      <w:keepLines/>
      <w:spacing w:line="600" w:lineRule="auto"/>
    </w:pPr>
    <w:rPr>
      <w:rFonts w:eastAsia="黑体"/>
      <w:kern w:val="0"/>
      <w:sz w:val="32"/>
      <w:szCs w:val="32"/>
    </w:rPr>
  </w:style>
  <w:style w:type="paragraph" w:customStyle="1" w:styleId="106">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07">
    <w:name w:val="CM66"/>
    <w:basedOn w:val="61"/>
    <w:next w:val="61"/>
    <w:qFormat/>
    <w:uiPriority w:val="0"/>
    <w:pPr>
      <w:spacing w:after="758"/>
    </w:pPr>
    <w:rPr>
      <w:rFonts w:ascii="FZShuSong-Z01" w:eastAsia="FZShuSong-Z01"/>
      <w:sz w:val="24"/>
      <w:szCs w:val="24"/>
    </w:rPr>
  </w:style>
  <w:style w:type="paragraph" w:customStyle="1" w:styleId="108">
    <w:name w:val="_Style 39"/>
    <w:basedOn w:val="109"/>
    <w:qFormat/>
    <w:uiPriority w:val="0"/>
  </w:style>
  <w:style w:type="paragraph" w:customStyle="1" w:styleId="10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Style63"/>
    <w:basedOn w:val="1"/>
    <w:unhideWhenUsed/>
    <w:qFormat/>
    <w:uiPriority w:val="0"/>
    <w:pPr>
      <w:spacing w:line="564" w:lineRule="exact"/>
      <w:ind w:firstLine="682"/>
    </w:pPr>
  </w:style>
  <w:style w:type="paragraph" w:customStyle="1" w:styleId="111">
    <w:name w:val="Style26"/>
    <w:basedOn w:val="1"/>
    <w:unhideWhenUsed/>
    <w:qFormat/>
    <w:uiPriority w:val="0"/>
  </w:style>
  <w:style w:type="paragraph" w:customStyle="1" w:styleId="112">
    <w:name w:val="1 Char Char Char Char"/>
    <w:basedOn w:val="1"/>
    <w:qFormat/>
    <w:uiPriority w:val="0"/>
  </w:style>
  <w:style w:type="paragraph" w:customStyle="1" w:styleId="11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4">
    <w:name w:val="Style36"/>
    <w:basedOn w:val="1"/>
    <w:unhideWhenUsed/>
    <w:qFormat/>
    <w:uiPriority w:val="0"/>
  </w:style>
  <w:style w:type="paragraph" w:customStyle="1" w:styleId="115">
    <w:name w:val="Style50"/>
    <w:basedOn w:val="1"/>
    <w:unhideWhenUsed/>
    <w:qFormat/>
    <w:uiPriority w:val="0"/>
  </w:style>
  <w:style w:type="paragraph" w:customStyle="1" w:styleId="116">
    <w:name w:val="List Paragraph1"/>
    <w:basedOn w:val="1"/>
    <w:qFormat/>
    <w:uiPriority w:val="0"/>
    <w:pPr>
      <w:ind w:firstLine="420" w:firstLineChars="200"/>
    </w:pPr>
    <w:rPr>
      <w:rFonts w:ascii="Calibri" w:hAnsi="Calibri" w:cs="Calibri"/>
      <w:szCs w:val="21"/>
    </w:rPr>
  </w:style>
  <w:style w:type="paragraph" w:customStyle="1" w:styleId="117">
    <w:name w:val="p0"/>
    <w:basedOn w:val="1"/>
    <w:link w:val="204"/>
    <w:qFormat/>
    <w:uiPriority w:val="0"/>
    <w:pPr>
      <w:widowControl/>
    </w:pPr>
    <w:rPr>
      <w:kern w:val="0"/>
      <w:szCs w:val="21"/>
    </w:rPr>
  </w:style>
  <w:style w:type="paragraph" w:customStyle="1" w:styleId="118">
    <w:name w:val="CM61"/>
    <w:basedOn w:val="61"/>
    <w:next w:val="61"/>
    <w:qFormat/>
    <w:uiPriority w:val="0"/>
    <w:pPr>
      <w:spacing w:after="545"/>
    </w:pPr>
    <w:rPr>
      <w:rFonts w:ascii="FZShuSong-Z01" w:eastAsia="FZShuSong-Z01"/>
      <w:sz w:val="24"/>
      <w:szCs w:val="24"/>
    </w:rPr>
  </w:style>
  <w:style w:type="paragraph" w:customStyle="1" w:styleId="119">
    <w:name w:val="Char Char1 Char Char Char"/>
    <w:basedOn w:val="1"/>
    <w:qFormat/>
    <w:uiPriority w:val="0"/>
    <w:rPr>
      <w:kern w:val="0"/>
      <w:sz w:val="20"/>
      <w:szCs w:val="20"/>
    </w:rPr>
  </w:style>
  <w:style w:type="paragraph" w:styleId="120">
    <w:name w:val="List Paragraph"/>
    <w:basedOn w:val="1"/>
    <w:qFormat/>
    <w:uiPriority w:val="0"/>
    <w:pPr>
      <w:ind w:firstLine="420" w:firstLineChars="200"/>
    </w:pPr>
    <w:rPr>
      <w:rFonts w:ascii="Calibri" w:hAnsi="Calibri"/>
      <w:szCs w:val="22"/>
    </w:rPr>
  </w:style>
  <w:style w:type="paragraph" w:customStyle="1" w:styleId="121">
    <w:name w:val="Style58"/>
    <w:basedOn w:val="1"/>
    <w:unhideWhenUsed/>
    <w:qFormat/>
    <w:uiPriority w:val="0"/>
    <w:pPr>
      <w:spacing w:line="413" w:lineRule="exact"/>
    </w:pPr>
  </w:style>
  <w:style w:type="paragraph" w:customStyle="1" w:styleId="122">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23">
    <w:name w:val="Style61"/>
    <w:basedOn w:val="1"/>
    <w:unhideWhenUsed/>
    <w:qFormat/>
    <w:uiPriority w:val="0"/>
  </w:style>
  <w:style w:type="paragraph" w:customStyle="1" w:styleId="124">
    <w:name w:val="Style48"/>
    <w:basedOn w:val="1"/>
    <w:unhideWhenUsed/>
    <w:qFormat/>
    <w:uiPriority w:val="0"/>
    <w:pPr>
      <w:spacing w:line="542" w:lineRule="exact"/>
      <w:jc w:val="right"/>
    </w:pPr>
  </w:style>
  <w:style w:type="paragraph" w:customStyle="1" w:styleId="125">
    <w:name w:val="Char1 Char Char Char 字元 Char Char 字元 Char 字元 Char1 Char Char Char"/>
    <w:basedOn w:val="1"/>
    <w:qFormat/>
    <w:uiPriority w:val="0"/>
    <w:rPr>
      <w:szCs w:val="20"/>
    </w:rPr>
  </w:style>
  <w:style w:type="paragraph" w:customStyle="1" w:styleId="126">
    <w:name w:val="1"/>
    <w:basedOn w:val="1"/>
    <w:qFormat/>
    <w:uiPriority w:val="0"/>
    <w:pPr>
      <w:spacing w:after="156" w:afterLines="50" w:line="360" w:lineRule="auto"/>
    </w:pPr>
    <w:rPr>
      <w:rFonts w:ascii="宋体" w:hAnsi="宋体"/>
      <w:b/>
      <w:sz w:val="30"/>
      <w:szCs w:val="21"/>
    </w:rPr>
  </w:style>
  <w:style w:type="paragraph" w:customStyle="1" w:styleId="127">
    <w:name w:val="Style59"/>
    <w:basedOn w:val="1"/>
    <w:unhideWhenUsed/>
    <w:qFormat/>
    <w:uiPriority w:val="0"/>
  </w:style>
  <w:style w:type="paragraph" w:customStyle="1" w:styleId="128">
    <w:name w:val="Style46"/>
    <w:basedOn w:val="1"/>
    <w:unhideWhenUsed/>
    <w:qFormat/>
    <w:uiPriority w:val="0"/>
    <w:pPr>
      <w:spacing w:line="672" w:lineRule="exact"/>
    </w:pPr>
  </w:style>
  <w:style w:type="paragraph" w:customStyle="1" w:styleId="129">
    <w:name w:val="Style16"/>
    <w:basedOn w:val="1"/>
    <w:unhideWhenUsed/>
    <w:qFormat/>
    <w:uiPriority w:val="0"/>
    <w:pPr>
      <w:jc w:val="right"/>
    </w:pPr>
  </w:style>
  <w:style w:type="paragraph" w:customStyle="1" w:styleId="130">
    <w:name w:val="附录标识"/>
    <w:basedOn w:val="131"/>
    <w:qFormat/>
    <w:uiPriority w:val="0"/>
    <w:pPr>
      <w:tabs>
        <w:tab w:val="left" w:pos="360"/>
        <w:tab w:val="left" w:pos="720"/>
        <w:tab w:val="left" w:pos="6405"/>
      </w:tabs>
      <w:spacing w:after="200"/>
    </w:pPr>
    <w:rPr>
      <w:sz w:val="21"/>
    </w:rPr>
  </w:style>
  <w:style w:type="paragraph" w:customStyle="1" w:styleId="13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32">
    <w:name w:val="Style71"/>
    <w:basedOn w:val="1"/>
    <w:unhideWhenUsed/>
    <w:qFormat/>
    <w:uiPriority w:val="0"/>
    <w:pPr>
      <w:spacing w:line="538" w:lineRule="exact"/>
      <w:ind w:firstLine="101"/>
    </w:pPr>
  </w:style>
  <w:style w:type="paragraph" w:customStyle="1" w:styleId="133">
    <w:name w:val=" Char1 Char Char Char Char Char Char Char Char Char"/>
    <w:basedOn w:val="1"/>
    <w:qFormat/>
    <w:uiPriority w:val="0"/>
    <w:rPr>
      <w:szCs w:val="20"/>
    </w:rPr>
  </w:style>
  <w:style w:type="paragraph" w:customStyle="1" w:styleId="134">
    <w:name w:val="标题3"/>
    <w:basedOn w:val="2"/>
    <w:qFormat/>
    <w:uiPriority w:val="0"/>
    <w:pPr>
      <w:spacing w:before="156" w:beforeLines="50" w:after="156" w:afterLines="50" w:line="400" w:lineRule="exact"/>
      <w:jc w:val="both"/>
    </w:pPr>
    <w:rPr>
      <w:rFonts w:ascii="宋体" w:hAnsi="宋体"/>
      <w:kern w:val="32"/>
      <w:szCs w:val="32"/>
    </w:rPr>
  </w:style>
  <w:style w:type="paragraph" w:customStyle="1" w:styleId="135">
    <w:name w:val="标题2"/>
    <w:basedOn w:val="39"/>
    <w:qFormat/>
    <w:uiPriority w:val="0"/>
    <w:pPr>
      <w:spacing w:after="240"/>
      <w:jc w:val="left"/>
    </w:pPr>
    <w:rPr>
      <w:sz w:val="30"/>
    </w:rPr>
  </w:style>
  <w:style w:type="paragraph" w:customStyle="1" w:styleId="136">
    <w:name w:val="Style69"/>
    <w:basedOn w:val="1"/>
    <w:unhideWhenUsed/>
    <w:qFormat/>
    <w:uiPriority w:val="0"/>
    <w:pPr>
      <w:spacing w:line="557" w:lineRule="exact"/>
      <w:ind w:firstLine="1666"/>
    </w:pPr>
  </w:style>
  <w:style w:type="paragraph" w:customStyle="1" w:styleId="137">
    <w:name w:val="Style62"/>
    <w:basedOn w:val="1"/>
    <w:unhideWhenUsed/>
    <w:qFormat/>
    <w:uiPriority w:val="0"/>
  </w:style>
  <w:style w:type="paragraph" w:customStyle="1" w:styleId="138">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9">
    <w:name w:val="Char"/>
    <w:basedOn w:val="1"/>
    <w:qFormat/>
    <w:uiPriority w:val="0"/>
    <w:pPr>
      <w:tabs>
        <w:tab w:val="left" w:pos="360"/>
      </w:tabs>
      <w:ind w:left="360" w:hanging="360" w:hangingChars="200"/>
    </w:pPr>
    <w:rPr>
      <w:sz w:val="24"/>
    </w:rPr>
  </w:style>
  <w:style w:type="paragraph" w:customStyle="1" w:styleId="140">
    <w:name w:val="Style74"/>
    <w:basedOn w:val="1"/>
    <w:unhideWhenUsed/>
    <w:qFormat/>
    <w:uiPriority w:val="0"/>
    <w:pPr>
      <w:spacing w:line="437" w:lineRule="exact"/>
    </w:pPr>
  </w:style>
  <w:style w:type="paragraph" w:customStyle="1" w:styleId="141">
    <w:name w:val="Style72"/>
    <w:basedOn w:val="1"/>
    <w:unhideWhenUsed/>
    <w:qFormat/>
    <w:uiPriority w:val="0"/>
  </w:style>
  <w:style w:type="paragraph" w:customStyle="1" w:styleId="142">
    <w:name w:val="Style54"/>
    <w:basedOn w:val="1"/>
    <w:unhideWhenUsed/>
    <w:qFormat/>
    <w:uiPriority w:val="0"/>
  </w:style>
  <w:style w:type="paragraph" w:customStyle="1" w:styleId="143">
    <w:name w:val="Style77"/>
    <w:basedOn w:val="1"/>
    <w:unhideWhenUsed/>
    <w:qFormat/>
    <w:uiPriority w:val="0"/>
  </w:style>
  <w:style w:type="paragraph" w:customStyle="1" w:styleId="144">
    <w:name w:val="表格内容"/>
    <w:basedOn w:val="17"/>
    <w:qFormat/>
    <w:uiPriority w:val="0"/>
    <w:pPr>
      <w:suppressLineNumbers/>
      <w:suppressAutoHyphens/>
      <w:jc w:val="left"/>
    </w:pPr>
    <w:rPr>
      <w:rFonts w:cs="Tahoma"/>
      <w:kern w:val="0"/>
      <w:sz w:val="24"/>
    </w:rPr>
  </w:style>
  <w:style w:type="paragraph" w:customStyle="1" w:styleId="145">
    <w:name w:val="Style65"/>
    <w:basedOn w:val="1"/>
    <w:unhideWhenUsed/>
    <w:qFormat/>
    <w:uiPriority w:val="0"/>
  </w:style>
  <w:style w:type="paragraph" w:customStyle="1" w:styleId="146">
    <w:name w:val="Style28"/>
    <w:basedOn w:val="1"/>
    <w:unhideWhenUsed/>
    <w:qFormat/>
    <w:uiPriority w:val="0"/>
    <w:pPr>
      <w:spacing w:line="552" w:lineRule="exact"/>
      <w:ind w:firstLine="547"/>
    </w:pPr>
  </w:style>
  <w:style w:type="paragraph" w:customStyle="1" w:styleId="147">
    <w:name w:val="Style64"/>
    <w:basedOn w:val="1"/>
    <w:unhideWhenUsed/>
    <w:qFormat/>
    <w:uiPriority w:val="0"/>
  </w:style>
  <w:style w:type="paragraph" w:customStyle="1" w:styleId="148">
    <w:name w:val="Style34"/>
    <w:basedOn w:val="1"/>
    <w:unhideWhenUsed/>
    <w:qFormat/>
    <w:uiPriority w:val="0"/>
    <w:pPr>
      <w:spacing w:line="375" w:lineRule="exact"/>
    </w:pPr>
  </w:style>
  <w:style w:type="paragraph" w:customStyle="1" w:styleId="149">
    <w:name w:val="Style78"/>
    <w:basedOn w:val="1"/>
    <w:unhideWhenUsed/>
    <w:qFormat/>
    <w:uiPriority w:val="0"/>
  </w:style>
  <w:style w:type="paragraph" w:customStyle="1" w:styleId="150">
    <w:name w:val="CM72"/>
    <w:basedOn w:val="61"/>
    <w:next w:val="61"/>
    <w:qFormat/>
    <w:uiPriority w:val="0"/>
    <w:pPr>
      <w:spacing w:after="398"/>
    </w:pPr>
    <w:rPr>
      <w:rFonts w:ascii="FZShuSong-Z01" w:eastAsia="FZShuSong-Z01"/>
      <w:sz w:val="24"/>
      <w:szCs w:val="24"/>
    </w:rPr>
  </w:style>
  <w:style w:type="paragraph" w:customStyle="1" w:styleId="151">
    <w:name w:val="CM2"/>
    <w:basedOn w:val="61"/>
    <w:next w:val="61"/>
    <w:qFormat/>
    <w:uiPriority w:val="0"/>
    <w:rPr>
      <w:rFonts w:ascii="FZShuSong-Z01" w:eastAsia="FZShuSong-Z01"/>
      <w:sz w:val="24"/>
      <w:szCs w:val="24"/>
    </w:rPr>
  </w:style>
  <w:style w:type="paragraph" w:customStyle="1" w:styleId="152">
    <w:name w:val="Style44"/>
    <w:basedOn w:val="1"/>
    <w:unhideWhenUsed/>
    <w:qFormat/>
    <w:uiPriority w:val="0"/>
  </w:style>
  <w:style w:type="paragraph" w:customStyle="1" w:styleId="15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54">
    <w:name w:val="Style70"/>
    <w:basedOn w:val="1"/>
    <w:unhideWhenUsed/>
    <w:qFormat/>
    <w:uiPriority w:val="0"/>
    <w:pPr>
      <w:spacing w:line="549" w:lineRule="exact"/>
      <w:ind w:firstLine="686"/>
    </w:pPr>
  </w:style>
  <w:style w:type="paragraph" w:customStyle="1" w:styleId="155">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56">
    <w:name w:val="Style41"/>
    <w:basedOn w:val="1"/>
    <w:unhideWhenUsed/>
    <w:qFormat/>
    <w:uiPriority w:val="0"/>
    <w:pPr>
      <w:spacing w:line="542" w:lineRule="exact"/>
      <w:ind w:firstLine="125"/>
    </w:pPr>
  </w:style>
  <w:style w:type="paragraph" w:customStyle="1" w:styleId="157">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58">
    <w:name w:val="CM49"/>
    <w:basedOn w:val="61"/>
    <w:next w:val="61"/>
    <w:qFormat/>
    <w:uiPriority w:val="0"/>
    <w:rPr>
      <w:rFonts w:ascii="FZShuSong-Z01" w:eastAsia="FZShuSong-Z01"/>
      <w:sz w:val="24"/>
      <w:szCs w:val="24"/>
    </w:rPr>
  </w:style>
  <w:style w:type="paragraph" w:customStyle="1" w:styleId="159">
    <w:name w:val="Style4"/>
    <w:basedOn w:val="1"/>
    <w:unhideWhenUsed/>
    <w:qFormat/>
    <w:uiPriority w:val="0"/>
  </w:style>
  <w:style w:type="paragraph" w:customStyle="1" w:styleId="160">
    <w:name w:val="Char Char1 Char Char Char Char Char Char Char"/>
    <w:basedOn w:val="1"/>
    <w:qFormat/>
    <w:uiPriority w:val="0"/>
    <w:pPr>
      <w:widowControl/>
      <w:spacing w:after="160" w:line="240" w:lineRule="exact"/>
      <w:jc w:val="left"/>
    </w:pPr>
  </w:style>
  <w:style w:type="paragraph" w:customStyle="1" w:styleId="161">
    <w:name w:val="Style60"/>
    <w:basedOn w:val="1"/>
    <w:unhideWhenUsed/>
    <w:qFormat/>
    <w:uiPriority w:val="0"/>
    <w:pPr>
      <w:spacing w:line="566" w:lineRule="exact"/>
    </w:pPr>
  </w:style>
  <w:style w:type="paragraph" w:customStyle="1" w:styleId="162">
    <w:name w:val="CM51"/>
    <w:basedOn w:val="61"/>
    <w:next w:val="61"/>
    <w:qFormat/>
    <w:uiPriority w:val="0"/>
    <w:pPr>
      <w:spacing w:line="546" w:lineRule="atLeast"/>
    </w:pPr>
    <w:rPr>
      <w:rFonts w:ascii="FZShuSong-Z01" w:eastAsia="FZShuSong-Z01"/>
      <w:sz w:val="24"/>
      <w:szCs w:val="24"/>
    </w:rPr>
  </w:style>
  <w:style w:type="paragraph" w:customStyle="1" w:styleId="163">
    <w:name w:val="CM53"/>
    <w:basedOn w:val="61"/>
    <w:next w:val="61"/>
    <w:qFormat/>
    <w:uiPriority w:val="0"/>
    <w:rPr>
      <w:rFonts w:ascii="FZShuSong-Z01" w:eastAsia="FZShuSong-Z01"/>
      <w:sz w:val="24"/>
      <w:szCs w:val="24"/>
    </w:rPr>
  </w:style>
  <w:style w:type="paragraph" w:customStyle="1" w:styleId="164">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5">
    <w:name w:val="Style10"/>
    <w:basedOn w:val="1"/>
    <w:unhideWhenUsed/>
    <w:qFormat/>
    <w:uiPriority w:val="0"/>
    <w:pPr>
      <w:spacing w:line="538" w:lineRule="exact"/>
    </w:pPr>
  </w:style>
  <w:style w:type="paragraph" w:customStyle="1" w:styleId="166">
    <w:name w:val=" Char Char Char"/>
    <w:basedOn w:val="1"/>
    <w:qFormat/>
    <w:uiPriority w:val="0"/>
    <w:rPr>
      <w:rFonts w:ascii="宋体" w:hAnsi="宋体"/>
      <w:b/>
      <w:sz w:val="28"/>
      <w:szCs w:val="28"/>
    </w:rPr>
  </w:style>
  <w:style w:type="paragraph" w:customStyle="1" w:styleId="167">
    <w:name w:val="p16"/>
    <w:basedOn w:val="1"/>
    <w:qFormat/>
    <w:uiPriority w:val="0"/>
    <w:pPr>
      <w:widowControl/>
      <w:jc w:val="left"/>
    </w:pPr>
    <w:rPr>
      <w:kern w:val="0"/>
      <w:szCs w:val="21"/>
    </w:rPr>
  </w:style>
  <w:style w:type="paragraph" w:customStyle="1" w:styleId="168">
    <w:name w:val="CM65"/>
    <w:basedOn w:val="61"/>
    <w:next w:val="61"/>
    <w:qFormat/>
    <w:uiPriority w:val="0"/>
    <w:pPr>
      <w:spacing w:after="208"/>
    </w:pPr>
    <w:rPr>
      <w:rFonts w:ascii="FZShuSong-Z01" w:eastAsia="FZShuSong-Z01"/>
      <w:sz w:val="24"/>
      <w:szCs w:val="24"/>
    </w:rPr>
  </w:style>
  <w:style w:type="paragraph" w:customStyle="1" w:styleId="169">
    <w:name w:val="Style11"/>
    <w:basedOn w:val="1"/>
    <w:unhideWhenUsed/>
    <w:qFormat/>
    <w:uiPriority w:val="0"/>
    <w:pPr>
      <w:spacing w:line="559" w:lineRule="exact"/>
      <w:ind w:firstLine="590"/>
    </w:pPr>
  </w:style>
  <w:style w:type="paragraph" w:customStyle="1" w:styleId="170">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71">
    <w:name w:val="CM1"/>
    <w:basedOn w:val="61"/>
    <w:next w:val="61"/>
    <w:qFormat/>
    <w:uiPriority w:val="0"/>
    <w:rPr>
      <w:rFonts w:ascii="FZShuSong-Z01" w:eastAsia="FZShuSong-Z01"/>
      <w:sz w:val="24"/>
      <w:szCs w:val="24"/>
    </w:rPr>
  </w:style>
  <w:style w:type="paragraph" w:customStyle="1" w:styleId="172">
    <w:name w:val="Style8"/>
    <w:basedOn w:val="1"/>
    <w:unhideWhenUsed/>
    <w:qFormat/>
    <w:uiPriority w:val="0"/>
    <w:pPr>
      <w:spacing w:line="566" w:lineRule="exact"/>
      <w:jc w:val="center"/>
    </w:pPr>
  </w:style>
  <w:style w:type="paragraph" w:customStyle="1" w:styleId="173">
    <w:name w:val="Style80"/>
    <w:basedOn w:val="1"/>
    <w:unhideWhenUsed/>
    <w:qFormat/>
    <w:uiPriority w:val="0"/>
  </w:style>
  <w:style w:type="paragraph" w:customStyle="1" w:styleId="174">
    <w:name w:val="Style56"/>
    <w:basedOn w:val="1"/>
    <w:unhideWhenUsed/>
    <w:qFormat/>
    <w:uiPriority w:val="0"/>
  </w:style>
  <w:style w:type="paragraph" w:customStyle="1" w:styleId="175">
    <w:name w:val=" Char1 Char Char Char"/>
    <w:basedOn w:val="1"/>
    <w:qFormat/>
    <w:uiPriority w:val="0"/>
    <w:pPr>
      <w:widowControl/>
      <w:spacing w:after="160" w:line="240" w:lineRule="exact"/>
      <w:jc w:val="left"/>
    </w:pPr>
    <w:rPr>
      <w:kern w:val="0"/>
      <w:sz w:val="24"/>
      <w:szCs w:val="20"/>
    </w:rPr>
  </w:style>
  <w:style w:type="character" w:customStyle="1" w:styleId="176">
    <w:name w:val="标题 3 Char1"/>
    <w:link w:val="4"/>
    <w:qFormat/>
    <w:uiPriority w:val="0"/>
    <w:rPr>
      <w:rFonts w:eastAsia="宋体"/>
      <w:b/>
      <w:bCs/>
      <w:kern w:val="2"/>
      <w:sz w:val="32"/>
      <w:szCs w:val="32"/>
      <w:lang w:val="en-US" w:eastAsia="zh-CN" w:bidi="ar-SA"/>
    </w:rPr>
  </w:style>
  <w:style w:type="character" w:customStyle="1" w:styleId="177">
    <w:name w:val="span-hover"/>
    <w:basedOn w:val="43"/>
    <w:qFormat/>
    <w:uiPriority w:val="0"/>
  </w:style>
  <w:style w:type="character" w:customStyle="1" w:styleId="178">
    <w:name w:val="bds_nopic"/>
    <w:basedOn w:val="43"/>
    <w:qFormat/>
    <w:uiPriority w:val="0"/>
    <w:rPr>
      <w:rFonts w:ascii="Times New Roman" w:hAnsi="Times New Roman" w:eastAsia="宋体"/>
    </w:rPr>
  </w:style>
  <w:style w:type="character" w:customStyle="1" w:styleId="179">
    <w:name w:val="标题 5 Char"/>
    <w:qFormat/>
    <w:uiPriority w:val="0"/>
    <w:rPr>
      <w:b/>
      <w:bCs/>
      <w:kern w:val="2"/>
      <w:sz w:val="28"/>
      <w:szCs w:val="28"/>
    </w:rPr>
  </w:style>
  <w:style w:type="character" w:customStyle="1" w:styleId="180">
    <w:name w:val=" Char Char14"/>
    <w:basedOn w:val="43"/>
    <w:qFormat/>
    <w:uiPriority w:val="0"/>
    <w:rPr>
      <w:rFonts w:ascii="Arial" w:hAnsi="Arial" w:eastAsia="黑体"/>
      <w:b/>
      <w:bCs/>
      <w:sz w:val="28"/>
      <w:szCs w:val="28"/>
      <w:lang w:val="en-US" w:eastAsia="zh-CN" w:bidi="ar-SA"/>
    </w:rPr>
  </w:style>
  <w:style w:type="character" w:customStyle="1" w:styleId="181">
    <w:name w:val="标题 9 Char"/>
    <w:qFormat/>
    <w:uiPriority w:val="0"/>
    <w:rPr>
      <w:rFonts w:ascii="Arial" w:hAnsi="Arial" w:eastAsia="黑体"/>
      <w:sz w:val="21"/>
      <w:szCs w:val="21"/>
    </w:rPr>
  </w:style>
  <w:style w:type="character" w:customStyle="1" w:styleId="182">
    <w:name w:val="标题 6 Char1"/>
    <w:link w:val="7"/>
    <w:qFormat/>
    <w:uiPriority w:val="0"/>
    <w:rPr>
      <w:rFonts w:ascii="Arial" w:hAnsi="Arial" w:eastAsia="黑体"/>
      <w:b/>
      <w:bCs/>
      <w:sz w:val="24"/>
      <w:szCs w:val="24"/>
      <w:lang w:val="en-US" w:eastAsia="zh-CN" w:bidi="ar-SA"/>
    </w:rPr>
  </w:style>
  <w:style w:type="character" w:customStyle="1" w:styleId="183">
    <w:name w:val="Font Style131"/>
    <w:basedOn w:val="43"/>
    <w:unhideWhenUsed/>
    <w:qFormat/>
    <w:uiPriority w:val="0"/>
    <w:rPr>
      <w:rFonts w:hint="eastAsia" w:ascii="Times New Roman" w:hAnsi="Times New Roman" w:eastAsia="Times New Roman"/>
      <w:sz w:val="18"/>
    </w:rPr>
  </w:style>
  <w:style w:type="character" w:customStyle="1" w:styleId="184">
    <w:name w:val="span-bg"/>
    <w:basedOn w:val="43"/>
    <w:qFormat/>
    <w:uiPriority w:val="0"/>
  </w:style>
  <w:style w:type="character" w:customStyle="1" w:styleId="185">
    <w:name w:val="正文文本缩进 Char"/>
    <w:link w:val="18"/>
    <w:qFormat/>
    <w:uiPriority w:val="0"/>
    <w:rPr>
      <w:rFonts w:eastAsia="宋体"/>
      <w:kern w:val="2"/>
      <w:sz w:val="21"/>
      <w:szCs w:val="24"/>
      <w:lang w:val="en-US" w:eastAsia="zh-CN" w:bidi="ar-SA"/>
    </w:rPr>
  </w:style>
  <w:style w:type="character" w:customStyle="1" w:styleId="186">
    <w:name w:val="批注主题 Char"/>
    <w:qFormat/>
    <w:uiPriority w:val="0"/>
    <w:rPr>
      <w:b/>
      <w:bCs/>
      <w:kern w:val="2"/>
      <w:sz w:val="21"/>
      <w:szCs w:val="24"/>
    </w:rPr>
  </w:style>
  <w:style w:type="character" w:customStyle="1" w:styleId="187">
    <w:name w:val=" Char Char15"/>
    <w:qFormat/>
    <w:uiPriority w:val="0"/>
    <w:rPr>
      <w:b/>
      <w:bCs/>
      <w:sz w:val="24"/>
      <w:szCs w:val="24"/>
    </w:rPr>
  </w:style>
  <w:style w:type="character" w:customStyle="1" w:styleId="188">
    <w:name w:val="desc"/>
    <w:basedOn w:val="43"/>
    <w:qFormat/>
    <w:uiPriority w:val="0"/>
    <w:rPr>
      <w:rFonts w:ascii="Times New Roman" w:hAnsi="Times New Roman" w:eastAsia="宋体"/>
      <w:color w:val="000000"/>
      <w:sz w:val="18"/>
      <w:szCs w:val="18"/>
    </w:rPr>
  </w:style>
  <w:style w:type="character" w:customStyle="1" w:styleId="189">
    <w:name w:val="Font Style133"/>
    <w:basedOn w:val="43"/>
    <w:unhideWhenUsed/>
    <w:qFormat/>
    <w:uiPriority w:val="0"/>
    <w:rPr>
      <w:rFonts w:hint="eastAsia" w:ascii="宋体" w:hAnsi="宋体" w:eastAsia="宋体"/>
      <w:spacing w:val="30"/>
      <w:sz w:val="24"/>
    </w:rPr>
  </w:style>
  <w:style w:type="character" w:customStyle="1" w:styleId="190">
    <w:name w:val="页眉 Char"/>
    <w:qFormat/>
    <w:uiPriority w:val="0"/>
    <w:rPr>
      <w:kern w:val="2"/>
      <w:sz w:val="18"/>
      <w:szCs w:val="18"/>
    </w:rPr>
  </w:style>
  <w:style w:type="character" w:customStyle="1" w:styleId="191">
    <w:name w:val="bds_more10"/>
    <w:basedOn w:val="43"/>
    <w:qFormat/>
    <w:uiPriority w:val="0"/>
    <w:rPr>
      <w:rFonts w:ascii="Times New Roman" w:hAnsi="Times New Roman" w:eastAsia="宋体"/>
    </w:rPr>
  </w:style>
  <w:style w:type="character" w:customStyle="1" w:styleId="192">
    <w:name w:val="批注文字 Char1"/>
    <w:link w:val="14"/>
    <w:qFormat/>
    <w:uiPriority w:val="0"/>
    <w:rPr>
      <w:rFonts w:eastAsia="宋体"/>
      <w:kern w:val="2"/>
      <w:sz w:val="21"/>
      <w:szCs w:val="24"/>
      <w:lang w:val="en-US" w:eastAsia="zh-CN" w:bidi="ar-SA"/>
    </w:rPr>
  </w:style>
  <w:style w:type="character" w:customStyle="1" w:styleId="193">
    <w:name w:val="title22"/>
    <w:basedOn w:val="43"/>
    <w:qFormat/>
    <w:uiPriority w:val="0"/>
    <w:rPr>
      <w:b/>
      <w:color w:val="000000"/>
    </w:rPr>
  </w:style>
  <w:style w:type="character" w:customStyle="1" w:styleId="194">
    <w:name w:val="lemmatitleh12"/>
    <w:basedOn w:val="43"/>
    <w:qFormat/>
    <w:uiPriority w:val="0"/>
    <w:rPr>
      <w:rFonts w:ascii="Times New Roman" w:hAnsi="Times New Roman" w:eastAsia="宋体"/>
    </w:rPr>
  </w:style>
  <w:style w:type="character" w:customStyle="1" w:styleId="195">
    <w:name w:val="Font Style123"/>
    <w:basedOn w:val="43"/>
    <w:unhideWhenUsed/>
    <w:qFormat/>
    <w:uiPriority w:val="0"/>
    <w:rPr>
      <w:rFonts w:hint="eastAsia" w:ascii="宋体" w:hAnsi="宋体" w:eastAsia="宋体"/>
      <w:b/>
      <w:sz w:val="32"/>
    </w:rPr>
  </w:style>
  <w:style w:type="character" w:customStyle="1" w:styleId="196">
    <w:name w:val="标题 2 Char"/>
    <w:qFormat/>
    <w:uiPriority w:val="0"/>
    <w:rPr>
      <w:rFonts w:ascii="Cambria" w:hAnsi="Cambria" w:eastAsia="宋体" w:cs="Times New Roman"/>
      <w:b/>
      <w:bCs/>
      <w:kern w:val="2"/>
      <w:sz w:val="32"/>
      <w:szCs w:val="32"/>
    </w:rPr>
  </w:style>
  <w:style w:type="character" w:customStyle="1" w:styleId="197">
    <w:name w:val="title2"/>
    <w:basedOn w:val="43"/>
    <w:qFormat/>
    <w:uiPriority w:val="0"/>
    <w:rPr>
      <w:b/>
      <w:color w:val="000000"/>
    </w:rPr>
  </w:style>
  <w:style w:type="character" w:customStyle="1" w:styleId="198">
    <w:name w:val="Font Style86"/>
    <w:basedOn w:val="43"/>
    <w:unhideWhenUsed/>
    <w:qFormat/>
    <w:uiPriority w:val="0"/>
    <w:rPr>
      <w:rFonts w:hint="eastAsia" w:ascii="黑体" w:hAnsi="黑体" w:eastAsia="黑体"/>
      <w:spacing w:val="10"/>
      <w:sz w:val="30"/>
    </w:rPr>
  </w:style>
  <w:style w:type="character" w:customStyle="1" w:styleId="199">
    <w:name w:val="title_2"/>
    <w:basedOn w:val="43"/>
    <w:qFormat/>
    <w:uiPriority w:val="0"/>
    <w:rPr>
      <w:b/>
      <w:sz w:val="19"/>
      <w:szCs w:val="19"/>
    </w:rPr>
  </w:style>
  <w:style w:type="character" w:customStyle="1" w:styleId="200">
    <w:name w:val="plus"/>
    <w:basedOn w:val="43"/>
    <w:qFormat/>
    <w:uiPriority w:val="0"/>
    <w:rPr>
      <w:rFonts w:ascii="Times New Roman" w:hAnsi="Times New Roman" w:eastAsia="宋体"/>
      <w:b/>
      <w:vanish/>
      <w:color w:val="1F8DEF"/>
      <w:sz w:val="24"/>
      <w:szCs w:val="24"/>
    </w:rPr>
  </w:style>
  <w:style w:type="character" w:customStyle="1" w:styleId="201">
    <w:name w:val="Font Style128"/>
    <w:basedOn w:val="43"/>
    <w:unhideWhenUsed/>
    <w:qFormat/>
    <w:uiPriority w:val="0"/>
    <w:rPr>
      <w:rFonts w:hint="eastAsia" w:ascii="Times New Roman" w:hAnsi="Times New Roman" w:eastAsia="Times New Roman"/>
      <w:sz w:val="16"/>
    </w:rPr>
  </w:style>
  <w:style w:type="character" w:customStyle="1" w:styleId="202">
    <w:name w:val=" Char Char17"/>
    <w:basedOn w:val="43"/>
    <w:qFormat/>
    <w:uiPriority w:val="0"/>
    <w:rPr>
      <w:rFonts w:ascii="宋体" w:hAnsi="Times New Roman" w:eastAsia="宋体"/>
      <w:b/>
      <w:sz w:val="28"/>
      <w:lang w:val="en-US" w:eastAsia="zh-CN" w:bidi="ar-SA"/>
    </w:rPr>
  </w:style>
  <w:style w:type="character" w:customStyle="1" w:styleId="203">
    <w:name w:val="Font Style124"/>
    <w:basedOn w:val="43"/>
    <w:unhideWhenUsed/>
    <w:qFormat/>
    <w:uiPriority w:val="0"/>
    <w:rPr>
      <w:rFonts w:hint="eastAsia" w:ascii="宋体" w:hAnsi="宋体" w:eastAsia="宋体"/>
      <w:spacing w:val="30"/>
      <w:sz w:val="24"/>
    </w:rPr>
  </w:style>
  <w:style w:type="character" w:customStyle="1" w:styleId="204">
    <w:name w:val="p0 Char"/>
    <w:link w:val="117"/>
    <w:qFormat/>
    <w:uiPriority w:val="0"/>
    <w:rPr>
      <w:rFonts w:eastAsia="宋体"/>
      <w:sz w:val="21"/>
      <w:szCs w:val="21"/>
      <w:lang w:val="en-US" w:eastAsia="zh-CN" w:bidi="ar-SA"/>
    </w:rPr>
  </w:style>
  <w:style w:type="character" w:customStyle="1" w:styleId="205">
    <w:name w:val="content_2"/>
    <w:basedOn w:val="43"/>
    <w:qFormat/>
    <w:uiPriority w:val="0"/>
    <w:rPr>
      <w:sz w:val="19"/>
      <w:szCs w:val="19"/>
    </w:rPr>
  </w:style>
  <w:style w:type="character" w:customStyle="1" w:styleId="206">
    <w:name w:val="bds_nopic2"/>
    <w:basedOn w:val="43"/>
    <w:qFormat/>
    <w:uiPriority w:val="0"/>
    <w:rPr>
      <w:rFonts w:ascii="Times New Roman" w:hAnsi="Times New Roman" w:eastAsia="宋体"/>
    </w:rPr>
  </w:style>
  <w:style w:type="character" w:customStyle="1" w:styleId="207">
    <w:name w:val="Font Style116"/>
    <w:basedOn w:val="43"/>
    <w:unhideWhenUsed/>
    <w:qFormat/>
    <w:uiPriority w:val="0"/>
    <w:rPr>
      <w:rFonts w:hint="eastAsia" w:ascii="宋体" w:hAnsi="宋体" w:eastAsia="宋体"/>
      <w:spacing w:val="-20"/>
      <w:sz w:val="24"/>
    </w:rPr>
  </w:style>
  <w:style w:type="character" w:customStyle="1" w:styleId="208">
    <w:name w:val="morelink-item"/>
    <w:basedOn w:val="43"/>
    <w:qFormat/>
    <w:uiPriority w:val="0"/>
    <w:rPr>
      <w:rFonts w:ascii="Times New Roman" w:hAnsi="Times New Roman" w:eastAsia="宋体"/>
    </w:rPr>
  </w:style>
  <w:style w:type="character" w:customStyle="1" w:styleId="209">
    <w:name w:val="日期 Char"/>
    <w:qFormat/>
    <w:uiPriority w:val="0"/>
    <w:rPr>
      <w:kern w:val="2"/>
      <w:sz w:val="21"/>
      <w:szCs w:val="24"/>
    </w:rPr>
  </w:style>
  <w:style w:type="character" w:customStyle="1" w:styleId="210">
    <w:name w:val="Font Style115"/>
    <w:basedOn w:val="43"/>
    <w:unhideWhenUsed/>
    <w:qFormat/>
    <w:uiPriority w:val="0"/>
    <w:rPr>
      <w:rFonts w:hint="eastAsia" w:ascii="Times New Roman" w:hAnsi="Times New Roman" w:eastAsia="Times New Roman"/>
      <w:sz w:val="16"/>
    </w:rPr>
  </w:style>
  <w:style w:type="character" w:customStyle="1" w:styleId="211">
    <w:name w:val="批注文字 Char"/>
    <w:qFormat/>
    <w:uiPriority w:val="0"/>
    <w:rPr>
      <w:kern w:val="2"/>
      <w:sz w:val="21"/>
      <w:szCs w:val="24"/>
    </w:rPr>
  </w:style>
  <w:style w:type="character" w:customStyle="1" w:styleId="212">
    <w:name w:val="标题 Char"/>
    <w:qFormat/>
    <w:uiPriority w:val="0"/>
    <w:rPr>
      <w:rFonts w:ascii="Cambria" w:hAnsi="Cambria"/>
      <w:b/>
      <w:kern w:val="2"/>
      <w:sz w:val="32"/>
      <w:szCs w:val="24"/>
    </w:rPr>
  </w:style>
  <w:style w:type="character" w:customStyle="1" w:styleId="213">
    <w:name w:val="mail-contents"/>
    <w:basedOn w:val="43"/>
    <w:qFormat/>
    <w:uiPriority w:val="0"/>
  </w:style>
  <w:style w:type="character" w:customStyle="1" w:styleId="214">
    <w:name w:val="Font Style90"/>
    <w:basedOn w:val="43"/>
    <w:unhideWhenUsed/>
    <w:qFormat/>
    <w:uiPriority w:val="0"/>
    <w:rPr>
      <w:rFonts w:hint="eastAsia" w:ascii="宋体" w:hAnsi="宋体" w:eastAsia="宋体"/>
      <w:b/>
      <w:spacing w:val="-20"/>
      <w:sz w:val="40"/>
    </w:rPr>
  </w:style>
  <w:style w:type="character" w:customStyle="1" w:styleId="215">
    <w:name w:val="日期 Char1"/>
    <w:link w:val="24"/>
    <w:qFormat/>
    <w:uiPriority w:val="0"/>
    <w:rPr>
      <w:rFonts w:eastAsia="宋体"/>
      <w:kern w:val="2"/>
      <w:sz w:val="24"/>
      <w:lang w:val="en-US" w:eastAsia="zh-CN" w:bidi="ar-SA"/>
    </w:rPr>
  </w:style>
  <w:style w:type="character" w:customStyle="1" w:styleId="216">
    <w:name w:val="正文文本缩进 3 Char"/>
    <w:qFormat/>
    <w:uiPriority w:val="0"/>
    <w:rPr>
      <w:rFonts w:ascii="宋体" w:hAnsi="MS Sans Serif"/>
      <w:color w:val="000000"/>
      <w:sz w:val="24"/>
    </w:rPr>
  </w:style>
  <w:style w:type="character" w:customStyle="1" w:styleId="217">
    <w:name w:val="批注主题 Char1"/>
    <w:link w:val="40"/>
    <w:qFormat/>
    <w:uiPriority w:val="0"/>
    <w:rPr>
      <w:rFonts w:eastAsia="宋体"/>
      <w:b/>
      <w:bCs/>
      <w:kern w:val="2"/>
      <w:sz w:val="21"/>
      <w:szCs w:val="24"/>
      <w:lang w:val="en-US" w:eastAsia="zh-CN" w:bidi="ar-SA"/>
    </w:rPr>
  </w:style>
  <w:style w:type="character" w:customStyle="1" w:styleId="218">
    <w:name w:val="bds_nopic1"/>
    <w:basedOn w:val="43"/>
    <w:qFormat/>
    <w:uiPriority w:val="0"/>
    <w:rPr>
      <w:rFonts w:ascii="Times New Roman" w:hAnsi="Times New Roman" w:eastAsia="宋体"/>
    </w:rPr>
  </w:style>
  <w:style w:type="character" w:customStyle="1" w:styleId="219">
    <w:name w:val="bds_more8"/>
    <w:basedOn w:val="43"/>
    <w:qFormat/>
    <w:uiPriority w:val="0"/>
    <w:rPr>
      <w:rFonts w:ascii="Times New Roman" w:hAnsi="Times New Roman" w:eastAsia="宋体"/>
    </w:rPr>
  </w:style>
  <w:style w:type="character" w:customStyle="1" w:styleId="220">
    <w:name w:val="批注框文本 Char1"/>
    <w:link w:val="26"/>
    <w:semiHidden/>
    <w:qFormat/>
    <w:locked/>
    <w:uiPriority w:val="0"/>
    <w:rPr>
      <w:rFonts w:ascii="Calibri" w:hAnsi="Calibri" w:eastAsia="宋体"/>
      <w:kern w:val="2"/>
      <w:sz w:val="18"/>
      <w:szCs w:val="18"/>
      <w:lang w:val="en-US" w:eastAsia="zh-CN" w:bidi="ar-SA"/>
    </w:rPr>
  </w:style>
  <w:style w:type="character" w:customStyle="1" w:styleId="221">
    <w:name w:val="sidecatalog-index2"/>
    <w:basedOn w:val="43"/>
    <w:qFormat/>
    <w:uiPriority w:val="0"/>
    <w:rPr>
      <w:rFonts w:ascii="Arail" w:hAnsi="Arail" w:eastAsia="Arail" w:cs="Arail"/>
      <w:color w:val="999999"/>
      <w:sz w:val="21"/>
      <w:szCs w:val="21"/>
    </w:rPr>
  </w:style>
  <w:style w:type="character" w:customStyle="1" w:styleId="222">
    <w:name w:val="标题 1 Char"/>
    <w:qFormat/>
    <w:uiPriority w:val="0"/>
    <w:rPr>
      <w:rFonts w:ascii="Cambria" w:hAnsi="Cambria"/>
      <w:b/>
      <w:bCs/>
      <w:kern w:val="32"/>
      <w:sz w:val="32"/>
      <w:szCs w:val="32"/>
    </w:rPr>
  </w:style>
  <w:style w:type="character" w:customStyle="1" w:styleId="223">
    <w:name w:val="p0 Char Char"/>
    <w:qFormat/>
    <w:uiPriority w:val="0"/>
    <w:rPr>
      <w:rFonts w:eastAsia="宋体"/>
      <w:kern w:val="2"/>
      <w:sz w:val="21"/>
      <w:szCs w:val="21"/>
      <w:lang w:val="en-US" w:eastAsia="zh-CN" w:bidi="ar-SA"/>
    </w:rPr>
  </w:style>
  <w:style w:type="character" w:customStyle="1" w:styleId="224">
    <w:name w:val="title21"/>
    <w:basedOn w:val="43"/>
    <w:qFormat/>
    <w:uiPriority w:val="0"/>
    <w:rPr>
      <w:b/>
      <w:color w:val="000000"/>
    </w:rPr>
  </w:style>
  <w:style w:type="character" w:customStyle="1" w:styleId="225">
    <w:name w:val="标题 Char1"/>
    <w:basedOn w:val="43"/>
    <w:qFormat/>
    <w:uiPriority w:val="0"/>
    <w:rPr>
      <w:rFonts w:ascii="Cambria" w:hAnsi="Cambria" w:eastAsia="宋体" w:cs="Times New Roman"/>
      <w:b/>
      <w:bCs/>
      <w:sz w:val="32"/>
      <w:szCs w:val="32"/>
    </w:rPr>
  </w:style>
  <w:style w:type="character" w:customStyle="1" w:styleId="226">
    <w:name w:val="标题 1 Char1"/>
    <w:link w:val="2"/>
    <w:qFormat/>
    <w:uiPriority w:val="0"/>
    <w:rPr>
      <w:rFonts w:ascii="Times New Roman" w:hAnsi="Times New Roman" w:eastAsia="黑体"/>
      <w:b/>
      <w:bCs/>
      <w:kern w:val="2"/>
      <w:sz w:val="32"/>
      <w:lang w:val="en-US" w:eastAsia="zh-CN" w:bidi="ar-SA"/>
    </w:rPr>
  </w:style>
  <w:style w:type="character" w:customStyle="1" w:styleId="227">
    <w:name w:val="样式1 Char"/>
    <w:basedOn w:val="43"/>
    <w:link w:val="58"/>
    <w:qFormat/>
    <w:uiPriority w:val="0"/>
    <w:rPr>
      <w:rFonts w:ascii="宋体" w:hAnsi="宋体" w:eastAsia="宋体"/>
      <w:sz w:val="21"/>
      <w:szCs w:val="21"/>
      <w:lang w:val="en-US" w:eastAsia="zh-CN" w:bidi="ar-SA"/>
    </w:rPr>
  </w:style>
  <w:style w:type="character" w:customStyle="1" w:styleId="228">
    <w:name w:val="标题 3 Char"/>
    <w:qFormat/>
    <w:uiPriority w:val="0"/>
    <w:rPr>
      <w:b/>
      <w:bCs/>
      <w:sz w:val="24"/>
      <w:szCs w:val="24"/>
    </w:rPr>
  </w:style>
  <w:style w:type="character" w:customStyle="1" w:styleId="229">
    <w:name w:val="批注文字 Char Char"/>
    <w:qFormat/>
    <w:uiPriority w:val="0"/>
    <w:rPr>
      <w:kern w:val="2"/>
      <w:sz w:val="21"/>
      <w:szCs w:val="24"/>
      <w:lang w:bidi="ar-SA"/>
    </w:rPr>
  </w:style>
  <w:style w:type="character" w:customStyle="1" w:styleId="230">
    <w:name w:val="content_table1"/>
    <w:basedOn w:val="43"/>
    <w:qFormat/>
    <w:uiPriority w:val="0"/>
    <w:rPr>
      <w:sz w:val="19"/>
      <w:szCs w:val="19"/>
    </w:rPr>
  </w:style>
  <w:style w:type="character" w:customStyle="1" w:styleId="231">
    <w:name w:val=" Char Char12"/>
    <w:qFormat/>
    <w:uiPriority w:val="0"/>
    <w:rPr>
      <w:rFonts w:ascii="Arial" w:hAnsi="Arial" w:eastAsia="黑体"/>
      <w:b/>
      <w:bCs/>
      <w:kern w:val="2"/>
      <w:sz w:val="28"/>
      <w:szCs w:val="28"/>
      <w:lang w:val="en-US" w:eastAsia="zh-CN" w:bidi="ar-SA"/>
    </w:rPr>
  </w:style>
  <w:style w:type="character" w:customStyle="1" w:styleId="232">
    <w:name w:val="标题 2 Char1"/>
    <w:link w:val="3"/>
    <w:qFormat/>
    <w:uiPriority w:val="0"/>
    <w:rPr>
      <w:rFonts w:ascii="Arial" w:hAnsi="Arial" w:eastAsia="宋体"/>
      <w:b/>
      <w:bCs/>
      <w:kern w:val="2"/>
      <w:sz w:val="24"/>
      <w:szCs w:val="32"/>
      <w:lang w:val="en-US" w:eastAsia="zh-CN" w:bidi="ar-SA"/>
    </w:rPr>
  </w:style>
  <w:style w:type="character" w:customStyle="1" w:styleId="233">
    <w:name w:val="标题 7 Char"/>
    <w:qFormat/>
    <w:uiPriority w:val="0"/>
    <w:rPr>
      <w:b/>
      <w:bCs/>
      <w:sz w:val="24"/>
      <w:szCs w:val="24"/>
    </w:rPr>
  </w:style>
  <w:style w:type="character" w:customStyle="1" w:styleId="234">
    <w:name w:val="title_1"/>
    <w:basedOn w:val="43"/>
    <w:qFormat/>
    <w:uiPriority w:val="0"/>
    <w:rPr>
      <w:b/>
      <w:sz w:val="30"/>
      <w:szCs w:val="30"/>
    </w:rPr>
  </w:style>
  <w:style w:type="character" w:customStyle="1" w:styleId="235">
    <w:name w:val="Font Style105"/>
    <w:basedOn w:val="43"/>
    <w:unhideWhenUsed/>
    <w:qFormat/>
    <w:uiPriority w:val="0"/>
    <w:rPr>
      <w:rFonts w:hint="eastAsia" w:ascii="Times New Roman" w:hAnsi="Times New Roman" w:eastAsia="Times New Roman"/>
      <w:w w:val="60"/>
      <w:sz w:val="26"/>
    </w:rPr>
  </w:style>
  <w:style w:type="character" w:customStyle="1" w:styleId="236">
    <w:name w:val="批注框文本 Char"/>
    <w:qFormat/>
    <w:uiPriority w:val="0"/>
    <w:rPr>
      <w:kern w:val="2"/>
      <w:sz w:val="18"/>
      <w:szCs w:val="18"/>
    </w:rPr>
  </w:style>
  <w:style w:type="character" w:customStyle="1" w:styleId="237">
    <w:name w:val="标题 4 Char1"/>
    <w:link w:val="5"/>
    <w:qFormat/>
    <w:uiPriority w:val="0"/>
    <w:rPr>
      <w:rFonts w:ascii="Arial" w:hAnsi="Arial" w:eastAsia="黑体"/>
      <w:b/>
      <w:bCs/>
      <w:kern w:val="2"/>
      <w:sz w:val="28"/>
      <w:szCs w:val="28"/>
      <w:lang w:val="en-US" w:eastAsia="zh-CN" w:bidi="ar-SA"/>
    </w:rPr>
  </w:style>
  <w:style w:type="character" w:customStyle="1" w:styleId="238">
    <w:name w:val="标题 4 Char Char"/>
    <w:qFormat/>
    <w:uiPriority w:val="0"/>
    <w:rPr>
      <w:rFonts w:ascii="Arial" w:hAnsi="Arial" w:eastAsia="宋体"/>
      <w:b/>
      <w:bCs/>
      <w:kern w:val="2"/>
      <w:sz w:val="21"/>
      <w:szCs w:val="28"/>
      <w:lang w:val="en-US" w:eastAsia="zh-CN" w:bidi="ar-SA"/>
    </w:rPr>
  </w:style>
  <w:style w:type="character" w:customStyle="1" w:styleId="239">
    <w:name w:val="Font Style134"/>
    <w:basedOn w:val="43"/>
    <w:unhideWhenUsed/>
    <w:qFormat/>
    <w:uiPriority w:val="0"/>
    <w:rPr>
      <w:rFonts w:hint="eastAsia" w:ascii="宋体" w:hAnsi="宋体" w:eastAsia="宋体"/>
      <w:spacing w:val="20"/>
      <w:sz w:val="22"/>
    </w:rPr>
  </w:style>
  <w:style w:type="character" w:customStyle="1" w:styleId="240">
    <w:name w:val="bds_more6"/>
    <w:basedOn w:val="43"/>
    <w:qFormat/>
    <w:uiPriority w:val="0"/>
    <w:rPr>
      <w:rFonts w:hint="eastAsia" w:ascii="宋体" w:hAnsi="宋体" w:eastAsia="宋体" w:cs="宋体"/>
    </w:rPr>
  </w:style>
  <w:style w:type="character" w:customStyle="1" w:styleId="241">
    <w:name w:val="content"/>
    <w:basedOn w:val="43"/>
    <w:qFormat/>
    <w:uiPriority w:val="0"/>
    <w:rPr>
      <w:sz w:val="19"/>
      <w:szCs w:val="19"/>
    </w:rPr>
  </w:style>
  <w:style w:type="character" w:customStyle="1" w:styleId="242">
    <w:name w:val="polysemyred"/>
    <w:basedOn w:val="43"/>
    <w:qFormat/>
    <w:uiPriority w:val="0"/>
    <w:rPr>
      <w:rFonts w:ascii="Times New Roman" w:hAnsi="Times New Roman" w:eastAsia="宋体"/>
      <w:color w:val="FF6666"/>
      <w:sz w:val="18"/>
      <w:szCs w:val="18"/>
    </w:rPr>
  </w:style>
  <w:style w:type="character" w:customStyle="1" w:styleId="243">
    <w:name w:val="标题 9 Char1"/>
    <w:link w:val="10"/>
    <w:qFormat/>
    <w:uiPriority w:val="0"/>
    <w:rPr>
      <w:rFonts w:ascii="Arial" w:hAnsi="Arial" w:eastAsia="黑体"/>
      <w:sz w:val="21"/>
      <w:szCs w:val="21"/>
      <w:lang w:val="en-US" w:eastAsia="zh-CN" w:bidi="ar-SA"/>
    </w:rPr>
  </w:style>
  <w:style w:type="character" w:customStyle="1" w:styleId="244">
    <w:name w:val="页脚 Char1"/>
    <w:link w:val="27"/>
    <w:qFormat/>
    <w:uiPriority w:val="0"/>
    <w:rPr>
      <w:rFonts w:eastAsia="宋体"/>
      <w:kern w:val="2"/>
      <w:sz w:val="18"/>
      <w:szCs w:val="18"/>
      <w:lang w:val="en-US" w:eastAsia="zh-CN" w:bidi="ar-SA"/>
    </w:rPr>
  </w:style>
  <w:style w:type="character" w:customStyle="1" w:styleId="245">
    <w:name w:val="title_3"/>
    <w:basedOn w:val="43"/>
    <w:qFormat/>
    <w:uiPriority w:val="0"/>
    <w:rPr>
      <w:b/>
      <w:sz w:val="15"/>
      <w:szCs w:val="15"/>
    </w:rPr>
  </w:style>
  <w:style w:type="character" w:customStyle="1" w:styleId="246">
    <w:name w:val="标题 5 Char1"/>
    <w:link w:val="6"/>
    <w:qFormat/>
    <w:uiPriority w:val="0"/>
    <w:rPr>
      <w:rFonts w:eastAsia="宋体"/>
      <w:b/>
      <w:bCs/>
      <w:sz w:val="28"/>
      <w:szCs w:val="28"/>
      <w:lang w:val="en-US" w:eastAsia="zh-CN" w:bidi="ar-SA"/>
    </w:rPr>
  </w:style>
  <w:style w:type="character" w:customStyle="1" w:styleId="247">
    <w:name w:val="页眉 Char1"/>
    <w:link w:val="28"/>
    <w:qFormat/>
    <w:uiPriority w:val="0"/>
    <w:rPr>
      <w:rFonts w:eastAsia="宋体"/>
      <w:kern w:val="2"/>
      <w:sz w:val="18"/>
      <w:szCs w:val="18"/>
      <w:lang w:val="en-US" w:eastAsia="zh-CN" w:bidi="ar-SA"/>
    </w:rPr>
  </w:style>
  <w:style w:type="character" w:customStyle="1" w:styleId="248">
    <w:name w:val="sort"/>
    <w:basedOn w:val="43"/>
    <w:qFormat/>
    <w:uiPriority w:val="0"/>
    <w:rPr>
      <w:rFonts w:ascii="Times New Roman" w:hAnsi="Times New Roman" w:eastAsia="宋体"/>
      <w:color w:val="FFFFFF"/>
      <w:bdr w:val="single" w:color="auto" w:sz="24" w:space="0"/>
    </w:rPr>
  </w:style>
  <w:style w:type="character" w:customStyle="1" w:styleId="249">
    <w:name w:val="sidecatalog-dot"/>
    <w:basedOn w:val="43"/>
    <w:qFormat/>
    <w:uiPriority w:val="0"/>
    <w:rPr>
      <w:rFonts w:ascii="Times New Roman" w:hAnsi="Times New Roman" w:eastAsia="宋体"/>
    </w:rPr>
  </w:style>
  <w:style w:type="character" w:customStyle="1" w:styleId="250">
    <w:name w:val="polysemyexp"/>
    <w:basedOn w:val="43"/>
    <w:qFormat/>
    <w:uiPriority w:val="0"/>
    <w:rPr>
      <w:rFonts w:ascii="Times New Roman" w:hAnsi="Times New Roman" w:eastAsia="宋体"/>
      <w:color w:val="AAAAAA"/>
      <w:sz w:val="18"/>
      <w:szCs w:val="18"/>
    </w:rPr>
  </w:style>
  <w:style w:type="character" w:customStyle="1" w:styleId="251">
    <w:name w:val="标题 8 Char1"/>
    <w:link w:val="9"/>
    <w:qFormat/>
    <w:uiPriority w:val="0"/>
    <w:rPr>
      <w:rFonts w:ascii="Arial" w:hAnsi="Arial" w:eastAsia="黑体"/>
      <w:sz w:val="24"/>
      <w:szCs w:val="24"/>
      <w:lang w:val="en-US" w:eastAsia="zh-CN" w:bidi="ar-SA"/>
    </w:rPr>
  </w:style>
  <w:style w:type="character" w:customStyle="1" w:styleId="252">
    <w:name w:val="sidecatalog-index1"/>
    <w:basedOn w:val="43"/>
    <w:qFormat/>
    <w:uiPriority w:val="0"/>
    <w:rPr>
      <w:rFonts w:ascii="Arial" w:hAnsi="Arial" w:eastAsia="宋体" w:cs="Arial"/>
      <w:b/>
      <w:color w:val="999999"/>
      <w:sz w:val="21"/>
      <w:szCs w:val="21"/>
    </w:rPr>
  </w:style>
  <w:style w:type="character" w:customStyle="1" w:styleId="253">
    <w:name w:val="sidecatalog-dot1"/>
    <w:basedOn w:val="43"/>
    <w:qFormat/>
    <w:uiPriority w:val="0"/>
    <w:rPr>
      <w:rFonts w:ascii="Times New Roman" w:hAnsi="Times New Roman" w:eastAsia="宋体"/>
    </w:rPr>
  </w:style>
  <w:style w:type="character" w:customStyle="1" w:styleId="254">
    <w:name w:val="Font Style104"/>
    <w:basedOn w:val="43"/>
    <w:unhideWhenUsed/>
    <w:qFormat/>
    <w:uiPriority w:val="0"/>
    <w:rPr>
      <w:rFonts w:hint="eastAsia" w:ascii="宋体" w:hAnsi="宋体" w:eastAsia="宋体"/>
      <w:spacing w:val="30"/>
      <w:sz w:val="18"/>
    </w:rPr>
  </w:style>
  <w:style w:type="character" w:customStyle="1" w:styleId="255">
    <w:name w:val="content_31"/>
    <w:basedOn w:val="43"/>
    <w:qFormat/>
    <w:uiPriority w:val="0"/>
    <w:rPr>
      <w:sz w:val="19"/>
      <w:szCs w:val="19"/>
    </w:rPr>
  </w:style>
  <w:style w:type="character" w:customStyle="1" w:styleId="256">
    <w:name w:val=" Char Char13"/>
    <w:qFormat/>
    <w:uiPriority w:val="0"/>
    <w:rPr>
      <w:rFonts w:eastAsia="宋体"/>
      <w:b/>
      <w:bCs/>
      <w:kern w:val="2"/>
      <w:sz w:val="24"/>
      <w:lang w:val="en-US" w:eastAsia="zh-CN" w:bidi="ar-SA"/>
    </w:rPr>
  </w:style>
  <w:style w:type="character" w:customStyle="1" w:styleId="257">
    <w:name w:val="标题 7 Char1"/>
    <w:link w:val="8"/>
    <w:qFormat/>
    <w:uiPriority w:val="0"/>
    <w:rPr>
      <w:rFonts w:eastAsia="宋体"/>
      <w:b/>
      <w:bCs/>
      <w:sz w:val="24"/>
      <w:szCs w:val="24"/>
      <w:lang w:val="en-US" w:eastAsia="zh-CN" w:bidi="ar-SA"/>
    </w:rPr>
  </w:style>
  <w:style w:type="character" w:customStyle="1" w:styleId="258">
    <w:name w:val="bds_more9"/>
    <w:basedOn w:val="43"/>
    <w:qFormat/>
    <w:uiPriority w:val="0"/>
    <w:rPr>
      <w:rFonts w:ascii="Times New Roman" w:hAnsi="Times New Roman" w:eastAsia="宋体"/>
    </w:rPr>
  </w:style>
  <w:style w:type="character" w:customStyle="1" w:styleId="259">
    <w:name w:val=" Char Char16"/>
    <w:basedOn w:val="43"/>
    <w:qFormat/>
    <w:uiPriority w:val="0"/>
    <w:rPr>
      <w:rFonts w:ascii="宋体" w:hAnsi="Times New Roman" w:eastAsia="宋体"/>
      <w:b/>
      <w:sz w:val="24"/>
      <w:lang w:val="en-US" w:eastAsia="zh-CN" w:bidi="ar-SA"/>
    </w:rPr>
  </w:style>
  <w:style w:type="character" w:customStyle="1" w:styleId="260">
    <w:name w:val="纯文本 Char"/>
    <w:link w:val="22"/>
    <w:semiHidden/>
    <w:qFormat/>
    <w:locked/>
    <w:uiPriority w:val="0"/>
    <w:rPr>
      <w:rFonts w:ascii="宋体" w:hAnsi="Courier New" w:eastAsia="宋体" w:cs="Courier New"/>
      <w:kern w:val="2"/>
      <w:sz w:val="21"/>
      <w:szCs w:val="21"/>
      <w:lang w:val="en-US" w:eastAsia="zh-CN" w:bidi="ar-SA"/>
    </w:rPr>
  </w:style>
  <w:style w:type="character" w:customStyle="1" w:styleId="261">
    <w:name w:val="content_3"/>
    <w:basedOn w:val="43"/>
    <w:qFormat/>
    <w:uiPriority w:val="0"/>
    <w:rPr>
      <w:sz w:val="19"/>
      <w:szCs w:val="19"/>
    </w:rPr>
  </w:style>
  <w:style w:type="character" w:customStyle="1" w:styleId="262">
    <w:name w:val="标题 8 Char"/>
    <w:qFormat/>
    <w:uiPriority w:val="0"/>
    <w:rPr>
      <w:rFonts w:ascii="Arial" w:hAnsi="Arial" w:eastAsia="黑体"/>
      <w:sz w:val="24"/>
      <w:szCs w:val="24"/>
    </w:rPr>
  </w:style>
  <w:style w:type="character" w:customStyle="1" w:styleId="263">
    <w:name w:val="Font Style125"/>
    <w:basedOn w:val="43"/>
    <w:unhideWhenUsed/>
    <w:qFormat/>
    <w:uiPriority w:val="0"/>
    <w:rPr>
      <w:rFonts w:hint="eastAsia" w:ascii="宋体" w:hAnsi="宋体" w:eastAsia="宋体"/>
      <w:b/>
      <w:sz w:val="26"/>
    </w:rPr>
  </w:style>
  <w:style w:type="character" w:customStyle="1" w:styleId="264">
    <w:name w:val="正文文本缩进 3 Char1"/>
    <w:link w:val="32"/>
    <w:qFormat/>
    <w:uiPriority w:val="0"/>
    <w:rPr>
      <w:rFonts w:eastAsia="宋体"/>
      <w:kern w:val="2"/>
      <w:sz w:val="16"/>
      <w:szCs w:val="16"/>
      <w:lang w:val="en-US" w:eastAsia="zh-CN" w:bidi="ar-SA"/>
    </w:rPr>
  </w:style>
  <w:style w:type="character" w:customStyle="1" w:styleId="265">
    <w:name w:val="bds_more7"/>
    <w:basedOn w:val="43"/>
    <w:qFormat/>
    <w:uiPriority w:val="0"/>
    <w:rPr>
      <w:rFonts w:ascii="Times New Roman" w:hAnsi="Times New Roman" w:eastAsia="宋体"/>
    </w:rPr>
  </w:style>
  <w:style w:type="character" w:customStyle="1" w:styleId="266">
    <w:name w:val="Font Style127"/>
    <w:basedOn w:val="43"/>
    <w:unhideWhenUsed/>
    <w:qFormat/>
    <w:uiPriority w:val="0"/>
    <w:rPr>
      <w:rFonts w:hint="eastAsia" w:ascii="Times New Roman" w:hAnsi="Times New Roman" w:eastAsia="Times New Roman"/>
      <w:sz w:val="20"/>
    </w:rPr>
  </w:style>
  <w:style w:type="character" w:customStyle="1" w:styleId="267">
    <w:name w:val="标题 6 Char"/>
    <w:qFormat/>
    <w:uiPriority w:val="0"/>
    <w:rPr>
      <w:rFonts w:ascii="Arial" w:hAnsi="Arial" w:eastAsia="黑体"/>
      <w:b/>
      <w:bCs/>
      <w:sz w:val="24"/>
      <w:szCs w:val="24"/>
    </w:rPr>
  </w:style>
  <w:style w:type="character" w:customStyle="1" w:styleId="268">
    <w:name w:val="Font Style119"/>
    <w:basedOn w:val="43"/>
    <w:unhideWhenUsed/>
    <w:qFormat/>
    <w:uiPriority w:val="0"/>
    <w:rPr>
      <w:rFonts w:hint="eastAsia" w:ascii="宋体" w:hAnsi="宋体" w:eastAsia="宋体"/>
      <w:sz w:val="24"/>
    </w:rPr>
  </w:style>
  <w:style w:type="character" w:customStyle="1" w:styleId="269">
    <w:name w:val="Font Style122"/>
    <w:basedOn w:val="43"/>
    <w:unhideWhenUsed/>
    <w:qFormat/>
    <w:uiPriority w:val="0"/>
    <w:rPr>
      <w:rFonts w:hint="eastAsia" w:ascii="宋体" w:hAnsi="宋体" w:eastAsia="宋体"/>
      <w:spacing w:val="20"/>
      <w:sz w:val="24"/>
    </w:rPr>
  </w:style>
  <w:style w:type="character" w:customStyle="1" w:styleId="270">
    <w:name w:val="Font Style121"/>
    <w:basedOn w:val="43"/>
    <w:unhideWhenUsed/>
    <w:qFormat/>
    <w:uiPriority w:val="0"/>
    <w:rPr>
      <w:rFonts w:hint="eastAsia" w:ascii="宋体" w:hAnsi="宋体" w:eastAsia="宋体"/>
      <w:spacing w:val="-10"/>
      <w:sz w:val="30"/>
    </w:rPr>
  </w:style>
  <w:style w:type="character" w:customStyle="1" w:styleId="271">
    <w:name w:val="标题 4 Char"/>
    <w:qFormat/>
    <w:uiPriority w:val="0"/>
    <w:rPr>
      <w:rFonts w:ascii="Arial" w:hAnsi="Arial" w:eastAsia="宋体" w:cs="Times New Roman"/>
      <w:b/>
      <w:bCs/>
      <w:szCs w:val="28"/>
    </w:rPr>
  </w:style>
  <w:style w:type="character" w:customStyle="1" w:styleId="272">
    <w:name w:val="content_1"/>
    <w:basedOn w:val="43"/>
    <w:qFormat/>
    <w:uiPriority w:val="0"/>
    <w:rPr>
      <w:sz w:val="19"/>
      <w:szCs w:val="19"/>
    </w:rPr>
  </w:style>
  <w:style w:type="character" w:customStyle="1" w:styleId="273">
    <w:name w:val="Font Style117"/>
    <w:basedOn w:val="43"/>
    <w:unhideWhenUsed/>
    <w:qFormat/>
    <w:uiPriority w:val="0"/>
    <w:rPr>
      <w:rFonts w:hint="eastAsia" w:ascii="宋体" w:hAnsi="宋体" w:eastAsia="宋体"/>
      <w:spacing w:val="20"/>
      <w:sz w:val="24"/>
    </w:rPr>
  </w:style>
  <w:style w:type="character" w:customStyle="1" w:styleId="274">
    <w:name w:val="Font Style94"/>
    <w:basedOn w:val="43"/>
    <w:unhideWhenUsed/>
    <w:qFormat/>
    <w:uiPriority w:val="0"/>
    <w:rPr>
      <w:rFonts w:hint="eastAsia" w:ascii="Times New Roman" w:hAnsi="Times New Roman" w:eastAsia="Times New Roman"/>
      <w:sz w:val="28"/>
    </w:rPr>
  </w:style>
  <w:style w:type="character" w:customStyle="1" w:styleId="275">
    <w:name w:val="页脚 Char"/>
    <w:qFormat/>
    <w:uiPriority w:val="0"/>
    <w:rPr>
      <w:kern w:val="2"/>
      <w:sz w:val="18"/>
      <w:szCs w:val="18"/>
    </w:rPr>
  </w:style>
  <w:style w:type="character" w:customStyle="1" w:styleId="276">
    <w:name w:val="Font Style126"/>
    <w:basedOn w:val="43"/>
    <w:unhideWhenUsed/>
    <w:qFormat/>
    <w:uiPriority w:val="0"/>
    <w:rPr>
      <w:rFonts w:hint="eastAsia" w:ascii="宋体" w:hAnsi="宋体" w:eastAsia="宋体"/>
      <w:b/>
      <w:spacing w:val="-30"/>
      <w:sz w:val="28"/>
    </w:rPr>
  </w:style>
  <w:style w:type="character" w:customStyle="1" w:styleId="277">
    <w:name w:val="sort1"/>
    <w:basedOn w:val="43"/>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149</Pages>
  <Words>14418</Words>
  <Characters>82186</Characters>
  <Lines>684</Lines>
  <Paragraphs>192</Paragraphs>
  <TotalTime>19</TotalTime>
  <ScaleCrop>false</ScaleCrop>
  <LinksUpToDate>false</LinksUpToDate>
  <CharactersWithSpaces>96412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2015-08-03T04:47:00Z</dcterms:created>
  <dc:creator>微软用户</dc:creator>
  <cp:lastModifiedBy>杨月</cp:lastModifiedBy>
  <cp:lastPrinted>2019-06-24T10:16:00Z</cp:lastPrinted>
  <dcterms:modified xsi:type="dcterms:W3CDTF">2019-07-11T06:58:28Z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