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采购需求</w:t>
      </w:r>
    </w:p>
    <w:p>
      <w:pPr>
        <w:spacing w:line="360" w:lineRule="exact"/>
        <w:jc w:val="center"/>
        <w:rPr>
          <w:rFonts w:hint="eastAsia" w:ascii="楷体" w:hAnsi="楷体" w:eastAsia="楷体" w:cs="楷体"/>
          <w:sz w:val="22"/>
          <w:szCs w:val="24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321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长沙市雨花区教育局2019年度雨花区非遗进校园活动项目</w:t>
      </w:r>
    </w:p>
    <w:p>
      <w:pPr>
        <w:wordWrap w:val="0"/>
        <w:spacing w:before="124" w:line="300" w:lineRule="exact"/>
        <w:ind w:firstLine="321" w:firstLineChars="1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二、采购货物或者服务的说明</w:t>
      </w:r>
    </w:p>
    <w:tbl>
      <w:tblPr>
        <w:tblStyle w:val="1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573"/>
        <w:gridCol w:w="3855"/>
        <w:gridCol w:w="15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分类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品目名称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总预算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长沙市雨花区教育局2019年度雨花区非遗进校园活动项目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160万元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项目概况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0" w:name="_Toc228692493"/>
      <w:bookmarkStart w:id="1" w:name="_Toc227463270"/>
      <w:bookmarkStart w:id="2" w:name="_Toc251673964"/>
      <w:bookmarkStart w:id="3" w:name="_Toc227423932"/>
      <w:bookmarkStart w:id="4" w:name="_Toc228255653"/>
      <w:bookmarkStart w:id="5" w:name="_Toc211917819"/>
      <w:r>
        <w:rPr>
          <w:rFonts w:hint="eastAsia" w:ascii="仿宋" w:hAnsi="仿宋" w:eastAsia="仿宋" w:cs="仿宋"/>
          <w:sz w:val="32"/>
          <w:szCs w:val="32"/>
        </w:rPr>
        <w:t xml:space="preserve">1、项目名称：2019年度雨花区非遗进校园活动。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概况：中共中央办公厅、国务院办公厅印发《关于实施中华优秀传统文化传承发展工程的意见》中明确提出，非遗传承和传统文化传承要全方位、全学段、全过程融入孩子的教育当中，可见，让非遗走进校园既紧迫又重要。中华文化，一脉相承，通过非遗进校园从小给孩子种下文化传承的种子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3、服务需求：</w:t>
      </w:r>
      <w:bookmarkEnd w:id="0"/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（一）“脉”·雨花区2019年非遗进校园启动仪式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1.举办时间：2019年（根据教育局统筹安排）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2.举办地点：湖南雨花非遗馆东广场-非遗大舞台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3.活动形式：表演形式，为“非遗进校园”整体活动启动。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4.人员规格：邀请省市区相关领导、雨花区各中小学负责人、家委会代表、雨花区部分学生代表、媒体记者参与。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5.媒体规模：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a.市级及以上电视媒体报道不得少于3家；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b.市级及以上平面媒体、网络媒体报道不得少于10家。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（二）非遗项目课程进校园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1.实施时间：2019年（根据教育局统筹安排）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2.实施目标：湖南雨花非遗馆非遗系列课程进校园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以标准化课时、专业化师资入校，让学生能够系统认知一项非遗技艺，提升学生的综合素质。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3.试点学校：雨花区中小学校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实施内容：组织7项成熟非遗项目进入雨花区中小学校园，每个项目以学年为单位开设，每学年24课时，课程架构设置为非遗理论知识、非遗实践操作、非遗创新设计、非遗课程成果展示，开展非遗系列课程，为雨花区中小学校量身打造非遗特色精品课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5.非遗项目：棕榈编、面塑、滩头年画、湖湘剪纸、湘西竹编、陶艺、茶艺。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（三）非遗研学实践活动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1.实施时间：2019年（根据教育局统筹安排）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2.实施形式：学校学生到全国中小学生研学实践教育基地——湖南雨花非遗馆进行参观体验实践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3.实施内容：学生来到湖南雨花非遗馆，参观非遗馆，与非遗传承人现场互动，亲自动手体验，手作非遗成品。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（四）非遗进校园结业成果展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1.举办时间：2019年（根据教育局统筹安排）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2.举办地点：湖南雨花非遗馆东广场-非遗大舞台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3.活动形式：精选10所学校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,进行</w:t>
      </w:r>
      <w:r>
        <w:rPr>
          <w:rFonts w:hint="eastAsia" w:ascii="仿宋" w:hAnsi="仿宋" w:eastAsia="仿宋" w:cs="仿宋"/>
          <w:sz w:val="32"/>
          <w:szCs w:val="32"/>
        </w:rPr>
        <w:t>非遗元素原创节目汇报演出、非遗进校园项目现场展示。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4.人员规格：邀请省市区相关领导、雨花区各中小学负责人、家委会代表、雨花区部分学生代表、媒体记者参与。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wordWrap w:val="0"/>
        <w:spacing w:before="124" w:line="300" w:lineRule="exact"/>
        <w:ind w:firstLine="321" w:firstLineChars="1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三、项目总体预算：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第一阶段：非遗进校园启动仪式。活动所需经费为活动策划及执行费:84890元，活动设备租赁费：79110元，费用合计：164000元。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第二阶段：非遗项目课程进校园。组织馆内7个非遗项目进校园，共计624课时。所需工具、材料、课时、教材、奖品等费用总计867100元。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第三阶段：非遗研学实践活动。组织雨花区3921名学生到湖南雨花非遗馆进行参观体验实践，费用合计：392100元。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第四阶段：非遗进校园结业成果展。对非遗进校园成果进行现场展示汇报演出。费用合计176800元。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所需经费总计1600000元。</w:t>
      </w:r>
    </w:p>
    <w:p>
      <w:pPr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before="124" w:line="3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四、其他要求：</w:t>
      </w:r>
    </w:p>
    <w:p>
      <w:pPr>
        <w:wordWrap w:val="0"/>
        <w:spacing w:before="124" w:line="3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（一）</w:t>
      </w:r>
      <w:r>
        <w:rPr>
          <w:rFonts w:ascii="仿宋" w:hAnsi="仿宋" w:eastAsia="仿宋"/>
          <w:b/>
          <w:sz w:val="32"/>
          <w:szCs w:val="32"/>
        </w:rPr>
        <w:t>时间及地点：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履行服务时间：</w:t>
      </w:r>
      <w:r>
        <w:rPr>
          <w:rFonts w:hint="eastAsia" w:ascii="仿宋" w:hAnsi="仿宋" w:eastAsia="仿宋"/>
          <w:sz w:val="32"/>
          <w:szCs w:val="32"/>
        </w:rPr>
        <w:t xml:space="preserve"> 2019年度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本次活动圆满结束为止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2、服务</w:t>
      </w:r>
      <w:r>
        <w:rPr>
          <w:rFonts w:ascii="仿宋" w:hAnsi="仿宋" w:eastAsia="仿宋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采购人指定</w:t>
      </w:r>
      <w:r>
        <w:rPr>
          <w:rFonts w:hint="eastAsia" w:ascii="仿宋" w:hAnsi="仿宋" w:eastAsia="仿宋"/>
          <w:sz w:val="32"/>
          <w:szCs w:val="32"/>
        </w:rPr>
        <w:t>场地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bookmarkStart w:id="6" w:name="_GoBack"/>
      <w:bookmarkEnd w:id="6"/>
      <w:r>
        <w:rPr>
          <w:rFonts w:hint="eastAsia" w:ascii="仿宋" w:hAnsi="仿宋" w:eastAsia="仿宋"/>
          <w:b/>
          <w:sz w:val="32"/>
          <w:szCs w:val="32"/>
          <w:lang w:eastAsia="zh-CN"/>
        </w:rPr>
        <w:t>（二）</w:t>
      </w:r>
      <w:r>
        <w:rPr>
          <w:rFonts w:ascii="仿宋" w:hAnsi="仿宋" w:eastAsia="仿宋"/>
          <w:b/>
          <w:sz w:val="32"/>
          <w:szCs w:val="32"/>
        </w:rPr>
        <w:t>结算方法：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支付方式：</w:t>
      </w:r>
      <w:r>
        <w:rPr>
          <w:rFonts w:hint="eastAsia" w:ascii="仿宋" w:hAnsi="仿宋" w:eastAsia="仿宋"/>
          <w:sz w:val="32"/>
          <w:szCs w:val="32"/>
        </w:rPr>
        <w:t>长沙市雨花区教育局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ascii="仿宋" w:hAnsi="仿宋" w:eastAsia="仿宋"/>
          <w:sz w:val="32"/>
          <w:szCs w:val="32"/>
        </w:rPr>
        <w:t>通过国库集中支付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付款方式：</w:t>
      </w:r>
      <w:r>
        <w:rPr>
          <w:rFonts w:hint="eastAsia" w:ascii="仿宋" w:hAnsi="仿宋" w:eastAsia="仿宋" w:cs="仿宋"/>
          <w:sz w:val="32"/>
          <w:szCs w:val="32"/>
        </w:rPr>
        <w:t>第一阶段：非遗进校园启动仪式。费用164000元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第二阶段：非遗项目课程进校园。费用867100元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第三阶段：非遗研学实践活动。费用392100元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第四阶段：非遗进校园结业成果展。费用176800元。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每阶段活动圆满结束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验收合格之后，</w:t>
      </w:r>
      <w:r>
        <w:rPr>
          <w:rFonts w:hint="eastAsia" w:ascii="仿宋" w:hAnsi="仿宋" w:eastAsia="仿宋"/>
          <w:sz w:val="32"/>
          <w:szCs w:val="32"/>
          <w:lang w:eastAsia="zh-CN"/>
        </w:rPr>
        <w:t>成交</w:t>
      </w:r>
      <w:r>
        <w:rPr>
          <w:rFonts w:hint="eastAsia" w:ascii="仿宋" w:hAnsi="仿宋" w:eastAsia="仿宋"/>
          <w:sz w:val="32"/>
          <w:szCs w:val="32"/>
        </w:rPr>
        <w:t>人开具发票后5个工作日内一次性付清</w:t>
      </w:r>
      <w:r>
        <w:rPr>
          <w:rFonts w:hint="eastAsia" w:ascii="仿宋" w:hAnsi="仿宋" w:eastAsia="仿宋"/>
          <w:sz w:val="32"/>
          <w:szCs w:val="32"/>
          <w:lang w:eastAsia="zh-CN"/>
        </w:rPr>
        <w:t>，该阶段费用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wordWrap w:val="0"/>
        <w:spacing w:line="560" w:lineRule="exact"/>
        <w:ind w:firstLine="482" w:firstLineChars="150"/>
        <w:jc w:val="left"/>
        <w:rPr>
          <w:rFonts w:ascii="宋体" w:hAnsi="宋体" w:cs="宋体-1803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对于上述项目要求，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供应商</w:t>
      </w:r>
      <w:r>
        <w:rPr>
          <w:rFonts w:ascii="仿宋" w:hAnsi="仿宋" w:eastAsia="仿宋"/>
          <w:sz w:val="32"/>
          <w:szCs w:val="32"/>
        </w:rPr>
        <w:t>应在</w:t>
      </w:r>
      <w:r>
        <w:rPr>
          <w:rFonts w:hint="eastAsia" w:ascii="仿宋" w:hAnsi="仿宋" w:eastAsia="仿宋"/>
          <w:sz w:val="32"/>
          <w:szCs w:val="32"/>
          <w:lang w:eastAsia="zh-CN"/>
        </w:rPr>
        <w:t>响应</w:t>
      </w:r>
      <w:r>
        <w:rPr>
          <w:rFonts w:ascii="仿宋" w:hAnsi="仿宋" w:eastAsia="仿宋"/>
          <w:sz w:val="32"/>
          <w:szCs w:val="32"/>
        </w:rPr>
        <w:t>文件中进行回应，作出承诺及说明。</w:t>
      </w: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560" w:lineRule="exact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、考核方案</w:t>
      </w: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长沙市雨花区教育局2019年度雨花区非遗课程进校园活动</w:t>
      </w: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供应商考核办法</w:t>
      </w:r>
    </w:p>
    <w:p>
      <w:pPr>
        <w:wordWrap w:val="0"/>
        <w:spacing w:line="560" w:lineRule="exact"/>
        <w:ind w:firstLine="42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第一条  为了充分发挥活动供应商作用，进一步规范供应商服务工作，制定本办法。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第二条  本办法适用于活动供应商的考核工作。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第三条  供应商考核主要为服务工作考核。考核工作由区教育局统一组织，学生科负责具体工作。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第四条  考核实行评分制，每年度组织一次。根据学生科汇总的工作情况予以评定。考核结果作为供应商继续合作或解除合作的依据。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第五条  考核评分采取扣分制，总分为100分，每项考核内容的扣分累计均不超过该项总分，另加分项目累计不超过10分。具体评分标准如下：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1、活动前期准备工作（30分），包括制定活动方案、组织召开活动分工会、邀请参加活动人员、编排非遗课程进校园、非遗研学实践课程表。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2、活动期间工作（60分）</w:t>
      </w:r>
      <w:r>
        <w:rPr>
          <w:rFonts w:ascii="仿宋" w:hAnsi="仿宋" w:eastAsia="仿宋"/>
          <w:sz w:val="32"/>
          <w:szCs w:val="32"/>
        </w:rPr>
        <w:t>，包括</w:t>
      </w:r>
      <w:r>
        <w:rPr>
          <w:rFonts w:hint="eastAsia" w:ascii="仿宋" w:hAnsi="仿宋" w:eastAsia="仿宋"/>
          <w:sz w:val="32"/>
          <w:szCs w:val="32"/>
        </w:rPr>
        <w:t>活动期间</w:t>
      </w:r>
      <w:r>
        <w:rPr>
          <w:rFonts w:hint="eastAsia" w:ascii="仿宋" w:hAnsi="仿宋" w:eastAsia="仿宋" w:cs="仿宋"/>
          <w:sz w:val="32"/>
          <w:szCs w:val="32"/>
        </w:rPr>
        <w:t>所有场地、交通、安全、保险、志愿者、翻译、医护、新闻宣传、秩序册、成绩册、课程评价表编制、会务安排等</w:t>
      </w:r>
      <w:r>
        <w:rPr>
          <w:rFonts w:hint="eastAsia" w:ascii="仿宋" w:hAnsi="仿宋" w:eastAsia="仿宋"/>
          <w:sz w:val="32"/>
          <w:szCs w:val="32"/>
        </w:rPr>
        <w:t>各项保障工作</w:t>
      </w:r>
      <w:r>
        <w:rPr>
          <w:rFonts w:ascii="仿宋" w:hAnsi="仿宋" w:eastAsia="仿宋"/>
          <w:sz w:val="32"/>
          <w:szCs w:val="32"/>
        </w:rPr>
        <w:t>开展情况，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/>
          <w:sz w:val="32"/>
          <w:szCs w:val="32"/>
        </w:rPr>
        <w:t>情况</w:t>
      </w:r>
      <w:r>
        <w:rPr>
          <w:rFonts w:ascii="仿宋" w:hAnsi="仿宋" w:eastAsia="仿宋" w:cs="Times New Roman"/>
          <w:sz w:val="32"/>
          <w:szCs w:val="32"/>
        </w:rPr>
        <w:t>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3、活动总结（10分），包括成绩册、评价表编制，活动总结撰写等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4、加分项目（10分）。积极主动履行职责，一次加1分；活动受到好评的，一次加1分。</w:t>
      </w:r>
    </w:p>
    <w:p>
      <w:pPr>
        <w:wordWrap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5、考核结果分为优秀（90分及以上）、合格（60分至90分之间）和不合格（60分以下）。</w:t>
      </w:r>
    </w:p>
    <w:p>
      <w:pPr>
        <w:wordWrap w:val="0"/>
        <w:spacing w:line="560" w:lineRule="exact"/>
        <w:ind w:firstLine="42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第六条  考核结果为不合格的，区教育局学生科报请区教育局党委批准后不再续签合同。</w:t>
      </w:r>
    </w:p>
    <w:p>
      <w:pPr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供应商考核评分表</w:t>
      </w:r>
    </w:p>
    <w:p>
      <w:pPr>
        <w:ind w:firstLine="360" w:firstLineChars="15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考核单位：                                  考核时间：</w:t>
      </w:r>
    </w:p>
    <w:tbl>
      <w:tblPr>
        <w:tblStyle w:val="15"/>
        <w:tblW w:w="950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4805"/>
        <w:gridCol w:w="1134"/>
        <w:gridCol w:w="1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4805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 核 细 则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自评分</w:t>
            </w: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考核分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前期准备工作（30分）</w:t>
            </w:r>
          </w:p>
        </w:tc>
        <w:tc>
          <w:tcPr>
            <w:tcW w:w="4805" w:type="dxa"/>
          </w:tcPr>
          <w:p>
            <w:pPr>
              <w:wordWrap w:val="0"/>
              <w:spacing w:line="560" w:lineRule="exac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制定活动方案、组织召开活动分工会、邀请参加活动人员、编排非遗课程进校园、非遗研学实践课程表等。</w:t>
            </w:r>
          </w:p>
          <w:p>
            <w:pPr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</w:tcPr>
          <w:p/>
        </w:tc>
        <w:tc>
          <w:tcPr>
            <w:tcW w:w="115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活动期间工作（60分）</w:t>
            </w:r>
          </w:p>
        </w:tc>
        <w:tc>
          <w:tcPr>
            <w:tcW w:w="4805" w:type="dxa"/>
          </w:tcPr>
          <w:p>
            <w:pPr>
              <w:wordWrap w:val="0"/>
              <w:spacing w:line="560" w:lineRule="exac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活动期间所有场地、交通、安全、保险、志愿者、翻译、医护、新闻宣传、秩序册、成绩册、课程评价表编制、会务安排等各项保障工作开展情况，完成情况等。</w:t>
            </w:r>
          </w:p>
        </w:tc>
        <w:tc>
          <w:tcPr>
            <w:tcW w:w="1134" w:type="dxa"/>
          </w:tcPr>
          <w:p/>
        </w:tc>
        <w:tc>
          <w:tcPr>
            <w:tcW w:w="115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活动总结（10分）</w:t>
            </w:r>
          </w:p>
        </w:tc>
        <w:tc>
          <w:tcPr>
            <w:tcW w:w="4805" w:type="dxa"/>
          </w:tcPr>
          <w:p>
            <w:pPr>
              <w:wordWrap w:val="0"/>
              <w:spacing w:line="560" w:lineRule="exac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成绩册、评价表编制，活动总结撰写、媒体报道等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>。</w:t>
            </w:r>
          </w:p>
        </w:tc>
        <w:tc>
          <w:tcPr>
            <w:tcW w:w="1134" w:type="dxa"/>
          </w:tcPr>
          <w:p/>
        </w:tc>
        <w:tc>
          <w:tcPr>
            <w:tcW w:w="115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加分项目（10分）</w:t>
            </w:r>
          </w:p>
        </w:tc>
        <w:tc>
          <w:tcPr>
            <w:tcW w:w="4805" w:type="dxa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积极主动履行职责，一次加1分；活动受到好评的，一次加1分。</w:t>
            </w:r>
          </w:p>
        </w:tc>
        <w:tc>
          <w:tcPr>
            <w:tcW w:w="1134" w:type="dxa"/>
          </w:tcPr>
          <w:p/>
        </w:tc>
        <w:tc>
          <w:tcPr>
            <w:tcW w:w="115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结果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4805" w:type="dxa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</w:tcPr>
          <w:p/>
        </w:tc>
        <w:tc>
          <w:tcPr>
            <w:tcW w:w="1150" w:type="dxa"/>
          </w:tcPr>
          <w:p/>
        </w:tc>
      </w:tr>
    </w:tbl>
    <w:p>
      <w:pPr>
        <w:ind w:firstLine="360" w:firstLineChars="150"/>
        <w:rPr>
          <w:rFonts w:hint="eastAsia" w:ascii="宋体" w:hAnsi="宋体" w:eastAsia="宋体" w:cs="宋体"/>
          <w:b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注：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考核结果9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5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分及以上为优秀、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8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0分至9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5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分之间为合格和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8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0分以下为不合格，考评优秀的，按中标金额1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00%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予以支付；考评合格的，按中标金额的9</w:t>
      </w:r>
      <w:r>
        <w:rPr>
          <w:rFonts w:ascii="宋体" w:hAnsi="宋体" w:eastAsia="宋体" w:cs="宋体"/>
          <w:b/>
          <w:color w:val="333333"/>
          <w:kern w:val="0"/>
          <w:sz w:val="24"/>
        </w:rPr>
        <w:t>0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%予以支付；考评不合格的不予支付费用。</w:t>
      </w:r>
    </w:p>
    <w:p>
      <w:pPr>
        <w:ind w:firstLine="361" w:firstLineChars="150"/>
        <w:rPr>
          <w:rFonts w:hint="eastAsia" w:ascii="宋体" w:hAnsi="宋体" w:eastAsia="宋体" w:cs="宋体"/>
          <w:b/>
          <w:color w:val="333333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outlineLvl w:val="9"/>
        <w:rPr>
          <w:rFonts w:hint="eastAsia" w:ascii="楷体_GB2312" w:hAnsi="仿宋" w:eastAsia="楷体" w:cs="仿宋"/>
          <w:b w:val="0"/>
          <w:kern w:val="0"/>
          <w:sz w:val="28"/>
          <w:szCs w:val="32"/>
          <w:lang w:val="en-US" w:eastAsia="zh-CN" w:bidi="ar-SA"/>
        </w:rPr>
      </w:pPr>
    </w:p>
    <w:p>
      <w:pPr>
        <w:ind w:firstLine="361" w:firstLineChars="150"/>
        <w:rPr>
          <w:rFonts w:hint="default" w:ascii="宋体" w:hAnsi="宋体" w:eastAsia="宋体" w:cs="宋体"/>
          <w:b/>
          <w:color w:val="333333"/>
          <w:kern w:val="0"/>
          <w:sz w:val="24"/>
          <w:lang w:val="en-US" w:eastAsia="zh-CN"/>
        </w:rPr>
      </w:pPr>
    </w:p>
    <w:sectPr>
      <w:footerReference r:id="rId4" w:type="default"/>
      <w:pgSz w:w="11906" w:h="16838"/>
      <w:pgMar w:top="1213" w:right="1463" w:bottom="1213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1686361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30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B24"/>
    <w:multiLevelType w:val="multilevel"/>
    <w:tmpl w:val="77693B24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1" w:tentative="0">
      <w:start w:val="1"/>
      <w:numFmt w:val="lowerLetter"/>
      <w:pStyle w:val="3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D19A6"/>
    <w:rsid w:val="000015BB"/>
    <w:rsid w:val="0000368F"/>
    <w:rsid w:val="0002014B"/>
    <w:rsid w:val="00021831"/>
    <w:rsid w:val="0003511C"/>
    <w:rsid w:val="00035471"/>
    <w:rsid w:val="00045399"/>
    <w:rsid w:val="000457E9"/>
    <w:rsid w:val="00056F41"/>
    <w:rsid w:val="00057BF5"/>
    <w:rsid w:val="00065FA6"/>
    <w:rsid w:val="0006799F"/>
    <w:rsid w:val="00072E85"/>
    <w:rsid w:val="00085750"/>
    <w:rsid w:val="000970FB"/>
    <w:rsid w:val="000A7ABA"/>
    <w:rsid w:val="000B4193"/>
    <w:rsid w:val="000D3E6F"/>
    <w:rsid w:val="000F5F1C"/>
    <w:rsid w:val="00124194"/>
    <w:rsid w:val="001442D7"/>
    <w:rsid w:val="00146626"/>
    <w:rsid w:val="00154694"/>
    <w:rsid w:val="00173DE1"/>
    <w:rsid w:val="0017569D"/>
    <w:rsid w:val="0018218A"/>
    <w:rsid w:val="00193865"/>
    <w:rsid w:val="001C6D83"/>
    <w:rsid w:val="001E3D49"/>
    <w:rsid w:val="001E56DA"/>
    <w:rsid w:val="0021174E"/>
    <w:rsid w:val="00242E19"/>
    <w:rsid w:val="00250423"/>
    <w:rsid w:val="00262103"/>
    <w:rsid w:val="0026547B"/>
    <w:rsid w:val="00280BF4"/>
    <w:rsid w:val="00293F97"/>
    <w:rsid w:val="00297E0F"/>
    <w:rsid w:val="002A566B"/>
    <w:rsid w:val="002B0424"/>
    <w:rsid w:val="002B0F02"/>
    <w:rsid w:val="002B4BA6"/>
    <w:rsid w:val="002B58B9"/>
    <w:rsid w:val="002C35C2"/>
    <w:rsid w:val="002C76E7"/>
    <w:rsid w:val="002D0DCD"/>
    <w:rsid w:val="002D38EF"/>
    <w:rsid w:val="002D5E65"/>
    <w:rsid w:val="002D7231"/>
    <w:rsid w:val="002D7EAA"/>
    <w:rsid w:val="003038F7"/>
    <w:rsid w:val="00312687"/>
    <w:rsid w:val="00322023"/>
    <w:rsid w:val="003248FA"/>
    <w:rsid w:val="00333D31"/>
    <w:rsid w:val="003512C2"/>
    <w:rsid w:val="00367DD0"/>
    <w:rsid w:val="00374624"/>
    <w:rsid w:val="0038000D"/>
    <w:rsid w:val="00394B9D"/>
    <w:rsid w:val="00395C7A"/>
    <w:rsid w:val="00397763"/>
    <w:rsid w:val="003B641F"/>
    <w:rsid w:val="003E1093"/>
    <w:rsid w:val="003E1428"/>
    <w:rsid w:val="003F2298"/>
    <w:rsid w:val="00420787"/>
    <w:rsid w:val="00422982"/>
    <w:rsid w:val="004318A7"/>
    <w:rsid w:val="00452E67"/>
    <w:rsid w:val="0047150A"/>
    <w:rsid w:val="00494413"/>
    <w:rsid w:val="004B7CBB"/>
    <w:rsid w:val="004D2258"/>
    <w:rsid w:val="004D7BEF"/>
    <w:rsid w:val="004E3D66"/>
    <w:rsid w:val="004E79F4"/>
    <w:rsid w:val="00505151"/>
    <w:rsid w:val="005068EE"/>
    <w:rsid w:val="005415F2"/>
    <w:rsid w:val="00542704"/>
    <w:rsid w:val="00544870"/>
    <w:rsid w:val="0055452A"/>
    <w:rsid w:val="005660B4"/>
    <w:rsid w:val="00566E27"/>
    <w:rsid w:val="00590F00"/>
    <w:rsid w:val="005A0660"/>
    <w:rsid w:val="005B371F"/>
    <w:rsid w:val="005B3B1D"/>
    <w:rsid w:val="005D2A0B"/>
    <w:rsid w:val="005D49D3"/>
    <w:rsid w:val="005D5A15"/>
    <w:rsid w:val="005E555A"/>
    <w:rsid w:val="00601389"/>
    <w:rsid w:val="0060553D"/>
    <w:rsid w:val="0061077A"/>
    <w:rsid w:val="00614E54"/>
    <w:rsid w:val="006169D7"/>
    <w:rsid w:val="00621FAF"/>
    <w:rsid w:val="0062709B"/>
    <w:rsid w:val="0062757C"/>
    <w:rsid w:val="006435ED"/>
    <w:rsid w:val="0065679F"/>
    <w:rsid w:val="006779EB"/>
    <w:rsid w:val="00682305"/>
    <w:rsid w:val="00696D15"/>
    <w:rsid w:val="006A1D59"/>
    <w:rsid w:val="006A24C1"/>
    <w:rsid w:val="006A5930"/>
    <w:rsid w:val="006B15DB"/>
    <w:rsid w:val="006C1EDB"/>
    <w:rsid w:val="006D1233"/>
    <w:rsid w:val="006E3A41"/>
    <w:rsid w:val="00705BD0"/>
    <w:rsid w:val="00727BDE"/>
    <w:rsid w:val="007432EE"/>
    <w:rsid w:val="00767E03"/>
    <w:rsid w:val="007816AA"/>
    <w:rsid w:val="00786D88"/>
    <w:rsid w:val="0079754F"/>
    <w:rsid w:val="007A7272"/>
    <w:rsid w:val="007D46D0"/>
    <w:rsid w:val="008122C2"/>
    <w:rsid w:val="0081640C"/>
    <w:rsid w:val="008216EA"/>
    <w:rsid w:val="0083207A"/>
    <w:rsid w:val="0085014E"/>
    <w:rsid w:val="0088412F"/>
    <w:rsid w:val="0089023F"/>
    <w:rsid w:val="00894C24"/>
    <w:rsid w:val="008A6FB7"/>
    <w:rsid w:val="008A7202"/>
    <w:rsid w:val="008B2266"/>
    <w:rsid w:val="008C20DE"/>
    <w:rsid w:val="008C46CF"/>
    <w:rsid w:val="008C4C9F"/>
    <w:rsid w:val="008C513E"/>
    <w:rsid w:val="008C7DD1"/>
    <w:rsid w:val="008E39D2"/>
    <w:rsid w:val="008E7634"/>
    <w:rsid w:val="008F4336"/>
    <w:rsid w:val="008F59D5"/>
    <w:rsid w:val="0090015C"/>
    <w:rsid w:val="00903333"/>
    <w:rsid w:val="00906966"/>
    <w:rsid w:val="009157DA"/>
    <w:rsid w:val="00923492"/>
    <w:rsid w:val="0092582E"/>
    <w:rsid w:val="009308EE"/>
    <w:rsid w:val="00946EFB"/>
    <w:rsid w:val="00950F8C"/>
    <w:rsid w:val="00956484"/>
    <w:rsid w:val="00962294"/>
    <w:rsid w:val="0097334E"/>
    <w:rsid w:val="00993071"/>
    <w:rsid w:val="009A5751"/>
    <w:rsid w:val="009D205E"/>
    <w:rsid w:val="009E3E5C"/>
    <w:rsid w:val="009F7301"/>
    <w:rsid w:val="00A03422"/>
    <w:rsid w:val="00A12E56"/>
    <w:rsid w:val="00A14F67"/>
    <w:rsid w:val="00A21172"/>
    <w:rsid w:val="00A24521"/>
    <w:rsid w:val="00A249C0"/>
    <w:rsid w:val="00A26082"/>
    <w:rsid w:val="00A40138"/>
    <w:rsid w:val="00A53BF2"/>
    <w:rsid w:val="00A66980"/>
    <w:rsid w:val="00A7186B"/>
    <w:rsid w:val="00A748D5"/>
    <w:rsid w:val="00A75F54"/>
    <w:rsid w:val="00A80B5D"/>
    <w:rsid w:val="00A852D4"/>
    <w:rsid w:val="00A90115"/>
    <w:rsid w:val="00A90606"/>
    <w:rsid w:val="00AA521D"/>
    <w:rsid w:val="00AA64DA"/>
    <w:rsid w:val="00AB5F88"/>
    <w:rsid w:val="00AC1D85"/>
    <w:rsid w:val="00AE1393"/>
    <w:rsid w:val="00AE45E0"/>
    <w:rsid w:val="00AE7BB2"/>
    <w:rsid w:val="00AF774D"/>
    <w:rsid w:val="00B05240"/>
    <w:rsid w:val="00B17964"/>
    <w:rsid w:val="00B2173D"/>
    <w:rsid w:val="00B3408A"/>
    <w:rsid w:val="00B61A04"/>
    <w:rsid w:val="00B6459D"/>
    <w:rsid w:val="00B6690F"/>
    <w:rsid w:val="00B86601"/>
    <w:rsid w:val="00B8786E"/>
    <w:rsid w:val="00B93CD1"/>
    <w:rsid w:val="00B9776A"/>
    <w:rsid w:val="00BB3357"/>
    <w:rsid w:val="00BC5863"/>
    <w:rsid w:val="00BD1AF4"/>
    <w:rsid w:val="00BD2AF7"/>
    <w:rsid w:val="00BE1DCB"/>
    <w:rsid w:val="00BE7F9D"/>
    <w:rsid w:val="00C06DEA"/>
    <w:rsid w:val="00C45683"/>
    <w:rsid w:val="00C53941"/>
    <w:rsid w:val="00C94E23"/>
    <w:rsid w:val="00CC1EAB"/>
    <w:rsid w:val="00CE50E0"/>
    <w:rsid w:val="00CE6E97"/>
    <w:rsid w:val="00CF045D"/>
    <w:rsid w:val="00D03663"/>
    <w:rsid w:val="00D048A4"/>
    <w:rsid w:val="00D06DAF"/>
    <w:rsid w:val="00D135DE"/>
    <w:rsid w:val="00D25945"/>
    <w:rsid w:val="00D264D7"/>
    <w:rsid w:val="00D26E35"/>
    <w:rsid w:val="00D37D3D"/>
    <w:rsid w:val="00D402ED"/>
    <w:rsid w:val="00D42D18"/>
    <w:rsid w:val="00D5440B"/>
    <w:rsid w:val="00D54B58"/>
    <w:rsid w:val="00D80985"/>
    <w:rsid w:val="00D9744F"/>
    <w:rsid w:val="00DB3C8F"/>
    <w:rsid w:val="00DC73D0"/>
    <w:rsid w:val="00DD0146"/>
    <w:rsid w:val="00DE0682"/>
    <w:rsid w:val="00DE3248"/>
    <w:rsid w:val="00DF630A"/>
    <w:rsid w:val="00E03E06"/>
    <w:rsid w:val="00E051F0"/>
    <w:rsid w:val="00E252ED"/>
    <w:rsid w:val="00E50B7C"/>
    <w:rsid w:val="00E53620"/>
    <w:rsid w:val="00E6525D"/>
    <w:rsid w:val="00E76E54"/>
    <w:rsid w:val="00E86B04"/>
    <w:rsid w:val="00EA0937"/>
    <w:rsid w:val="00EA2B71"/>
    <w:rsid w:val="00EA608B"/>
    <w:rsid w:val="00ED5B0E"/>
    <w:rsid w:val="00EE0EA3"/>
    <w:rsid w:val="00EF33E0"/>
    <w:rsid w:val="00EF3D7C"/>
    <w:rsid w:val="00F20A60"/>
    <w:rsid w:val="00F26FE6"/>
    <w:rsid w:val="00F37040"/>
    <w:rsid w:val="00F417A0"/>
    <w:rsid w:val="00F50126"/>
    <w:rsid w:val="00F51BA0"/>
    <w:rsid w:val="00F571AB"/>
    <w:rsid w:val="00F72C68"/>
    <w:rsid w:val="00F80657"/>
    <w:rsid w:val="00F960E4"/>
    <w:rsid w:val="00FA5823"/>
    <w:rsid w:val="00FB0E5F"/>
    <w:rsid w:val="00FC447F"/>
    <w:rsid w:val="00FE22F3"/>
    <w:rsid w:val="00FE5F0D"/>
    <w:rsid w:val="00FF1572"/>
    <w:rsid w:val="00FF3A3C"/>
    <w:rsid w:val="01336364"/>
    <w:rsid w:val="01603C01"/>
    <w:rsid w:val="01DF5D27"/>
    <w:rsid w:val="01E72DF2"/>
    <w:rsid w:val="02603C1B"/>
    <w:rsid w:val="027618B5"/>
    <w:rsid w:val="02B04ECB"/>
    <w:rsid w:val="02F807B0"/>
    <w:rsid w:val="037D56FA"/>
    <w:rsid w:val="04314492"/>
    <w:rsid w:val="04DB5332"/>
    <w:rsid w:val="04E04B85"/>
    <w:rsid w:val="05117F7D"/>
    <w:rsid w:val="053D6F8F"/>
    <w:rsid w:val="05E50DD8"/>
    <w:rsid w:val="07390EC2"/>
    <w:rsid w:val="07F505AE"/>
    <w:rsid w:val="081615AB"/>
    <w:rsid w:val="08242EF2"/>
    <w:rsid w:val="084052AD"/>
    <w:rsid w:val="08480CDA"/>
    <w:rsid w:val="08F05794"/>
    <w:rsid w:val="09015E25"/>
    <w:rsid w:val="091734A7"/>
    <w:rsid w:val="09AF240D"/>
    <w:rsid w:val="0A6257DB"/>
    <w:rsid w:val="0B46462D"/>
    <w:rsid w:val="0B792454"/>
    <w:rsid w:val="0BC73F8A"/>
    <w:rsid w:val="0D4931B0"/>
    <w:rsid w:val="0D5854DB"/>
    <w:rsid w:val="0D8D0FCF"/>
    <w:rsid w:val="0EB4572C"/>
    <w:rsid w:val="0FA04CF8"/>
    <w:rsid w:val="10603F89"/>
    <w:rsid w:val="10AA32CB"/>
    <w:rsid w:val="11026DE1"/>
    <w:rsid w:val="123853F2"/>
    <w:rsid w:val="12936704"/>
    <w:rsid w:val="130B115C"/>
    <w:rsid w:val="136509BD"/>
    <w:rsid w:val="1408421A"/>
    <w:rsid w:val="14C56DE6"/>
    <w:rsid w:val="15EC132D"/>
    <w:rsid w:val="161738C5"/>
    <w:rsid w:val="16501924"/>
    <w:rsid w:val="17140F91"/>
    <w:rsid w:val="175C2B59"/>
    <w:rsid w:val="17836D06"/>
    <w:rsid w:val="17F7158E"/>
    <w:rsid w:val="18D27947"/>
    <w:rsid w:val="19241518"/>
    <w:rsid w:val="19687D51"/>
    <w:rsid w:val="19E468A2"/>
    <w:rsid w:val="1A323B09"/>
    <w:rsid w:val="1A360804"/>
    <w:rsid w:val="1AE26ECD"/>
    <w:rsid w:val="1AE55905"/>
    <w:rsid w:val="1B8566D6"/>
    <w:rsid w:val="1C9542CF"/>
    <w:rsid w:val="1DC060CC"/>
    <w:rsid w:val="1E130029"/>
    <w:rsid w:val="1E281F9A"/>
    <w:rsid w:val="1E876406"/>
    <w:rsid w:val="1EDA1A27"/>
    <w:rsid w:val="1F020CC0"/>
    <w:rsid w:val="1F4632F4"/>
    <w:rsid w:val="1F7E7A85"/>
    <w:rsid w:val="1FFC564E"/>
    <w:rsid w:val="207B20EF"/>
    <w:rsid w:val="214A5A55"/>
    <w:rsid w:val="21D75AEF"/>
    <w:rsid w:val="221668BF"/>
    <w:rsid w:val="22885F8F"/>
    <w:rsid w:val="22E91125"/>
    <w:rsid w:val="233E4E2D"/>
    <w:rsid w:val="237559DB"/>
    <w:rsid w:val="23AB224D"/>
    <w:rsid w:val="23ED6F66"/>
    <w:rsid w:val="24F76A63"/>
    <w:rsid w:val="26B2136A"/>
    <w:rsid w:val="27AC3ADD"/>
    <w:rsid w:val="27E5504A"/>
    <w:rsid w:val="283B754E"/>
    <w:rsid w:val="2870734E"/>
    <w:rsid w:val="28AD6285"/>
    <w:rsid w:val="28B96AE5"/>
    <w:rsid w:val="28E9620C"/>
    <w:rsid w:val="29DE7016"/>
    <w:rsid w:val="2A9202E3"/>
    <w:rsid w:val="2C0B1302"/>
    <w:rsid w:val="2C1F7AC8"/>
    <w:rsid w:val="2CAD711C"/>
    <w:rsid w:val="2D4E3B98"/>
    <w:rsid w:val="2DB63B9B"/>
    <w:rsid w:val="2E87654E"/>
    <w:rsid w:val="2EB61B5B"/>
    <w:rsid w:val="2EE73450"/>
    <w:rsid w:val="2EF309E9"/>
    <w:rsid w:val="2FB40B1B"/>
    <w:rsid w:val="302A330F"/>
    <w:rsid w:val="30560DFD"/>
    <w:rsid w:val="307424CF"/>
    <w:rsid w:val="30841E2E"/>
    <w:rsid w:val="30FD1DC5"/>
    <w:rsid w:val="31726D0B"/>
    <w:rsid w:val="31A02D41"/>
    <w:rsid w:val="31B35969"/>
    <w:rsid w:val="32CB3A5E"/>
    <w:rsid w:val="32DA0DEB"/>
    <w:rsid w:val="33B83890"/>
    <w:rsid w:val="34371E8D"/>
    <w:rsid w:val="34477030"/>
    <w:rsid w:val="34DC6B59"/>
    <w:rsid w:val="34FD713F"/>
    <w:rsid w:val="35846546"/>
    <w:rsid w:val="35F2622F"/>
    <w:rsid w:val="36652220"/>
    <w:rsid w:val="36685816"/>
    <w:rsid w:val="38B050BC"/>
    <w:rsid w:val="38BB0CDD"/>
    <w:rsid w:val="398D2FF6"/>
    <w:rsid w:val="39A612C0"/>
    <w:rsid w:val="3B58363C"/>
    <w:rsid w:val="3B966248"/>
    <w:rsid w:val="3BFF7500"/>
    <w:rsid w:val="3DA848F2"/>
    <w:rsid w:val="3DAD4180"/>
    <w:rsid w:val="3DBB164D"/>
    <w:rsid w:val="3DE628EE"/>
    <w:rsid w:val="3E0E1578"/>
    <w:rsid w:val="3E522F9F"/>
    <w:rsid w:val="3E5526F0"/>
    <w:rsid w:val="3F8C710D"/>
    <w:rsid w:val="3F9A5B77"/>
    <w:rsid w:val="3FB80E76"/>
    <w:rsid w:val="3FBD1DDF"/>
    <w:rsid w:val="40891945"/>
    <w:rsid w:val="414A45BE"/>
    <w:rsid w:val="41504407"/>
    <w:rsid w:val="41754D8E"/>
    <w:rsid w:val="426A76C4"/>
    <w:rsid w:val="428A257B"/>
    <w:rsid w:val="42D6528B"/>
    <w:rsid w:val="439002E6"/>
    <w:rsid w:val="439B3329"/>
    <w:rsid w:val="44C645D0"/>
    <w:rsid w:val="45E2580C"/>
    <w:rsid w:val="4617504F"/>
    <w:rsid w:val="46FB3886"/>
    <w:rsid w:val="470B5FB9"/>
    <w:rsid w:val="47C835A3"/>
    <w:rsid w:val="47E2056F"/>
    <w:rsid w:val="4814013C"/>
    <w:rsid w:val="48CA77E8"/>
    <w:rsid w:val="48D27EEA"/>
    <w:rsid w:val="48EB3486"/>
    <w:rsid w:val="491C286F"/>
    <w:rsid w:val="49813B9F"/>
    <w:rsid w:val="49C10EFB"/>
    <w:rsid w:val="4A4A61B7"/>
    <w:rsid w:val="4A505D9C"/>
    <w:rsid w:val="4A701375"/>
    <w:rsid w:val="4AB108DD"/>
    <w:rsid w:val="4B2A00AB"/>
    <w:rsid w:val="4B367042"/>
    <w:rsid w:val="4B3E0EE4"/>
    <w:rsid w:val="4BAC4D0A"/>
    <w:rsid w:val="4C48094B"/>
    <w:rsid w:val="4C837C28"/>
    <w:rsid w:val="4CBB7F45"/>
    <w:rsid w:val="4D6A2A2F"/>
    <w:rsid w:val="4DD864EF"/>
    <w:rsid w:val="4DE81188"/>
    <w:rsid w:val="4DF93FFE"/>
    <w:rsid w:val="4E122FE1"/>
    <w:rsid w:val="4EF76337"/>
    <w:rsid w:val="4F09272A"/>
    <w:rsid w:val="4FCA2EDE"/>
    <w:rsid w:val="4FF60601"/>
    <w:rsid w:val="50B929DA"/>
    <w:rsid w:val="51E7111F"/>
    <w:rsid w:val="52E96CE0"/>
    <w:rsid w:val="54114A31"/>
    <w:rsid w:val="55286F66"/>
    <w:rsid w:val="55936A5E"/>
    <w:rsid w:val="55A25D57"/>
    <w:rsid w:val="55A44937"/>
    <w:rsid w:val="55D21A12"/>
    <w:rsid w:val="56601084"/>
    <w:rsid w:val="567F7272"/>
    <w:rsid w:val="56D81403"/>
    <w:rsid w:val="56DF501D"/>
    <w:rsid w:val="57AE6DF3"/>
    <w:rsid w:val="59470BD1"/>
    <w:rsid w:val="59D83E64"/>
    <w:rsid w:val="59E84F19"/>
    <w:rsid w:val="5BC11002"/>
    <w:rsid w:val="5C4A026F"/>
    <w:rsid w:val="5D394A33"/>
    <w:rsid w:val="5D444304"/>
    <w:rsid w:val="5E4131BF"/>
    <w:rsid w:val="605C311F"/>
    <w:rsid w:val="605F6AC1"/>
    <w:rsid w:val="60796424"/>
    <w:rsid w:val="614E210F"/>
    <w:rsid w:val="61875598"/>
    <w:rsid w:val="61CE58C8"/>
    <w:rsid w:val="638E598A"/>
    <w:rsid w:val="63B36078"/>
    <w:rsid w:val="640A3DB2"/>
    <w:rsid w:val="64165BA5"/>
    <w:rsid w:val="642C135B"/>
    <w:rsid w:val="648D19A6"/>
    <w:rsid w:val="64B23B4C"/>
    <w:rsid w:val="650E3C3E"/>
    <w:rsid w:val="65E70A09"/>
    <w:rsid w:val="66D759C6"/>
    <w:rsid w:val="66E1204A"/>
    <w:rsid w:val="67206635"/>
    <w:rsid w:val="673C2E9B"/>
    <w:rsid w:val="67573A29"/>
    <w:rsid w:val="67932D0D"/>
    <w:rsid w:val="67BD2298"/>
    <w:rsid w:val="67D25044"/>
    <w:rsid w:val="67DD4D0A"/>
    <w:rsid w:val="6843238E"/>
    <w:rsid w:val="6881213D"/>
    <w:rsid w:val="695B41D0"/>
    <w:rsid w:val="6A255955"/>
    <w:rsid w:val="6A5103BB"/>
    <w:rsid w:val="6AA37513"/>
    <w:rsid w:val="6B925B30"/>
    <w:rsid w:val="6BC56D6B"/>
    <w:rsid w:val="6C3B3515"/>
    <w:rsid w:val="6CA0213B"/>
    <w:rsid w:val="6CB67BE1"/>
    <w:rsid w:val="6CF86141"/>
    <w:rsid w:val="6E993A38"/>
    <w:rsid w:val="6F271871"/>
    <w:rsid w:val="6F4F210C"/>
    <w:rsid w:val="6F5F799B"/>
    <w:rsid w:val="6F876FB7"/>
    <w:rsid w:val="70692261"/>
    <w:rsid w:val="70F6111F"/>
    <w:rsid w:val="71717434"/>
    <w:rsid w:val="71DB34F5"/>
    <w:rsid w:val="72E5701B"/>
    <w:rsid w:val="74653306"/>
    <w:rsid w:val="75E72201"/>
    <w:rsid w:val="77A9042F"/>
    <w:rsid w:val="77C819EB"/>
    <w:rsid w:val="780446BA"/>
    <w:rsid w:val="780F14A8"/>
    <w:rsid w:val="79E40638"/>
    <w:rsid w:val="7A1F0BE3"/>
    <w:rsid w:val="7A902368"/>
    <w:rsid w:val="7AAC13C7"/>
    <w:rsid w:val="7ADB5966"/>
    <w:rsid w:val="7B9F6167"/>
    <w:rsid w:val="7C730283"/>
    <w:rsid w:val="7D78051D"/>
    <w:rsid w:val="7DC364E1"/>
    <w:rsid w:val="7DC87D17"/>
    <w:rsid w:val="7F2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uppressAutoHyphens/>
      <w:spacing w:before="260" w:after="260" w:line="413" w:lineRule="auto"/>
      <w:jc w:val="left"/>
      <w:textAlignment w:val="baseline"/>
      <w:outlineLvl w:val="1"/>
    </w:pPr>
    <w:rPr>
      <w:rFonts w:ascii="Arial" w:hAnsi="Arial" w:eastAsia="黑体"/>
      <w:b/>
      <w:bCs/>
      <w:w w:val="80"/>
      <w:kern w:val="1"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after="120"/>
    </w:pPr>
    <w:rPr>
      <w:rFonts w:ascii="Calibri" w:hAnsi="Calibri" w:eastAsia="华文仿宋"/>
      <w:sz w:val="30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30"/>
    <w:qFormat/>
    <w:uiPriority w:val="0"/>
    <w:rPr>
      <w:rFonts w:ascii="宋体" w:hAnsi="Courier New" w:eastAsia="宋体" w:cs="Courier New"/>
      <w:szCs w:val="21"/>
    </w:rPr>
  </w:style>
  <w:style w:type="paragraph" w:styleId="9">
    <w:name w:val="Date"/>
    <w:basedOn w:val="1"/>
    <w:next w:val="1"/>
    <w:qFormat/>
    <w:uiPriority w:val="0"/>
    <w:rPr>
      <w:rFonts w:eastAsia="宋体"/>
      <w:szCs w:val="20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styleId="18">
    <w:name w:val="Hyperlink"/>
    <w:basedOn w:val="16"/>
    <w:qFormat/>
    <w:uiPriority w:val="0"/>
    <w:rPr>
      <w:rFonts w:hint="eastAsia" w:ascii="Arial" w:hAnsi="Arial" w:cs="Arial"/>
      <w:color w:val="000000"/>
      <w:sz w:val="18"/>
      <w:szCs w:val="18"/>
      <w:u w:val="none"/>
    </w:rPr>
  </w:style>
  <w:style w:type="character" w:customStyle="1" w:styleId="19">
    <w:name w:val="hits"/>
    <w:basedOn w:val="16"/>
    <w:qFormat/>
    <w:uiPriority w:val="0"/>
    <w:rPr>
      <w:color w:val="898989"/>
    </w:rPr>
  </w:style>
  <w:style w:type="paragraph" w:customStyle="1" w:styleId="20">
    <w:name w:val="xl2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宋体" w:hAnsi="宋体" w:eastAsia="宋体"/>
      <w:kern w:val="0"/>
      <w:sz w:val="24"/>
    </w:rPr>
  </w:style>
  <w:style w:type="paragraph" w:customStyle="1" w:styleId="21">
    <w:name w:val="xl3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  <w:jc w:val="center"/>
    </w:pPr>
    <w:rPr>
      <w:rFonts w:eastAsia="宋体"/>
      <w:b/>
      <w:kern w:val="0"/>
      <w:sz w:val="24"/>
      <w:szCs w:val="20"/>
    </w:rPr>
  </w:style>
  <w:style w:type="paragraph" w:customStyle="1" w:styleId="22">
    <w:name w:val="xl3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character" w:customStyle="1" w:styleId="23">
    <w:name w:val="font11"/>
    <w:basedOn w:val="1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61"/>
    <w:basedOn w:val="1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5">
    <w:name w:val="批注框文本 Char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眉 Char"/>
    <w:basedOn w:val="16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font01"/>
    <w:basedOn w:val="1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纯文本 Char"/>
    <w:basedOn w:val="16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1">
    <w:name w:val="p0 Char"/>
    <w:link w:val="32"/>
    <w:qFormat/>
    <w:uiPriority w:val="0"/>
    <w:rPr>
      <w:rFonts w:eastAsia="宋体"/>
      <w:sz w:val="21"/>
      <w:szCs w:val="21"/>
    </w:rPr>
  </w:style>
  <w:style w:type="paragraph" w:customStyle="1" w:styleId="32">
    <w:name w:val="p0"/>
    <w:basedOn w:val="1"/>
    <w:link w:val="31"/>
    <w:qFormat/>
    <w:uiPriority w:val="0"/>
    <w:pPr>
      <w:widowControl/>
    </w:pPr>
    <w:rPr>
      <w:rFonts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3DD29-354D-4C82-9246-3D1A79B31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2875</Words>
  <Characters>16394</Characters>
  <Lines>136</Lines>
  <Paragraphs>38</Paragraphs>
  <TotalTime>10</TotalTime>
  <ScaleCrop>false</ScaleCrop>
  <LinksUpToDate>false</LinksUpToDate>
  <CharactersWithSpaces>19231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2019-05-08T06:37:00Z</dcterms:created>
  <dc:creator>Administrator</dc:creator>
  <cp:lastModifiedBy>特困生</cp:lastModifiedBy>
  <cp:lastPrinted>2018-06-25T05:39:00Z</cp:lastPrinted>
  <dcterms:modified xsi:type="dcterms:W3CDTF">2019-05-20T13:59:30Z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