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60" w:lineRule="auto"/>
        <w:jc w:val="center"/>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 xml:space="preserve">   政府采购合同协议书</w:t>
      </w:r>
    </w:p>
    <w:p>
      <w:pPr>
        <w:spacing w:afterLines="50"/>
        <w:ind w:right="-57" w:rightChars="-27"/>
        <w:jc w:val="right"/>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采购合同编号：</w:t>
      </w:r>
      <w:r>
        <w:rPr>
          <w:rFonts w:ascii="仿宋_GB2312" w:hAnsi="仿宋_GB2312" w:eastAsia="仿宋_GB2312" w:cs="仿宋_GB2312"/>
          <w:color w:val="auto"/>
          <w:sz w:val="28"/>
          <w:szCs w:val="28"/>
          <w:u w:val="single"/>
        </w:rPr>
        <w:t xml:space="preserve">                </w:t>
      </w:r>
      <w:r>
        <w:rPr>
          <w:rFonts w:ascii="仿宋_GB2312" w:hAnsi="仿宋_GB2312" w:eastAsia="仿宋_GB2312" w:cs="仿宋_GB2312"/>
          <w:color w:val="auto"/>
          <w:sz w:val="28"/>
          <w:szCs w:val="28"/>
          <w:u w:val="single"/>
        </w:rPr>
        <w:tab/>
      </w:r>
    </w:p>
    <w:p>
      <w:pPr>
        <w:adjustRightInd w:val="0"/>
        <w:snapToGrid w:val="0"/>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采 </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 xml:space="preserve"> 购 </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人（全称）：</w:t>
      </w:r>
      <w:r>
        <w:rPr>
          <w:rFonts w:hint="eastAsia" w:ascii="仿宋_GB2312" w:hAnsi="仿宋_GB2312" w:eastAsia="仿宋_GB2312" w:cs="仿宋_GB2312"/>
          <w:color w:val="auto"/>
          <w:sz w:val="28"/>
          <w:szCs w:val="28"/>
          <w:u w:val="single"/>
        </w:rPr>
        <w:t>湖南湘江新区管理委员会</w:t>
      </w:r>
      <w:r>
        <w:rPr>
          <w:rFonts w:hint="eastAsia" w:ascii="仿宋_GB2312" w:hAnsi="仿宋_GB2312" w:eastAsia="仿宋_GB2312" w:cs="仿宋_GB2312"/>
          <w:color w:val="auto"/>
          <w:sz w:val="28"/>
          <w:szCs w:val="28"/>
        </w:rPr>
        <w:t>（甲方）</w:t>
      </w:r>
    </w:p>
    <w:p>
      <w:pPr>
        <w:adjustRightInd w:val="0"/>
        <w:snapToGrid w:val="0"/>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联合体牵头人（全称）：</w:t>
      </w:r>
      <w:r>
        <w:rPr>
          <w:rFonts w:hint="eastAsia" w:ascii="仿宋_GB2312" w:hAnsi="仿宋_GB2312" w:eastAsia="仿宋_GB2312" w:cs="仿宋_GB2312"/>
          <w:color w:val="auto"/>
          <w:sz w:val="28"/>
          <w:szCs w:val="28"/>
          <w:u w:val="single"/>
        </w:rPr>
        <w:t>长沙华逸府餐饮文化传播有限公司</w:t>
      </w:r>
      <w:r>
        <w:rPr>
          <w:rFonts w:hint="eastAsia" w:ascii="仿宋_GB2312" w:hAnsi="仿宋_GB2312" w:eastAsia="仿宋_GB2312" w:cs="仿宋_GB2312"/>
          <w:color w:val="auto"/>
          <w:sz w:val="28"/>
          <w:szCs w:val="28"/>
        </w:rPr>
        <w:t>（乙方）</w:t>
      </w:r>
    </w:p>
    <w:p>
      <w:pPr>
        <w:adjustRightInd w:val="0"/>
        <w:snapToGrid w:val="0"/>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联合体成员方（全称）：</w:t>
      </w:r>
      <w:r>
        <w:rPr>
          <w:rFonts w:hint="eastAsia" w:ascii="仿宋_GB2312" w:hAnsi="仿宋_GB2312" w:eastAsia="仿宋_GB2312" w:cs="仿宋_GB2312"/>
          <w:color w:val="auto"/>
          <w:sz w:val="28"/>
          <w:szCs w:val="28"/>
          <w:u w:val="single"/>
        </w:rPr>
        <w:t>湖南四建华银工程有限公司</w:t>
      </w:r>
      <w:r>
        <w:rPr>
          <w:rFonts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（丙方）</w:t>
      </w:r>
    </w:p>
    <w:p>
      <w:pPr>
        <w:pStyle w:val="7"/>
        <w:adjustRightInd w:val="0"/>
        <w:snapToGrid w:val="0"/>
        <w:spacing w:after="0" w:line="360" w:lineRule="auto"/>
        <w:ind w:left="0" w:leftChars="0"/>
        <w:rPr>
          <w:rFonts w:ascii="仿宋_GB2312" w:hAnsi="仿宋_GB2312" w:eastAsia="仿宋_GB2312" w:cs="仿宋_GB2312"/>
          <w:color w:val="auto"/>
          <w:sz w:val="28"/>
          <w:szCs w:val="28"/>
        </w:rPr>
      </w:pPr>
    </w:p>
    <w:p>
      <w:pPr>
        <w:pStyle w:val="7"/>
        <w:adjustRightInd w:val="0"/>
        <w:snapToGrid w:val="0"/>
        <w:spacing w:after="0" w:line="360" w:lineRule="auto"/>
        <w:ind w:left="0" w:leftChars="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为了保护甲、乙</w:t>
      </w:r>
      <w:r>
        <w:rPr>
          <w:rFonts w:hint="eastAsia" w:ascii="仿宋_GB2312" w:hAnsi="仿宋_GB2312" w:eastAsia="仿宋_GB2312" w:cs="仿宋_GB2312"/>
          <w:color w:val="auto"/>
          <w:sz w:val="28"/>
          <w:szCs w:val="28"/>
          <w:lang w:eastAsia="zh-CN"/>
        </w:rPr>
        <w:t>、丙</w:t>
      </w:r>
      <w:r>
        <w:rPr>
          <w:rFonts w:hint="eastAsia" w:ascii="仿宋_GB2312" w:hAnsi="仿宋_GB2312" w:eastAsia="仿宋_GB2312" w:cs="仿宋_GB2312"/>
          <w:color w:val="auto"/>
          <w:sz w:val="28"/>
          <w:szCs w:val="28"/>
        </w:rPr>
        <w:t>三方合法权益，根据《中华人民共和国合同法》、《中华人民共和国政府采购法》及其他有关法律、法规、规章，三方签订本合同协议书。</w:t>
      </w:r>
    </w:p>
    <w:p>
      <w:pPr>
        <w:adjustRightInd w:val="0"/>
        <w:snapToGrid w:val="0"/>
        <w:spacing w:line="360" w:lineRule="auto"/>
        <w:ind w:firstLine="562" w:firstLineChars="200"/>
        <w:rPr>
          <w:rFonts w:ascii="仿宋_GB2312" w:hAnsi="仿宋_GB2312" w:eastAsia="仿宋_GB2312" w:cs="仿宋_GB2312"/>
          <w:b/>
          <w:color w:val="auto"/>
          <w:sz w:val="28"/>
          <w:szCs w:val="28"/>
        </w:rPr>
      </w:pPr>
      <w:r>
        <w:rPr>
          <w:rFonts w:ascii="仿宋_GB2312" w:hAnsi="仿宋_GB2312" w:eastAsia="仿宋_GB2312" w:cs="仿宋_GB2312"/>
          <w:b/>
          <w:color w:val="auto"/>
          <w:sz w:val="28"/>
          <w:szCs w:val="28"/>
        </w:rPr>
        <w:t>1.</w:t>
      </w:r>
      <w:r>
        <w:rPr>
          <w:rFonts w:hint="eastAsia" w:ascii="仿宋_GB2312" w:hAnsi="仿宋_GB2312" w:eastAsia="仿宋_GB2312" w:cs="仿宋_GB2312"/>
          <w:b/>
          <w:color w:val="auto"/>
          <w:sz w:val="28"/>
          <w:szCs w:val="28"/>
        </w:rPr>
        <w:t>项目信息</w:t>
      </w:r>
    </w:p>
    <w:p>
      <w:pPr>
        <w:pStyle w:val="7"/>
        <w:adjustRightInd w:val="0"/>
        <w:snapToGrid w:val="0"/>
        <w:spacing w:after="0" w:line="360" w:lineRule="auto"/>
        <w:ind w:left="0" w:leftChars="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t>）采购项目名称：</w:t>
      </w:r>
      <w:r>
        <w:rPr>
          <w:rFonts w:hint="eastAsia" w:ascii="仿宋_GB2312" w:hAnsi="仿宋_GB2312" w:eastAsia="仿宋_GB2312" w:cs="仿宋_GB2312"/>
          <w:color w:val="auto"/>
          <w:sz w:val="28"/>
          <w:szCs w:val="28"/>
          <w:u w:val="single"/>
        </w:rPr>
        <w:t>湖南湘江新区管理委员会食堂经营权招标采购</w:t>
      </w:r>
    </w:p>
    <w:p>
      <w:pPr>
        <w:pStyle w:val="7"/>
        <w:adjustRightInd w:val="0"/>
        <w:snapToGrid w:val="0"/>
        <w:spacing w:after="0" w:line="360" w:lineRule="auto"/>
        <w:ind w:left="0" w:leftChars="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）采购计划编号：</w:t>
      </w:r>
      <w:r>
        <w:rPr>
          <w:rFonts w:hint="eastAsia" w:ascii="仿宋_GB2312" w:hAnsi="仿宋_GB2312" w:eastAsia="仿宋_GB2312" w:cs="仿宋_GB2312"/>
          <w:color w:val="auto"/>
          <w:sz w:val="28"/>
          <w:szCs w:val="28"/>
          <w:u w:val="single"/>
        </w:rPr>
        <w:t>湘新财采计—JC201811001</w:t>
      </w:r>
    </w:p>
    <w:p>
      <w:pPr>
        <w:adjustRightInd w:val="0"/>
        <w:snapToGrid w:val="0"/>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rPr>
        <w:t>）项目内容：</w:t>
      </w:r>
      <w:r>
        <w:rPr>
          <w:rFonts w:hint="eastAsia" w:ascii="仿宋_GB2312" w:hAnsi="仿宋_GB2312" w:eastAsia="仿宋_GB2312" w:cs="仿宋_GB2312"/>
          <w:color w:val="auto"/>
          <w:sz w:val="28"/>
          <w:szCs w:val="28"/>
          <w:u w:val="single"/>
        </w:rPr>
        <w:t>湖南湘江新区管理委员会餐厅承包（含改造）。</w:t>
      </w:r>
    </w:p>
    <w:p>
      <w:pPr>
        <w:adjustRightInd w:val="0"/>
        <w:snapToGrid w:val="0"/>
        <w:spacing w:line="360" w:lineRule="auto"/>
        <w:ind w:firstLine="551" w:firstLineChars="196"/>
        <w:rPr>
          <w:rFonts w:ascii="仿宋_GB2312" w:hAnsi="仿宋_GB2312" w:eastAsia="仿宋_GB2312" w:cs="仿宋_GB2312"/>
          <w:b/>
          <w:color w:val="auto"/>
          <w:sz w:val="28"/>
          <w:szCs w:val="28"/>
        </w:rPr>
      </w:pPr>
      <w:r>
        <w:rPr>
          <w:rFonts w:ascii="仿宋_GB2312" w:hAnsi="仿宋_GB2312" w:eastAsia="仿宋_GB2312" w:cs="仿宋_GB2312"/>
          <w:b/>
          <w:color w:val="auto"/>
          <w:sz w:val="28"/>
          <w:szCs w:val="28"/>
        </w:rPr>
        <w:t>2.</w:t>
      </w:r>
      <w:r>
        <w:rPr>
          <w:rFonts w:hint="eastAsia" w:ascii="仿宋_GB2312" w:hAnsi="仿宋_GB2312" w:eastAsia="仿宋_GB2312" w:cs="仿宋_GB2312"/>
          <w:b/>
          <w:color w:val="auto"/>
          <w:sz w:val="28"/>
          <w:szCs w:val="28"/>
        </w:rPr>
        <w:t>合同金额</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t>）合同金额小写：</w:t>
      </w:r>
      <w:r>
        <w:rPr>
          <w:rFonts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981255.89元</w:t>
      </w:r>
      <w:r>
        <w:rPr>
          <w:rFonts w:ascii="仿宋_GB2312" w:hAnsi="仿宋_GB2312" w:eastAsia="仿宋_GB2312" w:cs="仿宋_GB2312"/>
          <w:color w:val="auto"/>
          <w:sz w:val="28"/>
          <w:szCs w:val="28"/>
          <w:u w:val="single"/>
        </w:rPr>
        <w:t xml:space="preserve">    </w:t>
      </w:r>
      <w:r>
        <w:rPr>
          <w:rFonts w:ascii="仿宋_GB2312" w:hAnsi="仿宋_GB2312" w:eastAsia="仿宋_GB2312" w:cs="仿宋_GB2312"/>
          <w:color w:val="auto"/>
          <w:sz w:val="28"/>
          <w:szCs w:val="28"/>
          <w:u w:val="single"/>
        </w:rPr>
        <w:tab/>
      </w:r>
      <w:r>
        <w:rPr>
          <w:rFonts w:ascii="仿宋_GB2312" w:hAnsi="仿宋_GB2312" w:eastAsia="仿宋_GB2312" w:cs="仿宋_GB2312"/>
          <w:color w:val="auto"/>
          <w:sz w:val="28"/>
          <w:szCs w:val="28"/>
          <w:u w:val="single"/>
        </w:rPr>
        <w:t xml:space="preserve"> </w:t>
      </w:r>
    </w:p>
    <w:p>
      <w:pPr>
        <w:adjustRightInd w:val="0"/>
        <w:snapToGrid w:val="0"/>
        <w:spacing w:line="360" w:lineRule="auto"/>
        <w:ind w:firstLine="2408" w:firstLineChars="860"/>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color w:val="auto"/>
          <w:sz w:val="28"/>
          <w:szCs w:val="28"/>
        </w:rPr>
        <w:t>大写：</w:t>
      </w:r>
      <w:r>
        <w:rPr>
          <w:rFonts w:hint="eastAsia" w:ascii="仿宋_GB2312" w:hAnsi="仿宋_GB2312" w:eastAsia="仿宋_GB2312" w:cs="仿宋_GB2312"/>
          <w:color w:val="auto"/>
          <w:sz w:val="28"/>
          <w:szCs w:val="28"/>
          <w:u w:val="single"/>
          <w:lang w:eastAsia="zh-CN"/>
        </w:rPr>
        <w:t>玖拾捌万壹仟贰佰伍拾伍元捌角玖分</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）具体标的见附件。</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rPr>
        <w:t>）合同价格形式：</w:t>
      </w:r>
      <w:r>
        <w:rPr>
          <w:rFonts w:hint="eastAsia" w:ascii="仿宋_GB2312" w:hAnsi="仿宋_GB2312" w:eastAsia="仿宋_GB2312" w:cs="仿宋_GB2312"/>
          <w:color w:val="auto"/>
          <w:sz w:val="28"/>
          <w:szCs w:val="28"/>
          <w:u w:val="single"/>
        </w:rPr>
        <w:t>固定总价合同</w:t>
      </w:r>
      <w:r>
        <w:rPr>
          <w:rFonts w:hint="eastAsia" w:ascii="仿宋_GB2312" w:hAnsi="仿宋_GB2312" w:eastAsia="仿宋_GB2312" w:cs="仿宋_GB2312"/>
          <w:color w:val="auto"/>
          <w:sz w:val="28"/>
          <w:szCs w:val="28"/>
        </w:rPr>
        <w:t>。</w:t>
      </w:r>
    </w:p>
    <w:p>
      <w:pPr>
        <w:adjustRightInd w:val="0"/>
        <w:snapToGrid w:val="0"/>
        <w:spacing w:line="360" w:lineRule="auto"/>
        <w:ind w:firstLine="562" w:firstLineChars="200"/>
        <w:rPr>
          <w:rFonts w:ascii="仿宋_GB2312" w:hAnsi="仿宋_GB2312" w:eastAsia="仿宋_GB2312" w:cs="仿宋_GB2312"/>
          <w:color w:val="auto"/>
          <w:sz w:val="28"/>
          <w:szCs w:val="28"/>
          <w:u w:val="single"/>
        </w:rPr>
      </w:pPr>
      <w:r>
        <w:rPr>
          <w:rFonts w:ascii="仿宋_GB2312" w:hAnsi="仿宋_GB2312" w:eastAsia="仿宋_GB2312" w:cs="仿宋_GB2312"/>
          <w:b/>
          <w:color w:val="auto"/>
          <w:sz w:val="28"/>
          <w:szCs w:val="28"/>
        </w:rPr>
        <w:t>3.</w:t>
      </w:r>
      <w:r>
        <w:rPr>
          <w:rFonts w:hint="eastAsia" w:ascii="仿宋_GB2312" w:hAnsi="仿宋_GB2312" w:eastAsia="仿宋_GB2312" w:cs="仿宋_GB2312"/>
          <w:b/>
          <w:color w:val="auto"/>
          <w:sz w:val="28"/>
          <w:szCs w:val="28"/>
        </w:rPr>
        <w:t>履行合同的时间、地点及方式</w:t>
      </w:r>
    </w:p>
    <w:p>
      <w:pPr>
        <w:adjustRightInd w:val="0"/>
        <w:snapToGrid w:val="0"/>
        <w:spacing w:line="360" w:lineRule="auto"/>
        <w:ind w:firstLine="840" w:firstLineChars="3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餐饮服务：承包期</w:t>
      </w:r>
      <w:r>
        <w:rPr>
          <w:rFonts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rPr>
        <w:t>年，</w:t>
      </w:r>
      <w:r>
        <w:rPr>
          <w:rFonts w:ascii="仿宋_GB2312" w:hAnsi="仿宋_GB2312" w:eastAsia="仿宋_GB2312" w:cs="仿宋_GB2312"/>
          <w:color w:val="auto"/>
          <w:sz w:val="28"/>
          <w:szCs w:val="28"/>
        </w:rPr>
        <w:t>2019</w:t>
      </w:r>
      <w:r>
        <w:rPr>
          <w:rFonts w:hint="eastAsia" w:ascii="仿宋_GB2312" w:hAnsi="仿宋_GB2312" w:eastAsia="仿宋_GB2312" w:cs="仿宋_GB2312"/>
          <w:color w:val="auto"/>
          <w:sz w:val="28"/>
          <w:szCs w:val="28"/>
        </w:rPr>
        <w:t>年</w:t>
      </w:r>
      <w:r>
        <w:rPr>
          <w:rFonts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t>月</w:t>
      </w:r>
      <w:r>
        <w:rPr>
          <w:rFonts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t>日至</w:t>
      </w:r>
      <w:r>
        <w:rPr>
          <w:rFonts w:ascii="仿宋_GB2312" w:hAnsi="仿宋_GB2312" w:eastAsia="仿宋_GB2312" w:cs="仿宋_GB2312"/>
          <w:color w:val="auto"/>
          <w:sz w:val="28"/>
          <w:szCs w:val="28"/>
        </w:rPr>
        <w:t>2021</w:t>
      </w:r>
      <w:r>
        <w:rPr>
          <w:rFonts w:hint="eastAsia" w:ascii="仿宋_GB2312" w:hAnsi="仿宋_GB2312" w:eastAsia="仿宋_GB2312" w:cs="仿宋_GB2312"/>
          <w:color w:val="auto"/>
          <w:sz w:val="28"/>
          <w:szCs w:val="28"/>
        </w:rPr>
        <w:t>年</w:t>
      </w:r>
      <w:r>
        <w:rPr>
          <w:rFonts w:ascii="仿宋_GB2312" w:hAnsi="仿宋_GB2312" w:eastAsia="仿宋_GB2312" w:cs="仿宋_GB2312"/>
          <w:color w:val="auto"/>
          <w:sz w:val="28"/>
          <w:szCs w:val="28"/>
        </w:rPr>
        <w:t>12</w:t>
      </w:r>
      <w:r>
        <w:rPr>
          <w:rFonts w:hint="eastAsia" w:ascii="仿宋_GB2312" w:hAnsi="仿宋_GB2312" w:eastAsia="仿宋_GB2312" w:cs="仿宋_GB2312"/>
          <w:color w:val="auto"/>
          <w:sz w:val="28"/>
          <w:szCs w:val="28"/>
        </w:rPr>
        <w:t>月</w:t>
      </w:r>
      <w:r>
        <w:rPr>
          <w:rFonts w:ascii="仿宋_GB2312" w:hAnsi="仿宋_GB2312" w:eastAsia="仿宋_GB2312" w:cs="仿宋_GB2312"/>
          <w:color w:val="auto"/>
          <w:sz w:val="28"/>
          <w:szCs w:val="28"/>
        </w:rPr>
        <w:t>31</w:t>
      </w:r>
      <w:r>
        <w:rPr>
          <w:rFonts w:hint="eastAsia" w:ascii="仿宋_GB2312" w:hAnsi="仿宋_GB2312" w:eastAsia="仿宋_GB2312" w:cs="仿宋_GB2312"/>
          <w:color w:val="auto"/>
          <w:sz w:val="28"/>
          <w:szCs w:val="28"/>
        </w:rPr>
        <w:t>日。</w:t>
      </w:r>
      <w:r>
        <w:rPr>
          <w:rFonts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rPr>
        <w:t>栋食堂中餐限价</w:t>
      </w:r>
      <w:r>
        <w:rPr>
          <w:rFonts w:ascii="仿宋_GB2312" w:hAnsi="仿宋_GB2312" w:eastAsia="仿宋_GB2312" w:cs="仿宋_GB2312"/>
          <w:color w:val="auto"/>
          <w:sz w:val="28"/>
          <w:szCs w:val="28"/>
        </w:rPr>
        <w:t>10</w:t>
      </w:r>
      <w:r>
        <w:rPr>
          <w:rFonts w:hint="eastAsia" w:ascii="仿宋_GB2312" w:hAnsi="仿宋_GB2312" w:eastAsia="仿宋_GB2312" w:cs="仿宋_GB2312"/>
          <w:color w:val="auto"/>
          <w:sz w:val="28"/>
          <w:szCs w:val="28"/>
        </w:rPr>
        <w:t>元，仅限湖南湘江新区管理委员会内部职工干部用餐；</w:t>
      </w:r>
      <w:r>
        <w:rPr>
          <w:rFonts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rPr>
        <w:t>栋自由经营。</w:t>
      </w:r>
    </w:p>
    <w:p>
      <w:pPr>
        <w:adjustRightInd w:val="0"/>
        <w:snapToGrid w:val="0"/>
        <w:spacing w:line="360" w:lineRule="auto"/>
        <w:ind w:firstLine="840" w:firstLineChars="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装修改造：要求</w:t>
      </w:r>
      <w:r>
        <w:rPr>
          <w:rFonts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rPr>
        <w:t>栋食堂于</w:t>
      </w:r>
      <w:r>
        <w:rPr>
          <w:rFonts w:ascii="仿宋_GB2312" w:hAnsi="仿宋_GB2312" w:eastAsia="仿宋_GB2312" w:cs="仿宋_GB2312"/>
          <w:color w:val="auto"/>
          <w:sz w:val="28"/>
          <w:szCs w:val="28"/>
        </w:rPr>
        <w:t>2018</w:t>
      </w:r>
      <w:r>
        <w:rPr>
          <w:rFonts w:hint="eastAsia" w:ascii="仿宋_GB2312" w:hAnsi="仿宋_GB2312" w:eastAsia="仿宋_GB2312" w:cs="仿宋_GB2312"/>
          <w:color w:val="auto"/>
          <w:sz w:val="28"/>
          <w:szCs w:val="28"/>
        </w:rPr>
        <w:t>年</w:t>
      </w:r>
      <w:r>
        <w:rPr>
          <w:rFonts w:ascii="仿宋_GB2312" w:hAnsi="仿宋_GB2312" w:eastAsia="仿宋_GB2312" w:cs="仿宋_GB2312"/>
          <w:color w:val="auto"/>
          <w:sz w:val="28"/>
          <w:szCs w:val="28"/>
        </w:rPr>
        <w:t>12</w:t>
      </w:r>
      <w:r>
        <w:rPr>
          <w:rFonts w:hint="eastAsia" w:ascii="仿宋_GB2312" w:hAnsi="仿宋_GB2312" w:eastAsia="仿宋_GB2312" w:cs="仿宋_GB2312"/>
          <w:color w:val="auto"/>
          <w:sz w:val="28"/>
          <w:szCs w:val="28"/>
        </w:rPr>
        <w:t>月完成改造，并保障</w:t>
      </w:r>
      <w:r>
        <w:rPr>
          <w:rFonts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rPr>
        <w:t>栋改造过渡期间的干部职工用餐；</w:t>
      </w:r>
      <w:r>
        <w:rPr>
          <w:rFonts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rPr>
        <w:t>栋于</w:t>
      </w:r>
      <w:r>
        <w:rPr>
          <w:rFonts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rPr>
        <w:t>栋改造使用后进行改造</w:t>
      </w:r>
      <w:r>
        <w:rPr>
          <w:rFonts w:hint="eastAsia" w:ascii="仿宋_GB2312" w:hAnsi="仿宋_GB2312" w:eastAsia="仿宋_GB2312" w:cs="仿宋_GB2312"/>
          <w:color w:val="auto"/>
          <w:sz w:val="28"/>
          <w:szCs w:val="28"/>
          <w:lang w:eastAsia="zh-CN"/>
        </w:rPr>
        <w:t>，并保证在</w:t>
      </w:r>
      <w:r>
        <w:rPr>
          <w:rFonts w:hint="eastAsia" w:ascii="仿宋_GB2312" w:hAnsi="仿宋_GB2312" w:eastAsia="仿宋_GB2312" w:cs="仿宋_GB2312"/>
          <w:color w:val="auto"/>
          <w:sz w:val="28"/>
          <w:szCs w:val="28"/>
          <w:lang w:val="en-US" w:eastAsia="zh-CN"/>
        </w:rPr>
        <w:t>2019年1月20日前完成</w:t>
      </w:r>
      <w:r>
        <w:rPr>
          <w:rFonts w:hint="eastAsia" w:ascii="仿宋_GB2312" w:hAnsi="仿宋_GB2312" w:eastAsia="仿宋_GB2312" w:cs="仿宋_GB2312"/>
          <w:color w:val="auto"/>
          <w:sz w:val="28"/>
          <w:szCs w:val="28"/>
        </w:rPr>
        <w:t>。</w:t>
      </w:r>
    </w:p>
    <w:p>
      <w:pPr>
        <w:adjustRightInd w:val="0"/>
        <w:snapToGrid w:val="0"/>
        <w:spacing w:line="360" w:lineRule="auto"/>
        <w:ind w:firstLine="843" w:firstLineChars="3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服务内容的详细约定见本协议附件。</w:t>
      </w:r>
    </w:p>
    <w:p>
      <w:pPr>
        <w:adjustRightInd w:val="0"/>
        <w:snapToGrid w:val="0"/>
        <w:spacing w:line="360" w:lineRule="auto"/>
        <w:ind w:firstLine="840" w:firstLineChars="3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地点</w:t>
      </w:r>
      <w:r>
        <w:rPr>
          <w:rFonts w:hint="eastAsia" w:ascii="仿宋_GB2312" w:hAnsi="仿宋_GB2312" w:eastAsia="仿宋_GB2312" w:cs="仿宋_GB2312"/>
          <w:b/>
          <w:color w:val="auto"/>
          <w:sz w:val="28"/>
          <w:szCs w:val="28"/>
        </w:rPr>
        <w:t>：</w:t>
      </w:r>
      <w:r>
        <w:rPr>
          <w:rFonts w:hint="eastAsia" w:ascii="仿宋_GB2312" w:hAnsi="仿宋_GB2312" w:eastAsia="仿宋_GB2312" w:cs="仿宋_GB2312"/>
          <w:bCs/>
          <w:color w:val="auto"/>
          <w:sz w:val="28"/>
          <w:szCs w:val="28"/>
          <w:u w:val="single"/>
        </w:rPr>
        <w:t>湖南湘江新区管理委员会</w:t>
      </w:r>
    </w:p>
    <w:p>
      <w:pPr>
        <w:adjustRightInd w:val="0"/>
        <w:snapToGrid w:val="0"/>
        <w:spacing w:line="360" w:lineRule="auto"/>
        <w:ind w:firstLine="840" w:firstLineChars="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方式：</w:t>
      </w:r>
      <w:r>
        <w:rPr>
          <w:rFonts w:hint="eastAsia" w:ascii="仿宋_GB2312" w:hAnsi="仿宋_GB2312" w:eastAsia="仿宋_GB2312" w:cs="仿宋_GB2312"/>
          <w:bCs/>
          <w:color w:val="auto"/>
          <w:sz w:val="28"/>
          <w:szCs w:val="28"/>
          <w:u w:val="single"/>
        </w:rPr>
        <w:t>由中标单位负责整个项目的实施。</w:t>
      </w:r>
      <w:bookmarkStart w:id="1" w:name="_GoBack"/>
      <w:bookmarkEnd w:id="1"/>
    </w:p>
    <w:p>
      <w:pPr>
        <w:adjustRightInd w:val="0"/>
        <w:snapToGrid w:val="0"/>
        <w:spacing w:line="360" w:lineRule="auto"/>
        <w:ind w:firstLine="562" w:firstLineChars="200"/>
        <w:rPr>
          <w:rFonts w:ascii="仿宋_GB2312" w:hAnsi="仿宋_GB2312" w:eastAsia="仿宋_GB2312" w:cs="仿宋_GB2312"/>
          <w:b/>
          <w:color w:val="auto"/>
          <w:sz w:val="28"/>
          <w:szCs w:val="28"/>
        </w:rPr>
      </w:pPr>
      <w:r>
        <w:rPr>
          <w:rFonts w:ascii="仿宋_GB2312" w:hAnsi="仿宋_GB2312" w:eastAsia="仿宋_GB2312" w:cs="仿宋_GB2312"/>
          <w:b/>
          <w:color w:val="auto"/>
          <w:sz w:val="28"/>
          <w:szCs w:val="28"/>
        </w:rPr>
        <w:t>4.</w:t>
      </w:r>
      <w:r>
        <w:rPr>
          <w:rFonts w:hint="eastAsia" w:ascii="仿宋_GB2312" w:hAnsi="仿宋_GB2312" w:eastAsia="仿宋_GB2312" w:cs="仿宋_GB2312"/>
          <w:b/>
          <w:color w:val="auto"/>
          <w:sz w:val="28"/>
          <w:szCs w:val="28"/>
        </w:rPr>
        <w:t>付款：</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t>）付款人：湖南湘江新区管理委员会（转账支付）</w:t>
      </w:r>
    </w:p>
    <w:p>
      <w:pPr>
        <w:adjustRightInd w:val="0"/>
        <w:snapToGrid w:val="0"/>
        <w:spacing w:line="360" w:lineRule="auto"/>
        <w:ind w:firstLine="840" w:firstLineChars="3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付款方式：合同签订后的7个工作日内，甲方根据丙方出具的</w:t>
      </w:r>
      <w:r>
        <w:rPr>
          <w:rFonts w:hint="eastAsia" w:ascii="仿宋_GB2312" w:hAnsi="仿宋_GB2312" w:eastAsia="仿宋_GB2312" w:cs="仿宋_GB2312"/>
          <w:color w:val="auto"/>
          <w:sz w:val="28"/>
          <w:szCs w:val="28"/>
          <w:lang w:eastAsia="zh-CN"/>
        </w:rPr>
        <w:t>发票</w:t>
      </w:r>
      <w:r>
        <w:rPr>
          <w:rFonts w:hint="eastAsia" w:ascii="仿宋_GB2312" w:hAnsi="仿宋_GB2312" w:eastAsia="仿宋_GB2312" w:cs="仿宋_GB2312"/>
          <w:color w:val="auto"/>
          <w:sz w:val="28"/>
          <w:szCs w:val="28"/>
        </w:rPr>
        <w:t>，支付合同金额（改造费用）的</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0%。在改造完成并通过</w:t>
      </w:r>
      <w:r>
        <w:rPr>
          <w:rFonts w:hint="eastAsia" w:ascii="仿宋_GB2312" w:hAnsi="仿宋_GB2312" w:eastAsia="仿宋_GB2312" w:cs="仿宋_GB2312"/>
          <w:color w:val="auto"/>
          <w:sz w:val="28"/>
          <w:szCs w:val="28"/>
          <w:lang w:eastAsia="zh-CN"/>
        </w:rPr>
        <w:t>甲乙双方</w:t>
      </w:r>
      <w:r>
        <w:rPr>
          <w:rFonts w:hint="eastAsia" w:ascii="仿宋_GB2312" w:hAnsi="仿宋_GB2312" w:eastAsia="仿宋_GB2312" w:cs="仿宋_GB2312"/>
          <w:color w:val="auto"/>
          <w:sz w:val="28"/>
          <w:szCs w:val="28"/>
        </w:rPr>
        <w:t>验收后，甲方根据</w:t>
      </w:r>
      <w:r>
        <w:rPr>
          <w:rFonts w:hint="eastAsia" w:ascii="仿宋_GB2312" w:hAnsi="仿宋_GB2312" w:eastAsia="仿宋_GB2312" w:cs="仿宋_GB2312"/>
          <w:color w:val="auto"/>
          <w:sz w:val="28"/>
          <w:szCs w:val="28"/>
          <w:lang w:eastAsia="zh-CN"/>
        </w:rPr>
        <w:t>丙</w:t>
      </w:r>
      <w:r>
        <w:rPr>
          <w:rFonts w:hint="eastAsia" w:ascii="仿宋_GB2312" w:hAnsi="仿宋_GB2312" w:eastAsia="仿宋_GB2312" w:cs="仿宋_GB2312"/>
          <w:color w:val="auto"/>
          <w:sz w:val="28"/>
          <w:szCs w:val="28"/>
        </w:rPr>
        <w:t>方指定设备</w:t>
      </w:r>
      <w:r>
        <w:rPr>
          <w:rFonts w:hint="eastAsia" w:ascii="仿宋_GB2312" w:hAnsi="仿宋_GB2312" w:eastAsia="仿宋_GB2312" w:cs="仿宋_GB2312"/>
          <w:color w:val="auto"/>
          <w:sz w:val="28"/>
          <w:szCs w:val="28"/>
          <w:lang w:eastAsia="zh-CN"/>
        </w:rPr>
        <w:t>供应</w:t>
      </w:r>
      <w:r>
        <w:rPr>
          <w:rFonts w:hint="eastAsia" w:ascii="仿宋_GB2312" w:hAnsi="仿宋_GB2312" w:eastAsia="仿宋_GB2312" w:cs="仿宋_GB2312"/>
          <w:color w:val="auto"/>
          <w:sz w:val="28"/>
          <w:szCs w:val="28"/>
        </w:rPr>
        <w:t>商</w:t>
      </w:r>
      <w:r>
        <w:rPr>
          <w:rFonts w:hint="eastAsia" w:ascii="仿宋_GB2312" w:hAnsi="仿宋_GB2312" w:eastAsia="仿宋_GB2312" w:cs="仿宋_GB2312"/>
          <w:color w:val="auto"/>
          <w:sz w:val="28"/>
          <w:szCs w:val="28"/>
          <w:lang w:eastAsia="zh-CN"/>
        </w:rPr>
        <w:t>（长沙市裕盛厨房设备有限责任公司）</w:t>
      </w:r>
      <w:r>
        <w:rPr>
          <w:rFonts w:hint="eastAsia" w:ascii="仿宋_GB2312" w:hAnsi="仿宋_GB2312" w:eastAsia="仿宋_GB2312" w:cs="仿宋_GB2312"/>
          <w:color w:val="auto"/>
          <w:sz w:val="28"/>
          <w:szCs w:val="28"/>
        </w:rPr>
        <w:t>和丙方出具的对应全款发票，支付至合同金额的95%，余下5%作为质保金（根据发票金额分别支付）。质保金一年后支付（无质量问题或纠纷）</w:t>
      </w:r>
      <w:r>
        <w:rPr>
          <w:rFonts w:hint="eastAsia" w:ascii="仿宋_GB2312" w:hAnsi="仿宋_GB2312" w:eastAsia="仿宋_GB2312" w:cs="仿宋_GB2312"/>
          <w:color w:val="auto"/>
          <w:sz w:val="28"/>
          <w:szCs w:val="28"/>
          <w:lang w:eastAsia="zh-CN"/>
        </w:rPr>
        <w:t>，质保期为两年，质保时间从甲乙双方验收合格之日起算</w:t>
      </w:r>
      <w:r>
        <w:rPr>
          <w:rFonts w:hint="eastAsia" w:ascii="仿宋_GB2312" w:hAnsi="仿宋_GB2312" w:eastAsia="仿宋_GB2312" w:cs="仿宋_GB2312"/>
          <w:color w:val="auto"/>
          <w:sz w:val="28"/>
          <w:szCs w:val="28"/>
        </w:rPr>
        <w:t>。</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）履约保证金：承包单位须缴纳</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color w:val="auto"/>
          <w:sz w:val="28"/>
          <w:szCs w:val="28"/>
          <w:lang w:eastAsia="zh-CN"/>
        </w:rPr>
        <w:t>履约</w:t>
      </w:r>
      <w:r>
        <w:rPr>
          <w:rFonts w:hint="eastAsia" w:ascii="仿宋_GB2312" w:hAnsi="仿宋_GB2312" w:eastAsia="仿宋_GB2312" w:cs="仿宋_GB2312"/>
          <w:color w:val="auto"/>
          <w:sz w:val="28"/>
          <w:szCs w:val="28"/>
        </w:rPr>
        <w:t>保证金（现金或履约保函形式），合同到期后如无安全事故</w:t>
      </w:r>
      <w:r>
        <w:rPr>
          <w:rFonts w:hint="eastAsia" w:ascii="仿宋_GB2312" w:hAnsi="仿宋_GB2312" w:eastAsia="仿宋_GB2312" w:cs="仿宋_GB2312"/>
          <w:color w:val="auto"/>
          <w:sz w:val="28"/>
          <w:szCs w:val="28"/>
          <w:lang w:eastAsia="zh-CN"/>
        </w:rPr>
        <w:t>，且在经营过程中做到合理定价，保证金</w:t>
      </w:r>
      <w:r>
        <w:rPr>
          <w:rFonts w:hint="eastAsia" w:ascii="仿宋_GB2312" w:hAnsi="仿宋_GB2312" w:eastAsia="仿宋_GB2312" w:cs="仿宋_GB2312"/>
          <w:color w:val="auto"/>
          <w:sz w:val="28"/>
          <w:szCs w:val="28"/>
        </w:rPr>
        <w:t>无息退还。</w:t>
      </w:r>
    </w:p>
    <w:p>
      <w:pPr>
        <w:adjustRightInd w:val="0"/>
        <w:snapToGrid w:val="0"/>
        <w:spacing w:line="360" w:lineRule="auto"/>
        <w:ind w:firstLine="562" w:firstLineChars="200"/>
        <w:rPr>
          <w:rFonts w:ascii="仿宋_GB2312" w:hAnsi="仿宋_GB2312" w:eastAsia="仿宋_GB2312" w:cs="仿宋_GB2312"/>
          <w:b/>
          <w:color w:val="auto"/>
          <w:sz w:val="28"/>
          <w:szCs w:val="28"/>
        </w:rPr>
      </w:pPr>
      <w:r>
        <w:rPr>
          <w:rFonts w:ascii="仿宋_GB2312" w:hAnsi="仿宋_GB2312" w:eastAsia="仿宋_GB2312" w:cs="仿宋_GB2312"/>
          <w:b/>
          <w:color w:val="auto"/>
          <w:sz w:val="28"/>
          <w:szCs w:val="28"/>
        </w:rPr>
        <w:t>5.</w:t>
      </w:r>
      <w:r>
        <w:rPr>
          <w:rFonts w:hint="eastAsia" w:ascii="仿宋_GB2312" w:hAnsi="仿宋_GB2312" w:eastAsia="仿宋_GB2312" w:cs="仿宋_GB2312"/>
          <w:b/>
          <w:color w:val="auto"/>
          <w:sz w:val="28"/>
          <w:szCs w:val="28"/>
        </w:rPr>
        <w:t>解决合同纠纷方式</w:t>
      </w:r>
    </w:p>
    <w:p>
      <w:pPr>
        <w:adjustRightInd w:val="0"/>
        <w:snapToGrid w:val="0"/>
        <w:spacing w:line="360" w:lineRule="auto"/>
        <w:ind w:firstLine="544" w:firstLineChars="200"/>
        <w:rPr>
          <w:rFonts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首先通过三方协商解决，协商解决不成，则通过以下途径之一解决纠纷：</w:t>
      </w:r>
    </w:p>
    <w:p>
      <w:pPr>
        <w:adjustRightInd w:val="0"/>
        <w:snapToGrid w:val="0"/>
        <w:spacing w:line="360" w:lineRule="auto"/>
        <w:ind w:firstLine="1120" w:firstLineChars="4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提请仲裁</w:t>
      </w:r>
      <w:r>
        <w:rPr>
          <w:rFonts w:ascii="仿宋_GB2312" w:hAnsi="仿宋_GB2312" w:eastAsia="仿宋_GB2312" w:cs="仿宋_GB2312"/>
          <w:color w:val="auto"/>
          <w:sz w:val="28"/>
          <w:szCs w:val="28"/>
        </w:rPr>
        <w:t xml:space="preserve">       </w:t>
      </w:r>
      <w:r>
        <w:rPr>
          <w:rFonts w:hint="eastAsia" w:ascii="仿宋_GB2312" w:hAnsi="Wingdings 2" w:eastAsia="仿宋_GB2312" w:cs="仿宋_GB2312"/>
          <w:color w:val="auto"/>
          <w:sz w:val="28"/>
          <w:szCs w:val="28"/>
        </w:rPr>
        <w:sym w:font="Wingdings 2" w:char="F052"/>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向采购人所在地人民法院提起诉讼</w:t>
      </w:r>
    </w:p>
    <w:p>
      <w:pPr>
        <w:adjustRightInd w:val="0"/>
        <w:snapToGrid w:val="0"/>
        <w:spacing w:line="360" w:lineRule="auto"/>
        <w:ind w:firstLine="562" w:firstLineChars="200"/>
        <w:rPr>
          <w:rFonts w:ascii="仿宋_GB2312" w:hAnsi="仿宋_GB2312" w:eastAsia="仿宋_GB2312" w:cs="仿宋_GB2312"/>
          <w:b/>
          <w:color w:val="auto"/>
          <w:sz w:val="28"/>
          <w:szCs w:val="28"/>
        </w:rPr>
      </w:pPr>
      <w:r>
        <w:rPr>
          <w:rFonts w:ascii="仿宋_GB2312" w:hAnsi="仿宋_GB2312" w:eastAsia="仿宋_GB2312" w:cs="仿宋_GB2312"/>
          <w:b/>
          <w:color w:val="auto"/>
          <w:sz w:val="28"/>
          <w:szCs w:val="28"/>
        </w:rPr>
        <w:t>6.</w:t>
      </w:r>
      <w:r>
        <w:rPr>
          <w:rFonts w:hint="eastAsia" w:ascii="仿宋_GB2312" w:hAnsi="仿宋_GB2312" w:eastAsia="仿宋_GB2312" w:cs="仿宋_GB2312"/>
          <w:b/>
          <w:color w:val="auto"/>
          <w:sz w:val="28"/>
          <w:szCs w:val="28"/>
        </w:rPr>
        <w:t>组成合同的文件</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本协议书与下列文件一起构成合同文件，如下述文件之间有任何抵触、矛盾或歧义，应按以下顺序解释：</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t>）在采购或合同履行过程中乙方作出的承诺以及三方协商达成的变更或补充协议</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）成交通知书</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rPr>
        <w:t>）响应文件</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rPr>
        <w:t>）政府采购合同格式条款及其附件</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rPr>
        <w:t>）专用合同条款</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rPr>
        <w:t>）通用合同条款（如果有）</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rPr>
        <w:t>）标准、规范及有关技术文件，图纸，已标价工程量清单或预算书（如果有）</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rPr>
        <w:t>）其他合同文件。</w:t>
      </w:r>
    </w:p>
    <w:p>
      <w:pPr>
        <w:adjustRightInd w:val="0"/>
        <w:snapToGrid w:val="0"/>
        <w:spacing w:line="360" w:lineRule="auto"/>
        <w:ind w:firstLine="413" w:firstLineChars="147"/>
        <w:rPr>
          <w:rFonts w:ascii="仿宋_GB2312" w:hAnsi="仿宋_GB2312" w:eastAsia="仿宋_GB2312" w:cs="仿宋_GB2312"/>
          <w:b/>
          <w:color w:val="auto"/>
          <w:sz w:val="28"/>
          <w:szCs w:val="28"/>
        </w:rPr>
      </w:pPr>
      <w:r>
        <w:rPr>
          <w:rFonts w:ascii="仿宋_GB2312" w:hAnsi="仿宋_GB2312" w:eastAsia="仿宋_GB2312" w:cs="仿宋_GB2312"/>
          <w:b/>
          <w:color w:val="auto"/>
          <w:sz w:val="28"/>
          <w:szCs w:val="28"/>
        </w:rPr>
        <w:t>7.</w:t>
      </w:r>
      <w:r>
        <w:rPr>
          <w:rFonts w:hint="eastAsia" w:ascii="仿宋_GB2312" w:hAnsi="仿宋_GB2312" w:eastAsia="仿宋_GB2312" w:cs="仿宋_GB2312"/>
          <w:b/>
          <w:color w:val="auto"/>
          <w:sz w:val="28"/>
          <w:szCs w:val="28"/>
        </w:rPr>
        <w:t>合同生效</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本合同自</w:t>
      </w:r>
      <w:r>
        <w:rPr>
          <w:rFonts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rPr>
        <w:t>三方签字盖章后</w:t>
      </w:r>
      <w:r>
        <w:rPr>
          <w:rFonts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生效。</w:t>
      </w:r>
    </w:p>
    <w:p>
      <w:pPr>
        <w:adjustRightInd w:val="0"/>
        <w:snapToGrid w:val="0"/>
        <w:spacing w:line="360" w:lineRule="auto"/>
        <w:ind w:firstLine="413" w:firstLineChars="147"/>
        <w:rPr>
          <w:rFonts w:ascii="仿宋_GB2312" w:hAnsi="仿宋_GB2312" w:eastAsia="仿宋_GB2312" w:cs="仿宋_GB2312"/>
          <w:b/>
          <w:color w:val="auto"/>
          <w:sz w:val="28"/>
          <w:szCs w:val="28"/>
        </w:rPr>
      </w:pPr>
      <w:r>
        <w:rPr>
          <w:rFonts w:ascii="仿宋_GB2312" w:hAnsi="仿宋_GB2312" w:eastAsia="仿宋_GB2312" w:cs="仿宋_GB2312"/>
          <w:b/>
          <w:color w:val="auto"/>
          <w:sz w:val="28"/>
          <w:szCs w:val="28"/>
        </w:rPr>
        <w:t>8.</w:t>
      </w:r>
      <w:r>
        <w:rPr>
          <w:rFonts w:hint="eastAsia" w:ascii="仿宋_GB2312" w:hAnsi="仿宋_GB2312" w:eastAsia="仿宋_GB2312" w:cs="仿宋_GB2312"/>
          <w:b/>
          <w:color w:val="auto"/>
          <w:sz w:val="28"/>
          <w:szCs w:val="28"/>
        </w:rPr>
        <w:t>合同份数</w:t>
      </w:r>
    </w:p>
    <w:p>
      <w:pPr>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本合同一式</w:t>
      </w:r>
      <w:r>
        <w:rPr>
          <w:rFonts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份，甲乙丙</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方各执</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份</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color w:val="auto"/>
          <w:sz w:val="28"/>
          <w:szCs w:val="28"/>
        </w:rPr>
        <w:t>均具有同等法律效力。</w:t>
      </w:r>
    </w:p>
    <w:p>
      <w:pPr>
        <w:adjustRightInd w:val="0"/>
        <w:snapToGrid w:val="0"/>
        <w:spacing w:line="360" w:lineRule="auto"/>
        <w:rPr>
          <w:rFonts w:ascii="仿宋_GB2312" w:hAnsi="仿宋_GB2312" w:eastAsia="仿宋_GB2312" w:cs="仿宋_GB2312"/>
          <w:color w:val="auto"/>
          <w:sz w:val="28"/>
          <w:szCs w:val="28"/>
        </w:rPr>
      </w:pPr>
    </w:p>
    <w:p>
      <w:pPr>
        <w:adjustRightInd w:val="0"/>
        <w:snapToGrid w:val="0"/>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合同订立时间：</w:t>
      </w:r>
      <w:r>
        <w:rPr>
          <w:rFonts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w:t>
      </w:r>
    </w:p>
    <w:p>
      <w:pPr>
        <w:adjustRightInd w:val="0"/>
        <w:snapToGrid w:val="0"/>
        <w:spacing w:line="360" w:lineRule="auto"/>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合同订立地点：</w:t>
      </w:r>
      <w:r>
        <w:rPr>
          <w:rFonts w:ascii="仿宋_GB2312" w:hAnsi="仿宋_GB2312" w:eastAsia="仿宋_GB2312" w:cs="仿宋_GB2312"/>
          <w:color w:val="auto"/>
          <w:sz w:val="28"/>
          <w:szCs w:val="28"/>
          <w:u w:val="single"/>
        </w:rPr>
        <w:t xml:space="preserve">                          </w:t>
      </w:r>
      <w:r>
        <w:rPr>
          <w:rFonts w:ascii="仿宋_GB2312" w:hAnsi="仿宋_GB2312" w:eastAsia="仿宋_GB2312" w:cs="仿宋_GB2312"/>
          <w:color w:val="auto"/>
          <w:sz w:val="28"/>
          <w:szCs w:val="28"/>
          <w:u w:val="single"/>
        </w:rPr>
        <w:tab/>
      </w:r>
      <w:r>
        <w:rPr>
          <w:rFonts w:ascii="仿宋_GB2312" w:hAnsi="仿宋_GB2312" w:eastAsia="仿宋_GB2312" w:cs="仿宋_GB2312"/>
          <w:color w:val="auto"/>
          <w:sz w:val="28"/>
          <w:szCs w:val="28"/>
          <w:u w:val="single"/>
        </w:rPr>
        <w:t xml:space="preserve"> </w:t>
      </w:r>
    </w:p>
    <w:p>
      <w:pPr>
        <w:pStyle w:val="2"/>
        <w:rPr>
          <w:color w:val="auto"/>
        </w:rPr>
      </w:pPr>
    </w:p>
    <w:tbl>
      <w:tblPr>
        <w:tblStyle w:val="13"/>
        <w:tblW w:w="8823" w:type="dxa"/>
        <w:tblInd w:w="108" w:type="dxa"/>
        <w:tblLayout w:type="fixed"/>
        <w:tblCellMar>
          <w:top w:w="0" w:type="dxa"/>
          <w:left w:w="108" w:type="dxa"/>
          <w:bottom w:w="0" w:type="dxa"/>
          <w:right w:w="108" w:type="dxa"/>
        </w:tblCellMar>
      </w:tblPr>
      <w:tblGrid>
        <w:gridCol w:w="3861"/>
        <w:gridCol w:w="4962"/>
      </w:tblGrid>
      <w:tr>
        <w:tblPrEx>
          <w:tblLayout w:type="fixed"/>
          <w:tblCellMar>
            <w:top w:w="0" w:type="dxa"/>
            <w:left w:w="108" w:type="dxa"/>
            <w:bottom w:w="0" w:type="dxa"/>
            <w:right w:w="108" w:type="dxa"/>
          </w:tblCellMar>
        </w:tblPrEx>
        <w:trPr>
          <w:cantSplit/>
          <w:trHeight w:val="3220" w:hRule="atLeast"/>
        </w:trPr>
        <w:tc>
          <w:tcPr>
            <w:tcW w:w="3861" w:type="dxa"/>
          </w:tcPr>
          <w:p>
            <w:pPr>
              <w:adjustRightInd w:val="0"/>
              <w:snapToGrid w:val="0"/>
              <w:rPr>
                <w:rFonts w:ascii="仿宋_GB2312" w:hAnsi="宋体" w:eastAsia="仿宋_GB2312" w:cs="宋体"/>
                <w:color w:val="auto"/>
                <w:spacing w:val="-12"/>
                <w:sz w:val="24"/>
              </w:rPr>
            </w:pPr>
            <w:r>
              <w:rPr>
                <w:rFonts w:hint="eastAsia" w:ascii="仿宋_GB2312" w:hAnsi="宋体" w:eastAsia="仿宋_GB2312" w:cs="宋体"/>
                <w:color w:val="auto"/>
                <w:spacing w:val="-12"/>
                <w:sz w:val="24"/>
              </w:rPr>
              <w:t>甲方(盖章)：湖南湘江新区管理委员会</w:t>
            </w:r>
          </w:p>
          <w:p>
            <w:pPr>
              <w:adjustRightInd w:val="0"/>
              <w:snapToGrid w:val="0"/>
              <w:spacing w:line="600" w:lineRule="exact"/>
              <w:rPr>
                <w:rFonts w:ascii="仿宋_GB2312" w:hAnsi="宋体" w:eastAsia="仿宋_GB2312" w:cs="宋体"/>
                <w:color w:val="auto"/>
                <w:sz w:val="24"/>
              </w:rPr>
            </w:pPr>
            <w:r>
              <w:rPr>
                <w:rFonts w:hint="eastAsia" w:ascii="仿宋_GB2312" w:hAnsi="宋体" w:eastAsia="仿宋_GB2312" w:cs="宋体"/>
                <w:color w:val="auto"/>
                <w:sz w:val="24"/>
              </w:rPr>
              <w:t>法定代表人：</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rPr>
                <w:rFonts w:ascii="仿宋_GB2312" w:hAnsi="宋体" w:eastAsia="仿宋_GB2312" w:cs="宋体"/>
                <w:color w:val="auto"/>
                <w:sz w:val="24"/>
              </w:rPr>
            </w:pPr>
            <w:r>
              <w:rPr>
                <w:rFonts w:hint="eastAsia" w:ascii="仿宋_GB2312" w:hAnsi="宋体" w:eastAsia="仿宋_GB2312" w:cs="宋体"/>
                <w:color w:val="auto"/>
                <w:sz w:val="24"/>
              </w:rPr>
              <w:t>委托代理人：</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rPr>
                <w:rFonts w:ascii="仿宋_GB2312" w:hAnsi="宋体" w:eastAsia="仿宋_GB2312" w:cs="宋体"/>
                <w:color w:val="auto"/>
                <w:sz w:val="24"/>
                <w:u w:val="single"/>
              </w:rPr>
            </w:pPr>
            <w:r>
              <w:rPr>
                <w:rFonts w:hint="eastAsia" w:ascii="仿宋_GB2312" w:hAnsi="宋体" w:eastAsia="仿宋_GB2312" w:cs="宋体"/>
                <w:color w:val="auto"/>
                <w:sz w:val="24"/>
              </w:rPr>
              <w:t>联系电话：</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rPr>
                <w:rFonts w:ascii="仿宋_GB2312" w:hAnsi="宋体" w:eastAsia="仿宋_GB2312" w:cs="宋体"/>
                <w:color w:val="auto"/>
                <w:sz w:val="24"/>
              </w:rPr>
            </w:pPr>
            <w:r>
              <w:rPr>
                <w:rFonts w:hint="eastAsia" w:ascii="仿宋_GB2312" w:hAnsi="宋体" w:eastAsia="仿宋_GB2312" w:cs="宋体"/>
                <w:color w:val="auto"/>
                <w:sz w:val="24"/>
              </w:rPr>
              <w:t>单位地址：</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tc>
        <w:tc>
          <w:tcPr>
            <w:tcW w:w="4962" w:type="dxa"/>
          </w:tcPr>
          <w:p>
            <w:pPr>
              <w:adjustRightInd w:val="0"/>
              <w:snapToGrid w:val="0"/>
              <w:ind w:firstLine="8" w:firstLineChars="4"/>
              <w:rPr>
                <w:rFonts w:ascii="仿宋_GB2312" w:hAnsi="宋体" w:eastAsia="仿宋_GB2312" w:cs="宋体"/>
                <w:color w:val="auto"/>
                <w:spacing w:val="-11"/>
                <w:sz w:val="24"/>
              </w:rPr>
            </w:pPr>
            <w:r>
              <w:rPr>
                <w:rFonts w:hint="eastAsia" w:ascii="仿宋_GB2312" w:hAnsi="宋体" w:eastAsia="仿宋_GB2312" w:cs="宋体"/>
                <w:color w:val="auto"/>
                <w:spacing w:val="-11"/>
                <w:sz w:val="24"/>
              </w:rPr>
              <w:t>乙方(盖章)：长沙华逸府餐饮文化传播有限公司</w:t>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法定代表人：</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委托代理人：</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u w:val="single"/>
              </w:rPr>
            </w:pPr>
            <w:r>
              <w:rPr>
                <w:rFonts w:hint="eastAsia" w:ascii="仿宋_GB2312" w:hAnsi="宋体" w:eastAsia="仿宋_GB2312" w:cs="宋体"/>
                <w:color w:val="auto"/>
                <w:sz w:val="24"/>
              </w:rPr>
              <w:t>联系电话：</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u w:val="single"/>
              </w:rPr>
            </w:pPr>
            <w:r>
              <w:rPr>
                <w:rFonts w:hint="eastAsia" w:ascii="仿宋_GB2312" w:hAnsi="宋体" w:eastAsia="仿宋_GB2312" w:cs="宋体"/>
                <w:color w:val="auto"/>
                <w:sz w:val="24"/>
              </w:rPr>
              <w:t>单位地址：</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tc>
      </w:tr>
      <w:tr>
        <w:tblPrEx>
          <w:tblLayout w:type="fixed"/>
          <w:tblCellMar>
            <w:top w:w="0" w:type="dxa"/>
            <w:left w:w="108" w:type="dxa"/>
            <w:bottom w:w="0" w:type="dxa"/>
            <w:right w:w="108" w:type="dxa"/>
          </w:tblCellMar>
        </w:tblPrEx>
        <w:trPr>
          <w:cantSplit/>
          <w:trHeight w:val="2674" w:hRule="atLeast"/>
        </w:trPr>
        <w:tc>
          <w:tcPr>
            <w:tcW w:w="3861" w:type="dxa"/>
          </w:tcPr>
          <w:p>
            <w:pPr>
              <w:adjustRightInd w:val="0"/>
              <w:snapToGrid w:val="0"/>
              <w:rPr>
                <w:rFonts w:ascii="仿宋_GB2312" w:hAnsi="宋体" w:eastAsia="仿宋_GB2312" w:cs="宋体"/>
                <w:color w:val="auto"/>
                <w:sz w:val="24"/>
              </w:rPr>
            </w:pPr>
          </w:p>
        </w:tc>
        <w:tc>
          <w:tcPr>
            <w:tcW w:w="4962" w:type="dxa"/>
          </w:tcPr>
          <w:p>
            <w:pPr>
              <w:adjustRightInd w:val="0"/>
              <w:snapToGrid w:val="0"/>
              <w:ind w:firstLine="8" w:firstLineChars="4"/>
              <w:rPr>
                <w:rFonts w:ascii="仿宋_GB2312" w:hAnsi="宋体" w:eastAsia="仿宋_GB2312" w:cs="宋体"/>
                <w:color w:val="auto"/>
                <w:spacing w:val="-11"/>
                <w:sz w:val="24"/>
              </w:rPr>
            </w:pPr>
            <w:r>
              <w:rPr>
                <w:rFonts w:hint="eastAsia" w:ascii="仿宋_GB2312" w:hAnsi="宋体" w:eastAsia="仿宋_GB2312" w:cs="宋体"/>
                <w:color w:val="auto"/>
                <w:spacing w:val="-11"/>
                <w:sz w:val="24"/>
              </w:rPr>
              <w:t>丙方（盖章）：湖南四建华银工程有限公司</w:t>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法定代表人：</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委托代理人：</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联系电话：</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pacing w:val="-11"/>
                <w:sz w:val="24"/>
              </w:rPr>
            </w:pPr>
            <w:r>
              <w:rPr>
                <w:rFonts w:hint="eastAsia" w:ascii="仿宋_GB2312" w:hAnsi="宋体" w:eastAsia="仿宋_GB2312" w:cs="宋体"/>
                <w:color w:val="auto"/>
                <w:sz w:val="24"/>
              </w:rPr>
              <w:t>单位地址：</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tc>
      </w:tr>
    </w:tbl>
    <w:p>
      <w:pPr>
        <w:widowControl/>
        <w:jc w:val="left"/>
        <w:rPr>
          <w:color w:val="auto"/>
        </w:rPr>
      </w:pPr>
      <w:r>
        <w:rPr>
          <w:color w:val="auto"/>
        </w:rPr>
        <w:br w:type="page"/>
      </w:r>
    </w:p>
    <w:p>
      <w:pPr>
        <w:spacing w:beforeLines="50" w:afterLines="50"/>
        <w:jc w:val="center"/>
        <w:rPr>
          <w:rFonts w:ascii="方正小标宋简体" w:eastAsia="方正小标宋简体"/>
          <w:color w:val="auto"/>
          <w:sz w:val="36"/>
          <w:szCs w:val="36"/>
        </w:rPr>
      </w:pPr>
      <w:r>
        <w:rPr>
          <w:rFonts w:hint="eastAsia" w:ascii="方正小标宋简体" w:eastAsia="方正小标宋简体"/>
          <w:color w:val="auto"/>
          <w:sz w:val="36"/>
          <w:szCs w:val="36"/>
        </w:rPr>
        <w:t>湖南湘江新区管理委员会食堂经营权协议附件</w:t>
      </w:r>
    </w:p>
    <w:p>
      <w:pPr>
        <w:pStyle w:val="19"/>
        <w:shd w:val="clear" w:color="auto" w:fill="auto"/>
        <w:spacing w:before="0" w:after="0" w:line="440" w:lineRule="exact"/>
        <w:ind w:firstLine="241"/>
        <w:jc w:val="lef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lang w:val="zh-CN" w:bidi="zh-CN"/>
        </w:rPr>
        <w:t>笫一条、服务范围</w:t>
      </w:r>
    </w:p>
    <w:p>
      <w:pPr>
        <w:pStyle w:val="19"/>
        <w:shd w:val="clear" w:color="auto" w:fill="auto"/>
        <w:spacing w:before="0" w:after="0" w:line="440" w:lineRule="exact"/>
        <w:ind w:firstLine="520" w:firstLineChars="200"/>
        <w:rPr>
          <w:rFonts w:ascii="仿宋_GB2312" w:hAnsi="宋体" w:eastAsia="仿宋_GB2312" w:cs="宋体"/>
          <w:color w:val="auto"/>
          <w:sz w:val="24"/>
          <w:szCs w:val="24"/>
          <w:lang w:val="zh-CN" w:bidi="zh-CN"/>
        </w:rPr>
      </w:pPr>
      <w:r>
        <w:rPr>
          <w:rFonts w:hint="eastAsia" w:ascii="仿宋_GB2312" w:hAnsi="宋体" w:eastAsia="仿宋_GB2312" w:cs="宋体"/>
          <w:color w:val="auto"/>
          <w:sz w:val="24"/>
          <w:szCs w:val="24"/>
          <w:lang w:val="zh-CN" w:bidi="zh-CN"/>
        </w:rPr>
        <w:t>本合同约定服务范围为：食堂餐饮服务和改造服务两部分。</w:t>
      </w:r>
    </w:p>
    <w:p>
      <w:pPr>
        <w:pStyle w:val="19"/>
        <w:shd w:val="clear" w:color="auto" w:fill="auto"/>
        <w:spacing w:before="0" w:after="0" w:line="440" w:lineRule="exact"/>
        <w:ind w:firstLine="520" w:firstLineChars="200"/>
        <w:rPr>
          <w:rFonts w:ascii="仿宋_GB2312" w:hAnsi="宋体" w:eastAsia="仿宋_GB2312" w:cs="宋体"/>
          <w:color w:val="auto"/>
          <w:sz w:val="24"/>
          <w:szCs w:val="24"/>
          <w:lang w:val="zh-CN" w:bidi="zh-CN"/>
        </w:rPr>
      </w:pPr>
      <w:r>
        <w:rPr>
          <w:rFonts w:hint="eastAsia" w:ascii="仿宋_GB2312" w:hAnsi="宋体" w:eastAsia="仿宋_GB2312" w:cs="宋体"/>
          <w:color w:val="auto"/>
          <w:sz w:val="24"/>
          <w:szCs w:val="24"/>
          <w:lang w:val="zh-CN" w:bidi="zh-CN"/>
        </w:rPr>
        <w:t>餐饮服务范围暂定为：提供湖南湘江新区管理委员会新区食堂与创业食堂经营的日常服务，包括:提供健康、安全、口味多样、营养丰富的员工早、中、晚用餐，保证就餐环境卫生整洁安全：提供包厢、雅间的用餐服务；提供临时性餐饮接待及其它餐饮相关服务等。</w:t>
      </w:r>
    </w:p>
    <w:p>
      <w:pPr>
        <w:pStyle w:val="19"/>
        <w:shd w:val="clear" w:color="auto" w:fill="auto"/>
        <w:spacing w:before="0" w:after="0" w:line="440" w:lineRule="exact"/>
        <w:ind w:firstLine="52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改造服务范围为：见协议附图纸、已标价工程量清单</w:t>
      </w:r>
      <w:r>
        <w:rPr>
          <w:rFonts w:hint="eastAsia" w:ascii="仿宋_GB2312" w:hAnsi="宋体" w:eastAsia="仿宋_GB2312" w:cs="宋体"/>
          <w:color w:val="auto"/>
          <w:sz w:val="24"/>
          <w:szCs w:val="24"/>
          <w:lang w:eastAsia="zh-CN"/>
        </w:rPr>
        <w:t>、设备清单。</w:t>
      </w:r>
      <w:r>
        <w:rPr>
          <w:rFonts w:hint="eastAsia" w:ascii="仿宋_GB2312" w:hAnsi="宋体" w:eastAsia="仿宋_GB2312" w:cs="宋体"/>
          <w:color w:val="auto"/>
          <w:sz w:val="24"/>
          <w:szCs w:val="24"/>
          <w:lang w:val="en-US" w:eastAsia="zh-CN"/>
        </w:rPr>
        <w:t>其中设备由乙方指定设备分包方供货</w:t>
      </w:r>
      <w:r>
        <w:rPr>
          <w:rFonts w:hint="eastAsia" w:ascii="仿宋_GB2312" w:hAnsi="宋体" w:eastAsia="仿宋_GB2312" w:cs="宋体"/>
          <w:color w:val="auto"/>
          <w:sz w:val="24"/>
          <w:szCs w:val="24"/>
        </w:rPr>
        <w:t>。</w:t>
      </w:r>
    </w:p>
    <w:p>
      <w:pPr>
        <w:pStyle w:val="19"/>
        <w:shd w:val="clear" w:color="auto" w:fill="auto"/>
        <w:spacing w:before="0" w:after="0" w:line="440" w:lineRule="exact"/>
        <w:ind w:firstLine="241"/>
        <w:jc w:val="left"/>
        <w:rPr>
          <w:rFonts w:ascii="仿宋_GB2312" w:hAnsi="宋体" w:eastAsia="仿宋_GB2312" w:cs="宋体"/>
          <w:b/>
          <w:bCs/>
          <w:color w:val="auto"/>
          <w:sz w:val="24"/>
          <w:szCs w:val="24"/>
          <w:lang w:bidi="zh-CN"/>
        </w:rPr>
      </w:pPr>
    </w:p>
    <w:p>
      <w:pPr>
        <w:pStyle w:val="19"/>
        <w:shd w:val="clear" w:color="auto" w:fill="auto"/>
        <w:spacing w:before="0" w:after="0" w:line="440" w:lineRule="exact"/>
        <w:ind w:firstLine="241"/>
        <w:jc w:val="left"/>
        <w:rPr>
          <w:rFonts w:ascii="仿宋_GB2312" w:hAnsi="宋体" w:eastAsia="仿宋_GB2312" w:cs="宋体"/>
          <w:color w:val="auto"/>
          <w:sz w:val="24"/>
          <w:szCs w:val="24"/>
        </w:rPr>
      </w:pPr>
      <w:r>
        <w:rPr>
          <w:rFonts w:hint="eastAsia" w:ascii="仿宋_GB2312" w:hAnsi="宋体" w:eastAsia="仿宋_GB2312" w:cs="宋体"/>
          <w:b/>
          <w:bCs/>
          <w:color w:val="auto"/>
          <w:sz w:val="24"/>
          <w:szCs w:val="24"/>
          <w:lang w:val="zh-CN" w:bidi="zh-CN"/>
        </w:rPr>
        <w:t>第二条、服务期限</w:t>
      </w:r>
    </w:p>
    <w:p>
      <w:pPr>
        <w:spacing w:line="440" w:lineRule="exact"/>
        <w:ind w:firstLine="480" w:firstLineChars="200"/>
        <w:jc w:val="left"/>
        <w:rPr>
          <w:rFonts w:ascii="仿宋_GB2312" w:hAnsi="宋体" w:eastAsia="仿宋_GB2312" w:cs="宋体"/>
          <w:color w:val="auto"/>
          <w:spacing w:val="-8"/>
          <w:sz w:val="24"/>
          <w:lang w:val="zh-CN" w:bidi="zh-CN"/>
        </w:rPr>
      </w:pPr>
      <w:r>
        <w:rPr>
          <w:rFonts w:hint="eastAsia" w:ascii="仿宋_GB2312" w:hAnsi="宋体" w:eastAsia="仿宋_GB2312" w:cs="宋体"/>
          <w:color w:val="auto"/>
          <w:sz w:val="24"/>
          <w:lang w:val="zh-CN" w:bidi="zh-CN"/>
        </w:rPr>
        <w:t>食堂餐饮服务部分期限为：</w:t>
      </w:r>
      <w:r>
        <w:rPr>
          <w:rFonts w:hint="eastAsia" w:ascii="仿宋_GB2312" w:hAnsi="宋体" w:eastAsia="仿宋_GB2312" w:cs="宋体"/>
          <w:color w:val="auto"/>
          <w:spacing w:val="-8"/>
          <w:sz w:val="24"/>
          <w:lang w:val="zh-CN" w:bidi="zh-CN"/>
        </w:rPr>
        <w:t>三年(自2019年1月1日至2021年12月31日)。</w:t>
      </w:r>
    </w:p>
    <w:p>
      <w:pPr>
        <w:spacing w:line="440" w:lineRule="exact"/>
        <w:ind w:firstLine="480" w:firstLineChars="2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食堂改造服务部分期限为：2</w:t>
      </w:r>
      <w:r>
        <w:rPr>
          <w:rFonts w:ascii="仿宋_GB2312" w:hAnsi="宋体" w:eastAsia="仿宋_GB2312" w:cs="宋体"/>
          <w:color w:val="auto"/>
          <w:sz w:val="24"/>
          <w:lang w:val="zh-CN" w:bidi="zh-CN"/>
        </w:rPr>
        <w:t>019</w:t>
      </w:r>
      <w:r>
        <w:rPr>
          <w:rFonts w:hint="eastAsia" w:ascii="仿宋_GB2312" w:hAnsi="宋体" w:eastAsia="仿宋_GB2312" w:cs="宋体"/>
          <w:color w:val="auto"/>
          <w:sz w:val="24"/>
          <w:lang w:val="zh-CN" w:bidi="zh-CN"/>
        </w:rPr>
        <w:t>年1月2</w:t>
      </w:r>
      <w:r>
        <w:rPr>
          <w:rFonts w:ascii="仿宋_GB2312" w:hAnsi="宋体" w:eastAsia="仿宋_GB2312" w:cs="宋体"/>
          <w:color w:val="auto"/>
          <w:sz w:val="24"/>
          <w:lang w:val="zh-CN" w:bidi="zh-CN"/>
        </w:rPr>
        <w:t>0</w:t>
      </w:r>
      <w:r>
        <w:rPr>
          <w:rFonts w:hint="eastAsia" w:ascii="仿宋_GB2312" w:hAnsi="宋体" w:eastAsia="仿宋_GB2312" w:cs="宋体"/>
          <w:color w:val="auto"/>
          <w:sz w:val="24"/>
          <w:lang w:val="zh-CN" w:bidi="zh-CN"/>
        </w:rPr>
        <w:t>日前改造完成。</w:t>
      </w:r>
    </w:p>
    <w:p>
      <w:pPr>
        <w:spacing w:line="440" w:lineRule="exact"/>
        <w:jc w:val="left"/>
        <w:rPr>
          <w:rFonts w:ascii="仿宋_GB2312" w:hAnsi="宋体" w:eastAsia="仿宋_GB2312" w:cs="宋体"/>
          <w:b/>
          <w:bCs/>
          <w:color w:val="auto"/>
          <w:sz w:val="24"/>
          <w:lang w:val="zh-CN" w:bidi="zh-CN"/>
        </w:rPr>
      </w:pPr>
    </w:p>
    <w:p>
      <w:pPr>
        <w:spacing w:line="440" w:lineRule="exact"/>
        <w:ind w:firstLine="241" w:firstLineChars="100"/>
        <w:jc w:val="left"/>
        <w:rPr>
          <w:rFonts w:ascii="仿宋_GB2312" w:hAnsi="宋体" w:eastAsia="仿宋_GB2312" w:cs="宋体"/>
          <w:b/>
          <w:bCs/>
          <w:color w:val="auto"/>
          <w:sz w:val="24"/>
        </w:rPr>
      </w:pPr>
      <w:r>
        <w:rPr>
          <w:rFonts w:hint="eastAsia" w:ascii="仿宋_GB2312" w:hAnsi="宋体" w:eastAsia="仿宋_GB2312" w:cs="宋体"/>
          <w:b/>
          <w:bCs/>
          <w:color w:val="auto"/>
          <w:sz w:val="24"/>
          <w:lang w:val="zh-CN" w:bidi="zh-CN"/>
        </w:rPr>
        <w:t>第三条、食堂经营期间，甲乙方履约保证金与费用约定</w:t>
      </w:r>
    </w:p>
    <w:p>
      <w:pPr>
        <w:tabs>
          <w:tab w:val="left" w:pos="738"/>
        </w:tabs>
        <w:spacing w:line="440" w:lineRule="exact"/>
        <w:ind w:firstLine="480" w:firstLineChars="200"/>
        <w:rPr>
          <w:rFonts w:hint="eastAsia" w:ascii="仿宋_GB2312" w:hAnsi="宋体" w:eastAsia="仿宋_GB2312" w:cs="宋体"/>
          <w:color w:val="auto"/>
          <w:sz w:val="24"/>
          <w:lang w:val="zh-CN" w:bidi="zh-CN"/>
        </w:rPr>
      </w:pPr>
      <w:r>
        <w:rPr>
          <w:rFonts w:hint="eastAsia" w:ascii="仿宋_GB2312" w:hAnsi="宋体" w:eastAsia="仿宋_GB2312" w:cs="宋体"/>
          <w:color w:val="auto"/>
          <w:sz w:val="24"/>
          <w:lang w:bidi="zh-CN"/>
        </w:rPr>
        <w:t>1、</w:t>
      </w:r>
      <w:r>
        <w:rPr>
          <w:rFonts w:hint="eastAsia" w:ascii="仿宋_GB2312" w:hAnsi="宋体" w:eastAsia="仿宋_GB2312" w:cs="宋体"/>
          <w:color w:val="auto"/>
          <w:sz w:val="24"/>
          <w:lang w:val="zh-CN" w:bidi="zh-CN"/>
        </w:rPr>
        <w:t>合同签订的当天乙方向甲方缴纳</w:t>
      </w:r>
      <w:r>
        <w:rPr>
          <w:rFonts w:hint="eastAsia" w:ascii="仿宋_GB2312" w:hAnsi="宋体" w:eastAsia="仿宋_GB2312" w:cs="宋体"/>
          <w:color w:val="auto"/>
          <w:sz w:val="24"/>
          <w:u w:val="single"/>
          <w:lang w:val="zh-CN" w:bidi="zh-CN"/>
        </w:rPr>
        <w:t>人民币贰万元</w:t>
      </w:r>
      <w:r>
        <w:rPr>
          <w:rFonts w:hint="eastAsia" w:ascii="仿宋_GB2312" w:hAnsi="宋体" w:eastAsia="仿宋_GB2312" w:cs="宋体"/>
          <w:color w:val="auto"/>
          <w:sz w:val="24"/>
          <w:lang w:val="zh-CN" w:bidi="zh-CN"/>
        </w:rPr>
        <w:t>履约保证金（现金或保函形式），作为对乙方经营行为和甲方投入的全套设备设施和装修等财产爱惜使用和维护的保障，合同到期后乙方如无安全事故，</w:t>
      </w:r>
      <w:r>
        <w:rPr>
          <w:rFonts w:hint="eastAsia" w:ascii="仿宋_GB2312" w:hAnsi="宋体" w:eastAsia="仿宋_GB2312" w:cs="宋体"/>
          <w:color w:val="auto"/>
          <w:sz w:val="24"/>
          <w:lang w:val="zh-CN" w:eastAsia="zh-CN" w:bidi="zh-CN"/>
        </w:rPr>
        <w:t>且无故损坏丢失甲方投入财产的现象，甲方将保证金</w:t>
      </w:r>
      <w:r>
        <w:rPr>
          <w:rFonts w:hint="eastAsia" w:ascii="仿宋_GB2312" w:hAnsi="宋体" w:eastAsia="仿宋_GB2312" w:cs="宋体"/>
          <w:color w:val="auto"/>
          <w:sz w:val="24"/>
          <w:lang w:val="zh-CN" w:bidi="zh-CN"/>
        </w:rPr>
        <w:t>无息退还乙方。</w:t>
      </w:r>
    </w:p>
    <w:p>
      <w:pPr>
        <w:tabs>
          <w:tab w:val="left" w:pos="738"/>
        </w:tabs>
        <w:spacing w:line="440" w:lineRule="exact"/>
        <w:ind w:firstLine="480" w:firstLineChars="200"/>
        <w:rPr>
          <w:rFonts w:hint="eastAsia"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2、食堂经营期间，甲乙双方约定８号栋食堂中餐原则上只供应新区管委会职工，８号栋早晚餐和６号栋的供应甲方允许乙方对外营业，但经营价格应平价供应，且接受甲方的监督。</w:t>
      </w:r>
    </w:p>
    <w:p>
      <w:pPr>
        <w:tabs>
          <w:tab w:val="left" w:pos="738"/>
        </w:tabs>
        <w:spacing w:line="440" w:lineRule="exact"/>
        <w:ind w:firstLine="480" w:firstLineChars="200"/>
        <w:rPr>
          <w:rFonts w:ascii="仿宋_GB2312" w:hAnsi="宋体" w:eastAsia="仿宋_GB2312" w:cs="宋体"/>
          <w:color w:val="auto"/>
          <w:sz w:val="24"/>
          <w:lang w:bidi="zh-CN"/>
        </w:rPr>
      </w:pPr>
      <w:r>
        <w:rPr>
          <w:rFonts w:hint="eastAsia" w:ascii="仿宋_GB2312" w:hAnsi="宋体" w:eastAsia="仿宋_GB2312" w:cs="宋体"/>
          <w:color w:val="auto"/>
          <w:sz w:val="24"/>
          <w:lang w:bidi="zh-CN"/>
        </w:rPr>
        <w:t>3、</w:t>
      </w:r>
      <w:r>
        <w:rPr>
          <w:rFonts w:hint="eastAsia" w:ascii="仿宋_GB2312" w:hAnsi="宋体" w:eastAsia="仿宋_GB2312" w:cs="宋体"/>
          <w:color w:val="auto"/>
          <w:sz w:val="24"/>
          <w:lang w:val="zh-CN" w:bidi="zh-CN"/>
        </w:rPr>
        <w:t>食堂经营期间，甲乙</w:t>
      </w:r>
      <w:r>
        <w:rPr>
          <w:rFonts w:hint="eastAsia" w:ascii="仿宋_GB2312" w:hAnsi="宋体" w:eastAsia="仿宋_GB2312" w:cs="宋体"/>
          <w:color w:val="auto"/>
          <w:sz w:val="24"/>
          <w:lang w:bidi="zh-CN"/>
        </w:rPr>
        <w:t>双方约定乙方保底营业额为每月10万元（不含超市和８号栋中餐），甲方每月10日前与乙方核算上一月保底营业额。</w:t>
      </w:r>
      <w:r>
        <w:rPr>
          <w:rFonts w:hint="eastAsia" w:ascii="仿宋_GB2312" w:hAnsi="宋体" w:eastAsia="仿宋_GB2312" w:cs="宋体"/>
          <w:color w:val="auto"/>
          <w:sz w:val="24"/>
          <w:lang w:eastAsia="zh-CN" w:bidi="zh-CN"/>
        </w:rPr>
        <w:t>乙方承诺</w:t>
      </w:r>
      <w:r>
        <w:rPr>
          <w:rFonts w:hint="eastAsia" w:ascii="仿宋_GB2312" w:hAnsi="宋体" w:eastAsia="仿宋_GB2312" w:cs="宋体"/>
          <w:color w:val="auto"/>
          <w:sz w:val="24"/>
          <w:lang w:bidi="zh-CN"/>
        </w:rPr>
        <w:t>月营业额超过保底金额10万元的，超出部分的5%用于管委会职工的伙食改善。</w:t>
      </w:r>
    </w:p>
    <w:p>
      <w:pPr>
        <w:tabs>
          <w:tab w:val="left" w:pos="738"/>
        </w:tabs>
        <w:spacing w:line="440" w:lineRule="exact"/>
        <w:rPr>
          <w:rFonts w:ascii="仿宋_GB2312" w:hAnsi="宋体" w:eastAsia="仿宋_GB2312" w:cs="宋体"/>
          <w:b/>
          <w:bCs/>
          <w:color w:val="auto"/>
          <w:sz w:val="24"/>
          <w:lang w:val="zh-CN" w:bidi="zh-CN"/>
        </w:rPr>
      </w:pPr>
    </w:p>
    <w:p>
      <w:pPr>
        <w:spacing w:line="440" w:lineRule="exact"/>
        <w:jc w:val="left"/>
        <w:rPr>
          <w:rFonts w:ascii="仿宋_GB2312" w:hAnsi="宋体" w:eastAsia="仿宋_GB2312" w:cs="宋体"/>
          <w:b/>
          <w:bCs/>
          <w:color w:val="auto"/>
          <w:sz w:val="24"/>
        </w:rPr>
      </w:pPr>
      <w:r>
        <w:rPr>
          <w:rFonts w:hint="eastAsia" w:ascii="仿宋_GB2312" w:hAnsi="宋体" w:eastAsia="仿宋_GB2312" w:cs="宋体"/>
          <w:b/>
          <w:bCs/>
          <w:color w:val="auto"/>
          <w:sz w:val="24"/>
          <w:lang w:val="zh-CN" w:bidi="zh-CN"/>
        </w:rPr>
        <w:t>第四条、甲、乙、丙方的权利及义务</w:t>
      </w:r>
    </w:p>
    <w:p>
      <w:pPr>
        <w:spacing w:line="440" w:lineRule="exact"/>
        <w:ind w:firstLine="440"/>
        <w:rPr>
          <w:rFonts w:ascii="仿宋_GB2312" w:hAnsi="宋体" w:eastAsia="仿宋_GB2312" w:cs="宋体"/>
          <w:b/>
          <w:color w:val="auto"/>
          <w:sz w:val="24"/>
        </w:rPr>
      </w:pPr>
      <w:r>
        <w:rPr>
          <w:rFonts w:hint="eastAsia" w:ascii="仿宋_GB2312" w:hAnsi="宋体" w:eastAsia="仿宋_GB2312" w:cs="宋体"/>
          <w:b/>
          <w:color w:val="auto"/>
          <w:sz w:val="24"/>
          <w:lang w:val="zh-CN" w:bidi="zh-CN"/>
        </w:rPr>
        <w:t>（—）甲方权利及义务</w:t>
      </w:r>
    </w:p>
    <w:p>
      <w:pPr>
        <w:tabs>
          <w:tab w:val="left" w:pos="778"/>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zh-CN" w:bidi="zh-CN"/>
        </w:rPr>
        <w:t>1、根据本合同中的条款，甲方同意聘用乙方为该项目的食堂经营服务单位。</w:t>
      </w:r>
    </w:p>
    <w:p>
      <w:pPr>
        <w:tabs>
          <w:tab w:val="left" w:pos="793"/>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zh-CN" w:bidi="zh-CN"/>
        </w:rPr>
        <w:t>2、在履行合同期内，每月监督并考核乙方的工作内容和成果。</w:t>
      </w:r>
    </w:p>
    <w:p>
      <w:pPr>
        <w:tabs>
          <w:tab w:val="left" w:pos="773"/>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zh-CN" w:bidi="zh-CN"/>
        </w:rPr>
        <w:t>3、若乙方服务人员发生违纪、违法行为，由乙方负责追究其责任，甲方协助提供相关资料和配合乙方处理，乙方服务人员的该等行为给甲方造成损失的，由乙方向甲方承担赔偿责任。</w:t>
      </w:r>
    </w:p>
    <w:p>
      <w:pPr>
        <w:tabs>
          <w:tab w:val="left" w:pos="773"/>
        </w:tabs>
        <w:spacing w:line="440" w:lineRule="exact"/>
        <w:ind w:firstLine="440"/>
        <w:rPr>
          <w:rFonts w:ascii="仿宋_GB2312" w:hAnsi="宋体" w:eastAsia="仿宋_GB2312" w:cs="宋体"/>
          <w:color w:val="auto"/>
          <w:sz w:val="24"/>
          <w:lang w:val="zh-CN" w:bidi="zh-CN"/>
        </w:rPr>
      </w:pPr>
      <w:r>
        <w:rPr>
          <w:rFonts w:hint="eastAsia" w:ascii="仿宋_GB2312" w:hAnsi="宋体" w:eastAsia="仿宋_GB2312" w:cs="宋体"/>
          <w:color w:val="auto"/>
          <w:sz w:val="24"/>
          <w:lang w:bidi="en-US"/>
        </w:rPr>
        <w:t>4、</w:t>
      </w:r>
      <w:r>
        <w:rPr>
          <w:rFonts w:hint="eastAsia" w:ascii="仿宋_GB2312" w:hAnsi="宋体" w:eastAsia="仿宋_GB2312" w:cs="宋体"/>
          <w:color w:val="auto"/>
          <w:sz w:val="24"/>
          <w:lang w:val="zh-CN" w:bidi="zh-CN"/>
        </w:rPr>
        <w:t>营业前甲方为乙方一次性提供必备的工作条件，如经营场地、水电气驳接、库房等，厨房及餐厅主要配套设备由甲方出资配置，日常消耗品和非必要设施设备由乙方自行出资配置。</w:t>
      </w:r>
    </w:p>
    <w:p>
      <w:pPr>
        <w:tabs>
          <w:tab w:val="left" w:pos="773"/>
        </w:tabs>
        <w:spacing w:line="440" w:lineRule="exact"/>
        <w:ind w:firstLine="440"/>
        <w:rPr>
          <w:rFonts w:ascii="仿宋_GB2312" w:hAnsi="宋体" w:eastAsia="仿宋_GB2312" w:cs="宋体"/>
          <w:color w:val="auto"/>
          <w:sz w:val="24"/>
          <w:lang w:bidi="zh-CN"/>
        </w:rPr>
      </w:pPr>
      <w:r>
        <w:rPr>
          <w:rFonts w:hint="eastAsia" w:ascii="仿宋_GB2312" w:hAnsi="宋体" w:eastAsia="仿宋_GB2312" w:cs="宋体"/>
          <w:color w:val="auto"/>
          <w:sz w:val="24"/>
          <w:lang w:bidi="zh-CN"/>
        </w:rPr>
        <w:t>5、甲方负责对明厨亮灶工程实施建设。通过透明厨房和视频厨房的建设，让顾客可直观看到菜品的挑选及制作过程，从而引导公众直接参与食品安全，让顾客来监督，主动保障食品安全。</w:t>
      </w:r>
    </w:p>
    <w:p>
      <w:pPr>
        <w:tabs>
          <w:tab w:val="left" w:pos="773"/>
        </w:tabs>
        <w:spacing w:line="440" w:lineRule="exact"/>
        <w:ind w:firstLine="440"/>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6、</w:t>
      </w:r>
      <w:r>
        <w:rPr>
          <w:rFonts w:hint="eastAsia" w:ascii="仿宋_GB2312" w:hAnsi="宋体" w:eastAsia="仿宋_GB2312" w:cs="宋体"/>
          <w:color w:val="auto"/>
          <w:sz w:val="24"/>
          <w:lang w:val="zh-CN" w:bidi="zh-CN"/>
        </w:rPr>
        <w:t>甲方必须配备符合国家要求的消防设施，制定并执行内部安全防范规章制度，甲方职工配合和支持乙方服务人员履行服务人员防范职责。</w:t>
      </w:r>
    </w:p>
    <w:p>
      <w:pPr>
        <w:spacing w:line="440" w:lineRule="exact"/>
        <w:ind w:firstLine="440"/>
        <w:rPr>
          <w:rFonts w:ascii="仿宋_GB2312" w:hAnsi="宋体" w:eastAsia="仿宋_GB2312" w:cs="宋体"/>
          <w:b/>
          <w:color w:val="auto"/>
          <w:sz w:val="24"/>
          <w:lang w:val="zh-CN" w:bidi="zh-CN"/>
        </w:rPr>
      </w:pPr>
      <w:r>
        <w:rPr>
          <w:rFonts w:hint="eastAsia" w:ascii="仿宋_GB2312" w:hAnsi="宋体" w:eastAsia="仿宋_GB2312" w:cs="宋体"/>
          <w:b/>
          <w:color w:val="auto"/>
          <w:sz w:val="24"/>
          <w:lang w:val="zh-CN" w:bidi="zh-CN"/>
        </w:rPr>
        <w:t>（二）乙方权利及义务</w:t>
      </w:r>
    </w:p>
    <w:p>
      <w:pPr>
        <w:spacing w:line="440" w:lineRule="exact"/>
        <w:ind w:firstLine="398" w:firstLineChars="166"/>
        <w:jc w:val="left"/>
        <w:rPr>
          <w:rFonts w:ascii="仿宋_GB2312" w:hAnsi="宋体" w:eastAsia="仿宋_GB2312" w:cs="宋体"/>
          <w:color w:val="auto"/>
          <w:sz w:val="24"/>
        </w:rPr>
      </w:pPr>
      <w:r>
        <w:rPr>
          <w:rFonts w:hint="eastAsia" w:ascii="仿宋_GB2312" w:hAnsi="宋体" w:eastAsia="仿宋_GB2312" w:cs="宋体"/>
          <w:color w:val="auto"/>
          <w:sz w:val="24"/>
          <w:lang w:val="zh-CN" w:bidi="zh-CN"/>
        </w:rPr>
        <w:t>1、乙方必须优先向甲方员工（包含甲方许可就餐的非甲方职工）提供工作餐。早餐：采取自选餐模式。不少于10个品种，至少包含面点、现煮粉面、粥类、豆浆或牛奶等。中餐：8栋食堂采取自选餐线模式：三荤二素一汤并配水果或酸奶。每日提供不少于6个主菜品种，另配6个副菜（调味菜、汤类等）供选择。6栋食堂可采用自助餐、套餐盒饭煲仔饭等多种形式。晚餐：采取自选餐模式。由乙方自行拟定晚餐方案，不少于6个品种的菜品，同时应考虑新区管委会晚餐一定量的小食、简餐、面点打包外带需求。</w:t>
      </w:r>
    </w:p>
    <w:p>
      <w:pPr>
        <w:tabs>
          <w:tab w:val="left" w:pos="738"/>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zh-CN" w:bidi="zh-CN"/>
        </w:rPr>
        <w:t>2、乙方必须对经营服务队伍实行标准化管理.并建立科学的管理体系和管理制度。乙方管理制度包括但不限于突发事件应急处理制度、投诉处理制度、食堂能源管理制度、卫生安全保障制度、员工招聘、培训、考核、奖惩制度、安全操作管理制度，仓库管理制度、员工管理制度、设备定期维护保养制度、食品留样制度等。</w:t>
      </w:r>
    </w:p>
    <w:p>
      <w:pPr>
        <w:tabs>
          <w:tab w:val="left" w:pos="793"/>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zh-CN" w:bidi="zh-CN"/>
        </w:rPr>
        <w:t>3、乙方应于食堂营业前取得合法的工商营业执照和食品经营许可证手续。所有食堂相关工作人员须持健康证上岗。</w:t>
      </w:r>
    </w:p>
    <w:p>
      <w:pPr>
        <w:tabs>
          <w:tab w:val="left" w:pos="793"/>
        </w:tabs>
        <w:spacing w:line="440" w:lineRule="exact"/>
        <w:ind w:firstLine="440"/>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4、</w:t>
      </w:r>
      <w:r>
        <w:rPr>
          <w:rFonts w:hint="eastAsia" w:ascii="仿宋_GB2312" w:hAnsi="宋体" w:eastAsia="仿宋_GB2312" w:cs="宋体"/>
          <w:color w:val="auto"/>
          <w:sz w:val="24"/>
          <w:lang w:val="zh-CN" w:bidi="zh-CN"/>
        </w:rPr>
        <w:t>乙方应编制岗位明细、各岗位任职条件并按上述内容进行人员配置，并经甲方认可，按甲方要求提供相应服务。</w:t>
      </w:r>
    </w:p>
    <w:p>
      <w:pPr>
        <w:spacing w:after="48" w:line="440" w:lineRule="exact"/>
        <w:ind w:firstLine="420"/>
        <w:rPr>
          <w:rFonts w:ascii="仿宋_GB2312" w:hAnsi="宋体" w:eastAsia="仿宋_GB2312" w:cs="宋体"/>
          <w:color w:val="auto"/>
          <w:sz w:val="24"/>
        </w:rPr>
      </w:pPr>
      <w:r>
        <w:rPr>
          <w:rFonts w:hint="eastAsia" w:ascii="仿宋_GB2312" w:hAnsi="宋体" w:eastAsia="仿宋_GB2312" w:cs="宋体"/>
          <w:color w:val="auto"/>
          <w:sz w:val="24"/>
          <w:lang w:val="zh-CN" w:bidi="zh-CN"/>
        </w:rPr>
        <w:t>5、乙方应与服务人员签订书面劳动合同，负责缴纳服务人员的相关社会保险和意外保险，承担用人单位的各项义务及责任。</w:t>
      </w:r>
    </w:p>
    <w:p>
      <w:pPr>
        <w:tabs>
          <w:tab w:val="left" w:pos="742"/>
        </w:tabs>
        <w:spacing w:line="440" w:lineRule="exact"/>
        <w:ind w:firstLine="420"/>
        <w:rPr>
          <w:rFonts w:ascii="仿宋_GB2312" w:hAnsi="宋体" w:eastAsia="仿宋_GB2312" w:cs="宋体"/>
          <w:color w:val="auto"/>
          <w:sz w:val="24"/>
        </w:rPr>
      </w:pPr>
      <w:r>
        <w:rPr>
          <w:rFonts w:hint="eastAsia" w:ascii="仿宋_GB2312" w:hAnsi="宋体" w:eastAsia="仿宋_GB2312" w:cs="宋体"/>
          <w:color w:val="auto"/>
          <w:sz w:val="24"/>
          <w:lang w:val="zh-CN" w:bidi="zh-CN"/>
        </w:rPr>
        <w:t>6、乙方负责服务人员的全面管理，甲方有权对乙方提出意见和建议。乙方有责任教育服务人员遵守甲方的各项规章制度，履行和完成甲方指定的工作目标和岗位工作要求。</w:t>
      </w:r>
    </w:p>
    <w:p>
      <w:pPr>
        <w:tabs>
          <w:tab w:val="left" w:pos="742"/>
        </w:tabs>
        <w:spacing w:line="440" w:lineRule="exact"/>
        <w:ind w:firstLine="420"/>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7、乙方需对甲方配置的各类厨房及餐厅设备、家具和装修爱护使用。</w:t>
      </w:r>
    </w:p>
    <w:p>
      <w:pPr>
        <w:tabs>
          <w:tab w:val="left" w:pos="742"/>
        </w:tabs>
        <w:spacing w:line="440" w:lineRule="exact"/>
        <w:ind w:firstLine="420"/>
        <w:rPr>
          <w:rFonts w:ascii="仿宋_GB2312" w:hAnsi="宋体" w:eastAsia="仿宋_GB2312" w:cs="宋体"/>
          <w:color w:val="auto"/>
          <w:sz w:val="24"/>
        </w:rPr>
      </w:pPr>
      <w:r>
        <w:rPr>
          <w:rFonts w:hint="eastAsia" w:ascii="仿宋_GB2312" w:hAnsi="宋体" w:eastAsia="仿宋_GB2312" w:cs="宋体"/>
          <w:color w:val="auto"/>
          <w:sz w:val="24"/>
          <w:lang w:val="zh-CN" w:bidi="zh-CN"/>
        </w:rPr>
        <w:t>8、乙方经营期间，发生的服务人员劳动争议、食品卫生与安全事故、工伤事故由乙方负责处理并承担责任，与甲方无关。</w:t>
      </w:r>
    </w:p>
    <w:p>
      <w:pPr>
        <w:tabs>
          <w:tab w:val="left" w:pos="742"/>
        </w:tabs>
        <w:spacing w:line="440" w:lineRule="exact"/>
        <w:ind w:firstLine="420"/>
        <w:rPr>
          <w:rFonts w:ascii="仿宋_GB2312" w:hAnsi="宋体" w:eastAsia="仿宋_GB2312" w:cs="宋体"/>
          <w:color w:val="auto"/>
          <w:sz w:val="24"/>
        </w:rPr>
      </w:pPr>
      <w:r>
        <w:rPr>
          <w:rFonts w:hint="eastAsia" w:ascii="仿宋_GB2312" w:hAnsi="宋体" w:eastAsia="仿宋_GB2312" w:cs="宋体"/>
          <w:color w:val="auto"/>
          <w:sz w:val="24"/>
          <w:lang w:bidi="zh-CN"/>
        </w:rPr>
        <w:t>9</w:t>
      </w:r>
      <w:r>
        <w:rPr>
          <w:rFonts w:hint="eastAsia" w:ascii="仿宋_GB2312" w:hAnsi="宋体" w:eastAsia="仿宋_GB2312" w:cs="宋体"/>
          <w:color w:val="auto"/>
          <w:sz w:val="24"/>
          <w:lang w:val="zh-CN" w:bidi="zh-CN"/>
        </w:rPr>
        <w:t>、根据甲方的要求</w:t>
      </w:r>
      <w:r>
        <w:rPr>
          <w:rFonts w:hint="eastAsia" w:ascii="仿宋_GB2312" w:hAnsi="宋体" w:eastAsia="仿宋_GB2312" w:cs="宋体"/>
          <w:color w:val="auto"/>
          <w:sz w:val="24"/>
          <w:lang w:bidi="zh-CN"/>
        </w:rPr>
        <w:t>，</w:t>
      </w:r>
      <w:r>
        <w:rPr>
          <w:rFonts w:hint="eastAsia" w:ascii="仿宋_GB2312" w:hAnsi="宋体" w:eastAsia="仿宋_GB2312" w:cs="宋体"/>
          <w:color w:val="auto"/>
          <w:sz w:val="24"/>
          <w:lang w:val="zh-CN" w:bidi="zh-CN"/>
        </w:rPr>
        <w:t>制定物料管理制度。乙方应指派专人负责服务人员服务耗材的保管、发放工作做到仓库物品分类整齐存且账物相符，并随时接受甲方指派人员的定期及不定期检查。</w:t>
      </w:r>
    </w:p>
    <w:p>
      <w:pPr>
        <w:tabs>
          <w:tab w:val="left" w:pos="830"/>
        </w:tabs>
        <w:spacing w:line="440" w:lineRule="exact"/>
        <w:ind w:firstLine="420"/>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1</w:t>
      </w:r>
      <w:r>
        <w:rPr>
          <w:rFonts w:hint="eastAsia" w:ascii="仿宋_GB2312" w:hAnsi="宋体" w:eastAsia="仿宋_GB2312" w:cs="宋体"/>
          <w:color w:val="auto"/>
          <w:sz w:val="24"/>
          <w:lang w:bidi="zh-CN"/>
        </w:rPr>
        <w:t>0</w:t>
      </w:r>
      <w:r>
        <w:rPr>
          <w:rFonts w:hint="eastAsia" w:ascii="仿宋_GB2312" w:hAnsi="宋体" w:eastAsia="仿宋_GB2312" w:cs="宋体"/>
          <w:color w:val="auto"/>
          <w:sz w:val="24"/>
          <w:lang w:val="zh-CN" w:bidi="zh-CN"/>
        </w:rPr>
        <w:t>、如甲方对乙方提供的餐厅经营服务工作提出整改要求的，乙方应该遵照执行。</w:t>
      </w:r>
    </w:p>
    <w:p>
      <w:pPr>
        <w:tabs>
          <w:tab w:val="left" w:pos="830"/>
        </w:tabs>
        <w:spacing w:line="440" w:lineRule="exact"/>
        <w:ind w:firstLine="420"/>
        <w:rPr>
          <w:rFonts w:ascii="仿宋_GB2312" w:hAnsi="宋体" w:eastAsia="仿宋_GB2312" w:cs="宋体"/>
          <w:color w:val="auto"/>
          <w:sz w:val="24"/>
        </w:rPr>
      </w:pPr>
      <w:r>
        <w:rPr>
          <w:rFonts w:hint="eastAsia" w:ascii="仿宋_GB2312" w:hAnsi="宋体" w:eastAsia="仿宋_GB2312" w:cs="宋体"/>
          <w:color w:val="auto"/>
          <w:sz w:val="24"/>
          <w:lang w:val="zh-CN" w:bidi="zh-CN"/>
        </w:rPr>
        <w:t>1</w:t>
      </w:r>
      <w:r>
        <w:rPr>
          <w:rFonts w:hint="eastAsia" w:ascii="仿宋_GB2312" w:hAnsi="宋体" w:eastAsia="仿宋_GB2312" w:cs="宋体"/>
          <w:color w:val="auto"/>
          <w:sz w:val="24"/>
          <w:lang w:bidi="zh-CN"/>
        </w:rPr>
        <w:t>1</w:t>
      </w:r>
      <w:r>
        <w:rPr>
          <w:rFonts w:hint="eastAsia" w:ascii="仿宋_GB2312" w:hAnsi="宋体" w:eastAsia="仿宋_GB2312" w:cs="宋体"/>
          <w:color w:val="auto"/>
          <w:sz w:val="24"/>
          <w:lang w:val="zh-CN" w:bidi="zh-CN"/>
        </w:rPr>
        <w:t>、乙方应保证所有原材料（主副食、主料、辅料）可溯源，有供货商资料可查品质。在经营期间不得出售来历不明的食物或过期、变质食物。所有食物应分区分拣、清洗干净，并按规定的要求切配、放置、储存。</w:t>
      </w:r>
    </w:p>
    <w:p>
      <w:pPr>
        <w:tabs>
          <w:tab w:val="left" w:pos="860"/>
        </w:tabs>
        <w:spacing w:after="68" w:line="440" w:lineRule="exact"/>
        <w:ind w:firstLine="420"/>
        <w:rPr>
          <w:rFonts w:ascii="仿宋_GB2312" w:hAnsi="宋体" w:eastAsia="仿宋_GB2312" w:cs="宋体"/>
          <w:color w:val="auto"/>
          <w:sz w:val="24"/>
        </w:rPr>
      </w:pPr>
      <w:r>
        <w:rPr>
          <w:rFonts w:hint="eastAsia" w:ascii="仿宋_GB2312" w:hAnsi="宋体" w:eastAsia="仿宋_GB2312" w:cs="宋体"/>
          <w:color w:val="auto"/>
          <w:sz w:val="24"/>
          <w:lang w:val="zh-CN" w:bidi="zh-CN"/>
        </w:rPr>
        <w:t>1</w:t>
      </w:r>
      <w:r>
        <w:rPr>
          <w:rFonts w:hint="eastAsia" w:ascii="仿宋_GB2312" w:hAnsi="宋体" w:eastAsia="仿宋_GB2312" w:cs="宋体"/>
          <w:color w:val="auto"/>
          <w:sz w:val="24"/>
          <w:lang w:bidi="zh-CN"/>
        </w:rPr>
        <w:t>2</w:t>
      </w:r>
      <w:r>
        <w:rPr>
          <w:rFonts w:hint="eastAsia" w:ascii="仿宋_GB2312" w:hAnsi="宋体" w:eastAsia="仿宋_GB2312" w:cs="宋体"/>
          <w:color w:val="auto"/>
          <w:sz w:val="24"/>
          <w:lang w:val="zh-CN" w:bidi="zh-CN"/>
        </w:rPr>
        <w:t>、乙方应及时有效处置停水、停电、起火、投诉食物中毒等突发事件，保障餐厅正常用餐。</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1</w:t>
      </w:r>
      <w:r>
        <w:rPr>
          <w:rFonts w:hint="eastAsia" w:ascii="仿宋_GB2312" w:eastAsia="仿宋_GB2312" w:hAnsiTheme="minorEastAsia" w:cstheme="minorEastAsia"/>
          <w:color w:val="auto"/>
          <w:sz w:val="24"/>
        </w:rPr>
        <w:t>3</w:t>
      </w:r>
      <w:r>
        <w:rPr>
          <w:rFonts w:hint="eastAsia" w:ascii="仿宋_GB2312" w:eastAsia="仿宋_GB2312" w:hAnsiTheme="minorEastAsia" w:cstheme="minorEastAsia"/>
          <w:color w:val="auto"/>
          <w:sz w:val="24"/>
          <w:lang w:val="zh-CN"/>
        </w:rPr>
        <w:t>、乙方应妥善处理异物、顾客投诉等事件，避免产生不良的影响。</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①</w:t>
      </w:r>
      <w:r>
        <w:rPr>
          <w:rFonts w:hint="eastAsia" w:ascii="仿宋_GB2312" w:eastAsia="仿宋_GB2312" w:hAnsiTheme="minorEastAsia" w:cstheme="minorEastAsia"/>
          <w:color w:val="auto"/>
          <w:sz w:val="24"/>
        </w:rPr>
        <w:t xml:space="preserve"> </w:t>
      </w:r>
      <w:r>
        <w:rPr>
          <w:rFonts w:hint="eastAsia" w:ascii="仿宋_GB2312" w:eastAsia="仿宋_GB2312" w:hAnsiTheme="minorEastAsia" w:cstheme="minorEastAsia"/>
          <w:color w:val="auto"/>
          <w:sz w:val="24"/>
          <w:lang w:val="zh-CN"/>
        </w:rPr>
        <w:t>员工投诉食品中有异物：</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a)</w:t>
      </w:r>
      <w:r>
        <w:rPr>
          <w:rFonts w:hint="eastAsia" w:ascii="仿宋_GB2312" w:eastAsia="仿宋_GB2312" w:hAnsiTheme="minorEastAsia" w:cstheme="minorEastAsia"/>
          <w:color w:val="auto"/>
          <w:sz w:val="24"/>
        </w:rPr>
        <w:t xml:space="preserve"> </w:t>
      </w:r>
      <w:r>
        <w:rPr>
          <w:rFonts w:hint="eastAsia" w:ascii="仿宋_GB2312" w:eastAsia="仿宋_GB2312" w:hAnsiTheme="minorEastAsia" w:cstheme="minorEastAsia"/>
          <w:color w:val="auto"/>
          <w:sz w:val="24"/>
          <w:lang w:val="zh-CN"/>
        </w:rPr>
        <w:t>食品中出现玻璃、创口贴、金属坚硬物体等，经确认属实，处以人民币</w:t>
      </w:r>
      <w:r>
        <w:rPr>
          <w:rFonts w:hint="eastAsia" w:ascii="仿宋_GB2312" w:eastAsia="仿宋_GB2312" w:hAnsiTheme="minorEastAsia" w:cstheme="minorEastAsia"/>
          <w:color w:val="auto"/>
          <w:sz w:val="24"/>
        </w:rPr>
        <w:t>2</w:t>
      </w:r>
      <w:r>
        <w:rPr>
          <w:rFonts w:hint="eastAsia" w:ascii="仿宋_GB2312" w:eastAsia="仿宋_GB2312" w:hAnsiTheme="minorEastAsia" w:cstheme="minorEastAsia"/>
          <w:color w:val="auto"/>
          <w:sz w:val="24"/>
          <w:lang w:val="zh-CN"/>
        </w:rPr>
        <w:t>00元罚款/次；</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b)食品中出现苍蝇、飞虫、菜虫等，日投诉率超过就餐人次0.1%以上，经确认属实，处以人民币</w:t>
      </w:r>
      <w:r>
        <w:rPr>
          <w:rFonts w:hint="eastAsia" w:ascii="仿宋_GB2312" w:eastAsia="仿宋_GB2312" w:hAnsiTheme="minorEastAsia" w:cstheme="minorEastAsia"/>
          <w:color w:val="auto"/>
          <w:sz w:val="24"/>
        </w:rPr>
        <w:t>1</w:t>
      </w:r>
      <w:r>
        <w:rPr>
          <w:rFonts w:hint="eastAsia" w:ascii="仿宋_GB2312" w:eastAsia="仿宋_GB2312" w:hAnsiTheme="minorEastAsia" w:cstheme="minorEastAsia"/>
          <w:color w:val="auto"/>
          <w:sz w:val="24"/>
          <w:lang w:val="zh-CN"/>
        </w:rPr>
        <w:t>00元/人次罚款。</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②</w:t>
      </w:r>
      <w:r>
        <w:rPr>
          <w:rFonts w:hint="eastAsia" w:ascii="仿宋_GB2312" w:eastAsia="仿宋_GB2312" w:hAnsiTheme="minorEastAsia" w:cstheme="minorEastAsia"/>
          <w:color w:val="auto"/>
          <w:sz w:val="24"/>
        </w:rPr>
        <w:t xml:space="preserve"> </w:t>
      </w:r>
      <w:r>
        <w:rPr>
          <w:rFonts w:hint="eastAsia" w:ascii="仿宋_GB2312" w:eastAsia="仿宋_GB2312" w:hAnsiTheme="minorEastAsia" w:cstheme="minorEastAsia"/>
          <w:color w:val="auto"/>
          <w:sz w:val="24"/>
          <w:lang w:val="zh-CN"/>
        </w:rPr>
        <w:t>员工投诉饭菜变质、品质不合格：</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a)员工投诉饭菜发馊，或由变质原材料制作的菜品，经确认属实，处以人民币</w:t>
      </w:r>
      <w:r>
        <w:rPr>
          <w:rFonts w:hint="eastAsia" w:ascii="仿宋_GB2312" w:eastAsia="仿宋_GB2312" w:hAnsiTheme="minorEastAsia" w:cstheme="minorEastAsia"/>
          <w:color w:val="auto"/>
          <w:sz w:val="24"/>
        </w:rPr>
        <w:t>2</w:t>
      </w:r>
      <w:r>
        <w:rPr>
          <w:rFonts w:hint="eastAsia" w:ascii="仿宋_GB2312" w:eastAsia="仿宋_GB2312" w:hAnsiTheme="minorEastAsia" w:cstheme="minorEastAsia"/>
          <w:color w:val="auto"/>
          <w:sz w:val="24"/>
          <w:lang w:val="zh-CN"/>
        </w:rPr>
        <w:t>00元罚款/次；</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b)员工投诉米饭夹生，或菜品未熟，或出现明显咸淡现象，经确认属实，处理人民币</w:t>
      </w:r>
      <w:r>
        <w:rPr>
          <w:rFonts w:hint="eastAsia" w:ascii="仿宋_GB2312" w:eastAsia="仿宋_GB2312" w:hAnsiTheme="minorEastAsia" w:cstheme="minorEastAsia"/>
          <w:color w:val="auto"/>
          <w:sz w:val="24"/>
        </w:rPr>
        <w:t>2</w:t>
      </w:r>
      <w:r>
        <w:rPr>
          <w:rFonts w:hint="eastAsia" w:ascii="仿宋_GB2312" w:eastAsia="仿宋_GB2312" w:hAnsiTheme="minorEastAsia" w:cstheme="minorEastAsia"/>
          <w:color w:val="auto"/>
          <w:sz w:val="24"/>
          <w:lang w:val="zh-CN"/>
        </w:rPr>
        <w:t>00元罚款/次。</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③</w:t>
      </w:r>
      <w:r>
        <w:rPr>
          <w:rFonts w:hint="eastAsia" w:ascii="仿宋_GB2312" w:eastAsia="仿宋_GB2312" w:hAnsiTheme="minorEastAsia" w:cstheme="minorEastAsia"/>
          <w:color w:val="auto"/>
          <w:sz w:val="24"/>
        </w:rPr>
        <w:t xml:space="preserve"> </w:t>
      </w:r>
      <w:r>
        <w:rPr>
          <w:rFonts w:hint="eastAsia" w:ascii="仿宋_GB2312" w:eastAsia="仿宋_GB2312" w:hAnsiTheme="minorEastAsia" w:cstheme="minorEastAsia"/>
          <w:color w:val="auto"/>
          <w:sz w:val="24"/>
          <w:lang w:val="zh-CN"/>
        </w:rPr>
        <w:t xml:space="preserve">乙方工作人员未按标准作业： </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a)乙方工作人员在职工餐厅未按规定着装标准着装，每月不定期检查，发现三次以上，罚款人民币</w:t>
      </w:r>
      <w:r>
        <w:rPr>
          <w:rFonts w:hint="eastAsia" w:ascii="仿宋_GB2312" w:eastAsia="仿宋_GB2312" w:hAnsiTheme="minorEastAsia" w:cstheme="minorEastAsia"/>
          <w:color w:val="auto"/>
          <w:sz w:val="24"/>
        </w:rPr>
        <w:t>1</w:t>
      </w:r>
      <w:r>
        <w:rPr>
          <w:rFonts w:hint="eastAsia" w:ascii="仿宋_GB2312" w:eastAsia="仿宋_GB2312" w:hAnsiTheme="minorEastAsia" w:cstheme="minorEastAsia"/>
          <w:color w:val="auto"/>
          <w:sz w:val="24"/>
          <w:lang w:val="zh-CN"/>
        </w:rPr>
        <w:t>00元/人；</w:t>
      </w:r>
    </w:p>
    <w:p>
      <w:pPr>
        <w:spacing w:line="44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b)职工餐厅卫生清洁不到位，脏、乱、差，每月不定期检查，发现三次以上，罚款人民币100元/次；</w:t>
      </w:r>
    </w:p>
    <w:p>
      <w:pPr>
        <w:tabs>
          <w:tab w:val="left" w:pos="860"/>
        </w:tabs>
        <w:spacing w:line="440" w:lineRule="exact"/>
        <w:ind w:firstLine="420"/>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1</w:t>
      </w:r>
      <w:r>
        <w:rPr>
          <w:rFonts w:hint="eastAsia" w:ascii="仿宋_GB2312" w:hAnsi="宋体" w:eastAsia="仿宋_GB2312" w:cs="宋体"/>
          <w:color w:val="auto"/>
          <w:sz w:val="24"/>
          <w:lang w:bidi="zh-CN"/>
        </w:rPr>
        <w:t>4</w:t>
      </w:r>
      <w:r>
        <w:rPr>
          <w:rFonts w:hint="eastAsia" w:ascii="仿宋_GB2312" w:hAnsi="宋体" w:eastAsia="仿宋_GB2312" w:cs="宋体"/>
          <w:color w:val="auto"/>
          <w:sz w:val="24"/>
          <w:lang w:val="zh-CN" w:bidi="zh-CN"/>
        </w:rPr>
        <w:t>、乙方应保障食堂用水、用电、用气安全。避免资源浪费，增加成本。</w:t>
      </w:r>
    </w:p>
    <w:p>
      <w:pPr>
        <w:tabs>
          <w:tab w:val="left" w:pos="860"/>
        </w:tabs>
        <w:spacing w:line="440" w:lineRule="exact"/>
        <w:ind w:firstLine="420"/>
        <w:rPr>
          <w:rFonts w:ascii="仿宋_GB2312" w:hAnsi="宋体" w:eastAsia="仿宋_GB2312" w:cs="宋体"/>
          <w:color w:val="auto"/>
          <w:sz w:val="24"/>
          <w:lang w:val="zh-CN"/>
        </w:rPr>
      </w:pPr>
      <w:r>
        <w:rPr>
          <w:rFonts w:hint="eastAsia" w:ascii="仿宋_GB2312" w:hAnsi="宋体" w:eastAsia="仿宋_GB2312" w:cs="宋体"/>
          <w:color w:val="auto"/>
          <w:sz w:val="24"/>
          <w:lang w:val="zh-CN"/>
        </w:rPr>
        <w:t>1</w:t>
      </w:r>
      <w:r>
        <w:rPr>
          <w:rFonts w:hint="eastAsia" w:ascii="仿宋_GB2312" w:hAnsi="宋体" w:eastAsia="仿宋_GB2312" w:cs="宋体"/>
          <w:color w:val="auto"/>
          <w:sz w:val="24"/>
        </w:rPr>
        <w:t>5</w:t>
      </w:r>
      <w:r>
        <w:rPr>
          <w:rFonts w:hint="eastAsia" w:ascii="仿宋_GB2312" w:hAnsi="宋体" w:eastAsia="仿宋_GB2312" w:cs="宋体"/>
          <w:color w:val="auto"/>
          <w:sz w:val="24"/>
          <w:lang w:val="zh-CN"/>
        </w:rPr>
        <w:t>、乙方应对厨房设备操作人员进行严格培训、考核，规范操作流程，避免安全事故发生。乙方应根据厨房设备使用要求，所有使用设备进行定期检查、维护、保养，做到预防在先，一旦发现问题及时解决处理。</w:t>
      </w:r>
    </w:p>
    <w:p>
      <w:pPr>
        <w:tabs>
          <w:tab w:val="left" w:pos="860"/>
        </w:tabs>
        <w:spacing w:line="440" w:lineRule="exact"/>
        <w:ind w:firstLine="420"/>
        <w:rPr>
          <w:rFonts w:ascii="仿宋_GB2312" w:hAnsi="宋体" w:eastAsia="仿宋_GB2312" w:cs="宋体"/>
          <w:color w:val="auto"/>
          <w:sz w:val="24"/>
          <w:lang w:val="zh-CN"/>
        </w:rPr>
      </w:pPr>
      <w:r>
        <w:rPr>
          <w:rFonts w:hint="eastAsia" w:ascii="仿宋_GB2312" w:hAnsi="宋体" w:eastAsia="仿宋_GB2312" w:cs="宋体"/>
          <w:color w:val="auto"/>
          <w:sz w:val="24"/>
        </w:rPr>
        <w:t>16、</w:t>
      </w:r>
      <w:r>
        <w:rPr>
          <w:rFonts w:hint="eastAsia" w:ascii="仿宋_GB2312" w:hAnsi="宋体" w:eastAsia="仿宋_GB2312" w:cs="宋体"/>
          <w:color w:val="auto"/>
          <w:sz w:val="24"/>
          <w:lang w:val="zh-CN"/>
        </w:rPr>
        <w:t>乙方应确保员工用餐安全，防止食源性疾病，食物中毒及传染病发生，实行餐厅食品留样。</w:t>
      </w:r>
    </w:p>
    <w:p>
      <w:pPr>
        <w:tabs>
          <w:tab w:val="left" w:pos="860"/>
        </w:tabs>
        <w:spacing w:line="440" w:lineRule="exact"/>
        <w:ind w:firstLine="420"/>
        <w:rPr>
          <w:rFonts w:ascii="仿宋_GB2312" w:hAnsi="宋体" w:eastAsia="仿宋_GB2312" w:cs="宋体"/>
          <w:color w:val="auto"/>
          <w:sz w:val="24"/>
          <w:lang w:val="zh-CN"/>
        </w:rPr>
      </w:pPr>
      <w:r>
        <w:rPr>
          <w:rFonts w:hint="eastAsia" w:ascii="仿宋_GB2312" w:hAnsi="宋体" w:eastAsia="仿宋_GB2312" w:cs="宋体"/>
          <w:color w:val="auto"/>
          <w:sz w:val="24"/>
        </w:rPr>
        <w:t>17、</w:t>
      </w:r>
      <w:r>
        <w:rPr>
          <w:rFonts w:hint="eastAsia" w:ascii="仿宋_GB2312" w:hAnsi="宋体" w:eastAsia="仿宋_GB2312" w:cs="宋体"/>
          <w:color w:val="auto"/>
          <w:sz w:val="24"/>
          <w:lang w:val="zh-CN"/>
        </w:rPr>
        <w:t>乙方负责提供员工食宿，相关费用及安全责任由乙方承担。</w:t>
      </w:r>
    </w:p>
    <w:p>
      <w:pPr>
        <w:tabs>
          <w:tab w:val="left" w:pos="860"/>
        </w:tabs>
        <w:spacing w:line="440" w:lineRule="exact"/>
        <w:ind w:firstLine="420"/>
        <w:rPr>
          <w:rFonts w:ascii="仿宋_GB2312" w:hAnsi="宋体" w:eastAsia="仿宋_GB2312" w:cs="宋体"/>
          <w:color w:val="auto"/>
          <w:sz w:val="24"/>
          <w:lang w:val="zh-CN"/>
        </w:rPr>
      </w:pPr>
      <w:r>
        <w:rPr>
          <w:rFonts w:hint="eastAsia" w:ascii="仿宋_GB2312" w:hAnsi="宋体" w:eastAsia="仿宋_GB2312" w:cs="宋体"/>
          <w:color w:val="auto"/>
          <w:sz w:val="24"/>
        </w:rPr>
        <w:t>18、</w:t>
      </w:r>
      <w:r>
        <w:rPr>
          <w:rFonts w:hint="eastAsia" w:ascii="仿宋_GB2312" w:hAnsi="宋体" w:eastAsia="仿宋_GB2312" w:cs="宋体"/>
          <w:color w:val="auto"/>
          <w:sz w:val="24"/>
          <w:lang w:val="zh-CN"/>
        </w:rPr>
        <w:t>乙方更换餐厅管理人员，应向甲方报备餐厅管理人员信息（包括但不限于姓名、性别、联系 方式、工作经历、岗位资格证书等内容）。</w:t>
      </w:r>
    </w:p>
    <w:p>
      <w:pPr>
        <w:tabs>
          <w:tab w:val="left" w:pos="860"/>
        </w:tabs>
        <w:spacing w:line="440" w:lineRule="exact"/>
        <w:ind w:firstLine="420"/>
        <w:rPr>
          <w:rFonts w:ascii="仿宋_GB2312" w:hAnsi="宋体" w:eastAsia="仿宋_GB2312" w:cs="宋体"/>
          <w:color w:val="auto"/>
          <w:sz w:val="24"/>
          <w:lang w:val="zh-CN"/>
        </w:rPr>
      </w:pPr>
      <w:r>
        <w:rPr>
          <w:rFonts w:hint="eastAsia" w:ascii="仿宋_GB2312" w:hAnsi="宋体" w:eastAsia="仿宋_GB2312" w:cs="宋体"/>
          <w:color w:val="auto"/>
          <w:sz w:val="24"/>
        </w:rPr>
        <w:t>19</w:t>
      </w:r>
      <w:r>
        <w:rPr>
          <w:rFonts w:hint="eastAsia" w:ascii="仿宋_GB2312" w:hAnsi="宋体" w:eastAsia="仿宋_GB2312" w:cs="宋体"/>
          <w:color w:val="auto"/>
          <w:sz w:val="24"/>
          <w:lang w:val="zh-CN"/>
        </w:rPr>
        <w:t>、乙方不得将食堂经营管理项目以任何方式分包、转包、转租。</w:t>
      </w:r>
    </w:p>
    <w:p>
      <w:pPr>
        <w:tabs>
          <w:tab w:val="left" w:pos="773"/>
        </w:tabs>
        <w:spacing w:line="440" w:lineRule="exact"/>
        <w:ind w:firstLine="440"/>
        <w:rPr>
          <w:rFonts w:hint="eastAsia" w:ascii="仿宋_GB2312" w:hAnsi="宋体" w:eastAsia="仿宋_GB2312" w:cs="宋体"/>
          <w:color w:val="auto"/>
          <w:sz w:val="24"/>
          <w:lang w:val="zh-CN" w:bidi="zh-CN"/>
        </w:rPr>
      </w:pPr>
      <w:r>
        <w:rPr>
          <w:rFonts w:hint="eastAsia" w:ascii="仿宋_GB2312" w:hAnsi="宋体" w:eastAsia="仿宋_GB2312" w:cs="宋体"/>
          <w:color w:val="auto"/>
          <w:sz w:val="24"/>
          <w:lang w:bidi="en-US"/>
        </w:rPr>
        <w:t>20、</w:t>
      </w:r>
      <w:r>
        <w:rPr>
          <w:rFonts w:hint="eastAsia" w:ascii="仿宋_GB2312" w:hAnsi="宋体" w:eastAsia="仿宋_GB2312" w:cs="宋体"/>
          <w:color w:val="auto"/>
          <w:sz w:val="24"/>
          <w:lang w:eastAsia="zh-CN" w:bidi="en-US"/>
        </w:rPr>
        <w:t>乙方</w:t>
      </w:r>
      <w:r>
        <w:rPr>
          <w:rFonts w:hint="eastAsia" w:ascii="仿宋_GB2312" w:hAnsi="宋体" w:eastAsia="仿宋_GB2312" w:cs="宋体"/>
          <w:color w:val="auto"/>
          <w:sz w:val="24"/>
          <w:lang w:val="zh-CN" w:bidi="zh-CN"/>
        </w:rPr>
        <w:t>服务人员患病、非因工负伤或工伤致残，不适应食堂经营服务工作的，由乙方承担全部责任。</w:t>
      </w:r>
    </w:p>
    <w:p>
      <w:pPr>
        <w:pStyle w:val="2"/>
        <w:ind w:firstLine="480" w:firstLineChars="200"/>
        <w:rPr>
          <w:color w:val="auto"/>
          <w:lang w:val="en-US"/>
        </w:rPr>
      </w:pPr>
      <w:r>
        <w:rPr>
          <w:rFonts w:hint="eastAsia" w:ascii="仿宋_GB2312" w:hAnsi="宋体" w:eastAsia="仿宋_GB2312" w:cs="宋体"/>
          <w:color w:val="auto"/>
          <w:sz w:val="24"/>
          <w:lang w:val="en-US" w:bidi="zh-CN"/>
        </w:rPr>
        <w:t>21、乙方对设备分包方的货物安装调试等所有工作负责。</w:t>
      </w:r>
    </w:p>
    <w:p>
      <w:pPr>
        <w:tabs>
          <w:tab w:val="left" w:pos="773"/>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en-US" w:eastAsia="zh-CN"/>
        </w:rPr>
        <w:t>22</w:t>
      </w:r>
      <w:r>
        <w:rPr>
          <w:rFonts w:hint="eastAsia" w:ascii="仿宋_GB2312" w:hAnsi="宋体" w:eastAsia="仿宋_GB2312" w:cs="宋体"/>
          <w:color w:val="auto"/>
          <w:sz w:val="24"/>
        </w:rPr>
        <w:t>、</w:t>
      </w:r>
      <w:r>
        <w:rPr>
          <w:rFonts w:hint="eastAsia" w:ascii="仿宋_GB2312" w:hAnsi="宋体" w:eastAsia="仿宋_GB2312" w:cs="宋体"/>
          <w:color w:val="auto"/>
          <w:sz w:val="24"/>
          <w:lang w:eastAsia="zh-CN"/>
        </w:rPr>
        <w:t>如食堂改造工程出现质量问题需要进行维修的，由乙方联系丙方，由丙方进行维修，费用从丙方的工程质保金中扣除。超出质保金的费用，另行协商。</w:t>
      </w:r>
    </w:p>
    <w:p>
      <w:pPr>
        <w:spacing w:line="440" w:lineRule="exact"/>
        <w:ind w:firstLine="440"/>
        <w:rPr>
          <w:rFonts w:ascii="仿宋_GB2312" w:hAnsi="宋体" w:eastAsia="仿宋_GB2312" w:cs="宋体"/>
          <w:b/>
          <w:color w:val="auto"/>
          <w:sz w:val="24"/>
          <w:lang w:val="zh-CN" w:bidi="zh-CN"/>
        </w:rPr>
      </w:pPr>
      <w:r>
        <w:rPr>
          <w:rFonts w:hint="eastAsia" w:ascii="仿宋_GB2312" w:hAnsi="宋体" w:eastAsia="仿宋_GB2312" w:cs="宋体"/>
          <w:b/>
          <w:color w:val="auto"/>
          <w:sz w:val="24"/>
          <w:lang w:val="zh-CN" w:bidi="zh-CN"/>
        </w:rPr>
        <w:t>（三）丙方权利及义务</w:t>
      </w:r>
    </w:p>
    <w:p>
      <w:pPr>
        <w:tabs>
          <w:tab w:val="left" w:pos="773"/>
        </w:tabs>
        <w:spacing w:line="440" w:lineRule="exact"/>
        <w:ind w:firstLine="440"/>
        <w:rPr>
          <w:rFonts w:hint="eastAsia" w:ascii="仿宋_GB2312" w:hAnsi="宋体" w:eastAsia="仿宋_GB2312" w:cs="宋体"/>
          <w:color w:val="auto"/>
          <w:sz w:val="24"/>
          <w:lang w:val="en-US" w:eastAsia="zh-CN"/>
        </w:rPr>
      </w:pPr>
      <w:r>
        <w:rPr>
          <w:rFonts w:hint="eastAsia" w:ascii="仿宋_GB2312" w:hAnsi="宋体" w:eastAsia="仿宋_GB2312" w:cs="宋体"/>
          <w:color w:val="auto"/>
          <w:sz w:val="24"/>
          <w:lang w:val="en-US" w:eastAsia="zh-CN"/>
        </w:rPr>
        <w:t>1、丙方负责改造工程，丙方须按本合同约定，在2018年12月25日前完成６栋负一楼食堂的改造工程，在2019年1月20日前完成８栋负一楼食堂改造工程，丙方未能按期完成相应改造工程的，丙方应向甲方赔偿相应工程延误的损失，乙方对丙方因工程延误给甲方造成的损失，承担连带责任。</w:t>
      </w:r>
    </w:p>
    <w:p>
      <w:pPr>
        <w:tabs>
          <w:tab w:val="left" w:pos="773"/>
        </w:tabs>
        <w:spacing w:line="440" w:lineRule="exact"/>
        <w:ind w:firstLine="440"/>
        <w:rPr>
          <w:rFonts w:hint="eastAsia" w:ascii="仿宋_GB2312" w:hAnsi="宋体" w:eastAsia="仿宋_GB2312" w:cs="宋体"/>
          <w:color w:val="auto"/>
          <w:sz w:val="24"/>
          <w:lang w:val="en-US" w:eastAsia="zh-CN"/>
        </w:rPr>
      </w:pPr>
      <w:r>
        <w:rPr>
          <w:rFonts w:hint="eastAsia" w:ascii="仿宋_GB2312" w:hAnsi="宋体" w:eastAsia="仿宋_GB2312" w:cs="宋体"/>
          <w:color w:val="auto"/>
          <w:sz w:val="24"/>
          <w:lang w:val="en-US" w:eastAsia="zh-CN"/>
        </w:rPr>
        <w:t>2、丙方征得甲方的同意，将本合同中的餐厅改造设备清单（见附件四）中的设备交给长沙市裕盛厨房设备有限责任公司供货，丙方请求甲方将相应设备货款直接支付给长沙市裕盛厨房设备有限责任公司，并由长沙市裕盛厨房设备有限责任公司直接开具相应发票给甲方完成付款流程。</w:t>
      </w:r>
    </w:p>
    <w:p>
      <w:pPr>
        <w:tabs>
          <w:tab w:val="left" w:pos="773"/>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en-US" w:eastAsia="zh-CN"/>
        </w:rPr>
        <w:t>3</w:t>
      </w:r>
      <w:r>
        <w:rPr>
          <w:rFonts w:hint="eastAsia" w:ascii="仿宋_GB2312" w:hAnsi="宋体" w:eastAsia="仿宋_GB2312" w:cs="宋体"/>
          <w:color w:val="auto"/>
          <w:sz w:val="24"/>
        </w:rPr>
        <w:t>、丙方有权要求甲方提供改造所需的工作面和水电供应等基本条件。</w:t>
      </w:r>
    </w:p>
    <w:p>
      <w:pPr>
        <w:tabs>
          <w:tab w:val="left" w:pos="773"/>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en-US" w:eastAsia="zh-CN"/>
        </w:rPr>
        <w:t>4</w:t>
      </w:r>
      <w:r>
        <w:rPr>
          <w:rFonts w:hint="eastAsia" w:ascii="仿宋_GB2312" w:hAnsi="宋体" w:eastAsia="仿宋_GB2312" w:cs="宋体"/>
          <w:color w:val="auto"/>
          <w:sz w:val="24"/>
        </w:rPr>
        <w:t>、丙方有权要求甲方给予必要的协调、帮助，以保证丙方正常开展工作。</w:t>
      </w:r>
    </w:p>
    <w:p>
      <w:pPr>
        <w:tabs>
          <w:tab w:val="left" w:pos="773"/>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en-US" w:eastAsia="zh-CN"/>
        </w:rPr>
        <w:t>5</w:t>
      </w:r>
      <w:r>
        <w:rPr>
          <w:rFonts w:hint="eastAsia" w:ascii="仿宋_GB2312" w:hAnsi="宋体" w:eastAsia="仿宋_GB2312" w:cs="宋体"/>
          <w:color w:val="auto"/>
          <w:sz w:val="24"/>
        </w:rPr>
        <w:t>、丙方所使用设备、材料的品牌、规格、名称须与投标文件一致，且满足国家相关标准。</w:t>
      </w:r>
    </w:p>
    <w:p>
      <w:pPr>
        <w:tabs>
          <w:tab w:val="left" w:pos="773"/>
        </w:tabs>
        <w:spacing w:line="440" w:lineRule="exact"/>
        <w:ind w:firstLine="440"/>
        <w:rPr>
          <w:rFonts w:ascii="仿宋_GB2312" w:hAnsi="宋体" w:eastAsia="仿宋_GB2312" w:cs="宋体"/>
          <w:color w:val="auto"/>
          <w:sz w:val="24"/>
        </w:rPr>
      </w:pPr>
      <w:r>
        <w:rPr>
          <w:rFonts w:hint="eastAsia" w:ascii="仿宋_GB2312" w:hAnsi="宋体" w:eastAsia="仿宋_GB2312" w:cs="宋体"/>
          <w:color w:val="auto"/>
          <w:sz w:val="24"/>
          <w:lang w:val="en-US" w:eastAsia="zh-CN"/>
        </w:rPr>
        <w:t>6</w:t>
      </w:r>
      <w:r>
        <w:rPr>
          <w:rFonts w:hint="eastAsia" w:ascii="仿宋_GB2312" w:hAnsi="宋体" w:eastAsia="仿宋_GB2312" w:cs="宋体"/>
          <w:color w:val="auto"/>
          <w:sz w:val="24"/>
        </w:rPr>
        <w:t>、丙方提供的材料、设备如不符合质量要求或规格有差异，应禁止使用，如已使用，对工程造成的损失均由丙方负责。</w:t>
      </w:r>
    </w:p>
    <w:p>
      <w:pPr>
        <w:tabs>
          <w:tab w:val="left" w:pos="773"/>
        </w:tabs>
        <w:spacing w:line="440" w:lineRule="exact"/>
        <w:ind w:firstLine="440"/>
        <w:rPr>
          <w:rFonts w:ascii="仿宋_GB2312" w:hAnsi="宋体" w:eastAsia="仿宋_GB2312" w:cs="宋体"/>
          <w:color w:val="auto"/>
          <w:sz w:val="24"/>
        </w:rPr>
      </w:pPr>
    </w:p>
    <w:p>
      <w:pPr>
        <w:spacing w:after="44" w:line="440" w:lineRule="exact"/>
        <w:jc w:val="left"/>
        <w:rPr>
          <w:rFonts w:ascii="仿宋_GB2312" w:hAnsi="宋体" w:eastAsia="仿宋_GB2312" w:cs="宋体"/>
          <w:b/>
          <w:bCs/>
          <w:color w:val="auto"/>
          <w:sz w:val="24"/>
        </w:rPr>
      </w:pPr>
      <w:r>
        <w:rPr>
          <w:rFonts w:hint="eastAsia" w:ascii="仿宋_GB2312" w:hAnsi="宋体" w:eastAsia="仿宋_GB2312" w:cs="宋体"/>
          <w:b/>
          <w:bCs/>
          <w:color w:val="auto"/>
          <w:sz w:val="24"/>
          <w:lang w:val="zh-CN" w:bidi="zh-CN"/>
        </w:rPr>
        <w:t>第五条、保密条款</w:t>
      </w:r>
    </w:p>
    <w:p>
      <w:pPr>
        <w:spacing w:line="440" w:lineRule="exact"/>
        <w:ind w:firstLine="420"/>
        <w:rPr>
          <w:rFonts w:ascii="仿宋_GB2312" w:hAnsi="宋体" w:eastAsia="仿宋_GB2312" w:cs="宋体"/>
          <w:color w:val="auto"/>
          <w:sz w:val="24"/>
        </w:rPr>
      </w:pPr>
      <w:r>
        <w:rPr>
          <w:rFonts w:hint="eastAsia" w:ascii="仿宋_GB2312" w:hAnsi="宋体" w:eastAsia="仿宋_GB2312" w:cs="宋体"/>
          <w:color w:val="auto"/>
          <w:sz w:val="24"/>
          <w:lang w:val="zh-CN" w:bidi="zh-CN"/>
        </w:rPr>
        <w:t>除非经对方事先书面许可，或因政府部门及法律法令的强制性要求而披露，</w:t>
      </w:r>
      <w:r>
        <w:rPr>
          <w:rFonts w:hint="eastAsia" w:ascii="仿宋_GB2312" w:hAnsi="宋体" w:eastAsia="仿宋_GB2312" w:cs="宋体"/>
          <w:color w:val="auto"/>
          <w:sz w:val="24"/>
          <w:lang w:bidi="en-US"/>
        </w:rPr>
        <w:t xml:space="preserve"> 三方</w:t>
      </w:r>
      <w:r>
        <w:rPr>
          <w:rFonts w:hint="eastAsia" w:ascii="仿宋_GB2312" w:hAnsi="宋体" w:eastAsia="仿宋_GB2312" w:cs="宋体"/>
          <w:color w:val="auto"/>
          <w:sz w:val="24"/>
          <w:lang w:val="zh-CN" w:bidi="zh-CN"/>
        </w:rPr>
        <w:t>均承诺不将从对方取得的秘密信息披露或泄露第三方。</w:t>
      </w:r>
    </w:p>
    <w:p>
      <w:pPr>
        <w:tabs>
          <w:tab w:val="left" w:pos="725"/>
        </w:tabs>
        <w:spacing w:line="440" w:lineRule="exact"/>
        <w:ind w:firstLine="420"/>
        <w:rPr>
          <w:rFonts w:ascii="仿宋_GB2312" w:hAnsi="宋体" w:eastAsia="仿宋_GB2312" w:cs="宋体"/>
          <w:color w:val="auto"/>
          <w:sz w:val="24"/>
        </w:rPr>
      </w:pPr>
      <w:r>
        <w:rPr>
          <w:rFonts w:hint="eastAsia" w:ascii="仿宋_GB2312" w:hAnsi="宋体" w:eastAsia="仿宋_GB2312" w:cs="宋体"/>
          <w:color w:val="auto"/>
          <w:sz w:val="24"/>
          <w:lang w:val="zh-CN" w:bidi="zh-CN"/>
        </w:rPr>
        <w:t>1、除</w:t>
      </w:r>
      <w:r>
        <w:rPr>
          <w:rFonts w:hint="eastAsia" w:ascii="仿宋_GB2312" w:hAnsi="宋体" w:eastAsia="仿宋_GB2312" w:cs="宋体"/>
          <w:color w:val="auto"/>
          <w:spacing w:val="-4"/>
          <w:sz w:val="24"/>
          <w:lang w:val="zh-CN" w:bidi="zh-CN"/>
        </w:rPr>
        <w:t>本合同另有规定外，未经甲方的书面同意，乙方及其知悉本合同内容的人员均不得直接或间接地以任何方式将本合同内容提供或披露给任何“第三方”。在本条中，“第三方”是指任何自然人、企业或其分支机构、代理、组织或其他实体。</w:t>
      </w:r>
    </w:p>
    <w:p>
      <w:pPr>
        <w:tabs>
          <w:tab w:val="left" w:pos="740"/>
        </w:tabs>
        <w:spacing w:line="440" w:lineRule="exact"/>
        <w:ind w:firstLine="420"/>
        <w:rPr>
          <w:rFonts w:ascii="仿宋_GB2312" w:hAnsi="宋体" w:eastAsia="仿宋_GB2312" w:cs="宋体"/>
          <w:color w:val="auto"/>
          <w:sz w:val="24"/>
        </w:rPr>
      </w:pPr>
      <w:r>
        <w:rPr>
          <w:rFonts w:hint="eastAsia" w:ascii="仿宋_GB2312" w:hAnsi="宋体" w:eastAsia="仿宋_GB2312" w:cs="宋体"/>
          <w:color w:val="auto"/>
          <w:sz w:val="24"/>
          <w:lang w:val="zh-CN" w:bidi="zh-CN"/>
        </w:rPr>
        <w:t>2</w:t>
      </w:r>
      <w:r>
        <w:rPr>
          <w:rFonts w:hint="eastAsia" w:ascii="仿宋_GB2312" w:hAnsi="宋体" w:eastAsia="仿宋_GB2312" w:cs="宋体"/>
          <w:color w:val="auto"/>
          <w:sz w:val="24"/>
          <w:lang w:val="zh-CN"/>
        </w:rPr>
        <w:t>、</w:t>
      </w:r>
      <w:r>
        <w:rPr>
          <w:rFonts w:hint="eastAsia" w:ascii="仿宋_GB2312" w:hAnsi="宋体" w:eastAsia="仿宋_GB2312" w:cs="宋体"/>
          <w:color w:val="auto"/>
          <w:sz w:val="24"/>
          <w:lang w:val="zh-CN" w:bidi="zh-CN"/>
        </w:rPr>
        <w:t>为本合同所涉事宜提供服务的第三方对本合同内容负有保密义务，上述第三方应与甲乙三方签订保密协议或按照有关职业道德标准履行保密义务。</w:t>
      </w:r>
    </w:p>
    <w:p>
      <w:pPr>
        <w:tabs>
          <w:tab w:val="left" w:pos="725"/>
        </w:tabs>
        <w:spacing w:line="440" w:lineRule="exact"/>
        <w:ind w:firstLine="420"/>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3</w:t>
      </w:r>
      <w:r>
        <w:rPr>
          <w:rFonts w:hint="eastAsia" w:ascii="仿宋_GB2312" w:hAnsi="宋体" w:eastAsia="仿宋_GB2312" w:cs="宋体"/>
          <w:color w:val="auto"/>
          <w:sz w:val="24"/>
          <w:lang w:val="zh-CN"/>
        </w:rPr>
        <w:t>、</w:t>
      </w:r>
      <w:r>
        <w:rPr>
          <w:rFonts w:hint="eastAsia" w:ascii="仿宋_GB2312" w:hAnsi="宋体" w:eastAsia="仿宋_GB2312" w:cs="宋体"/>
          <w:color w:val="auto"/>
          <w:sz w:val="24"/>
          <w:lang w:val="zh-CN" w:bidi="zh-CN"/>
        </w:rPr>
        <w:t>如有关政府部门或监管机构</w:t>
      </w:r>
      <w:r>
        <w:rPr>
          <w:rStyle w:val="22"/>
          <w:rFonts w:hint="eastAsia" w:ascii="仿宋_GB2312" w:hAnsi="宋体" w:eastAsia="仿宋_GB2312" w:cs="宋体"/>
          <w:color w:val="auto"/>
          <w:sz w:val="24"/>
          <w:lang w:eastAsia="zh-CN"/>
        </w:rPr>
        <w:t>要求</w:t>
      </w:r>
      <w:r>
        <w:rPr>
          <w:rFonts w:hint="eastAsia" w:ascii="仿宋_GB2312" w:hAnsi="宋体" w:eastAsia="仿宋_GB2312" w:cs="宋体"/>
          <w:color w:val="auto"/>
          <w:sz w:val="24"/>
          <w:lang w:val="zh-CN" w:bidi="zh-CN"/>
        </w:rPr>
        <w:t>乙方与第2款所涉知情第三方披露本合同内容，上述各方当事人应在该政府部门或鉴管机构要求的范围内做出披露而无需承担本合同项下的保密责任。</w:t>
      </w:r>
    </w:p>
    <w:p>
      <w:pPr>
        <w:tabs>
          <w:tab w:val="left" w:pos="725"/>
        </w:tabs>
        <w:spacing w:line="440" w:lineRule="exact"/>
        <w:ind w:firstLine="420"/>
        <w:rPr>
          <w:rFonts w:ascii="仿宋_GB2312" w:hAnsi="宋体" w:eastAsia="仿宋_GB2312" w:cs="宋体"/>
          <w:color w:val="auto"/>
          <w:sz w:val="24"/>
          <w:lang w:val="zh-CN"/>
        </w:rPr>
      </w:pPr>
      <w:r>
        <w:rPr>
          <w:rFonts w:hint="eastAsia" w:ascii="仿宋_GB2312" w:hAnsi="宋体" w:eastAsia="仿宋_GB2312" w:cs="宋体"/>
          <w:color w:val="auto"/>
          <w:sz w:val="24"/>
          <w:lang w:val="zh-CN"/>
        </w:rPr>
        <w:t>4、在任何情形下，本条所规定的保密义务应永久持续有效。</w:t>
      </w:r>
    </w:p>
    <w:p>
      <w:pPr>
        <w:spacing w:line="440" w:lineRule="exact"/>
        <w:rPr>
          <w:rFonts w:ascii="仿宋_GB2312" w:hAnsi="宋体" w:eastAsia="仿宋_GB2312" w:cs="宋体"/>
          <w:b/>
          <w:bCs/>
          <w:color w:val="auto"/>
          <w:sz w:val="24"/>
        </w:rPr>
      </w:pPr>
      <w:r>
        <w:rPr>
          <w:rFonts w:hint="eastAsia" w:ascii="仿宋_GB2312" w:hAnsi="宋体" w:eastAsia="仿宋_GB2312" w:cs="宋体"/>
          <w:b/>
          <w:bCs/>
          <w:color w:val="auto"/>
          <w:sz w:val="24"/>
          <w:lang w:val="zh-CN"/>
        </w:rPr>
        <w:t>第六条、乙方服务人员管理方案</w:t>
      </w:r>
    </w:p>
    <w:p>
      <w:pPr>
        <w:spacing w:line="440" w:lineRule="exact"/>
        <w:ind w:firstLine="240" w:firstLineChars="100"/>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rPr>
        <w:t>1、乙方聘请的员工必须符合《中华人民共和国劳动法》的有关要求，承担员工工资、福利、社保等费用。乙方</w:t>
      </w:r>
      <w:r>
        <w:rPr>
          <w:rFonts w:hint="eastAsia" w:ascii="仿宋_GB2312" w:hAnsi="宋体" w:eastAsia="仿宋_GB2312" w:cs="宋体"/>
          <w:color w:val="auto"/>
          <w:sz w:val="24"/>
          <w:lang w:val="zh-CN" w:bidi="zh-CN"/>
        </w:rPr>
        <w:t>所有工作人员必须及时交验个人身份证、健康证等，并按规定要求建立员工人事档案。</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2、不得聘用无健康证明、童工及有劣迹的人员。</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3、乙方应定期组织员工培训，加强礼仪礼节、法制、消防、安全生产基础知识教育。</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4、如果发生工伤及其它安全事故，所有费用及责任全部由乙方承担。</w:t>
      </w:r>
    </w:p>
    <w:p>
      <w:pPr>
        <w:spacing w:line="440" w:lineRule="exact"/>
        <w:jc w:val="left"/>
        <w:rPr>
          <w:rFonts w:ascii="仿宋_GB2312" w:hAnsi="宋体" w:eastAsia="仿宋_GB2312" w:cs="宋体"/>
          <w:b/>
          <w:bCs/>
          <w:color w:val="auto"/>
          <w:sz w:val="24"/>
          <w:lang w:val="zh-CN" w:bidi="zh-CN"/>
        </w:rPr>
      </w:pPr>
    </w:p>
    <w:p>
      <w:pPr>
        <w:spacing w:line="440" w:lineRule="exact"/>
        <w:jc w:val="left"/>
        <w:rPr>
          <w:rFonts w:ascii="仿宋_GB2312" w:hAnsi="宋体" w:eastAsia="仿宋_GB2312" w:cs="宋体"/>
          <w:b/>
          <w:bCs/>
          <w:color w:val="auto"/>
          <w:sz w:val="24"/>
          <w:lang w:val="zh-CN" w:bidi="zh-CN"/>
        </w:rPr>
      </w:pPr>
      <w:r>
        <w:rPr>
          <w:rFonts w:hint="eastAsia" w:ascii="仿宋_GB2312" w:hAnsi="宋体" w:eastAsia="仿宋_GB2312" w:cs="宋体"/>
          <w:b/>
          <w:bCs/>
          <w:color w:val="auto"/>
          <w:sz w:val="24"/>
          <w:lang w:val="zh-CN" w:bidi="zh-CN"/>
        </w:rPr>
        <w:t>第七条、乙方卫生、安全管理方案</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1、各种工具、餐具、容器应及时清洗，并严格进行消毒，同时注意食堂环境卫生，经常清洗，保持干净。</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2、做好厨余垃圾的收集处理，油烟、污水按上级环保部门要求达标无害排放。</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3、做好除“四害”工作，每月一次，建立长效机制。</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4、</w:t>
      </w:r>
      <w:r>
        <w:rPr>
          <w:rFonts w:hint="eastAsia" w:ascii="仿宋_GB2312" w:hAnsi="宋体" w:eastAsia="仿宋_GB2312" w:cs="宋体"/>
          <w:color w:val="auto"/>
          <w:sz w:val="24"/>
          <w:lang w:val="zh-CN" w:bidi="zh-CN"/>
        </w:rPr>
        <w:t>食品留样有专人管理，有专用的样品冷藏柜，有记录可查。</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5、</w:t>
      </w:r>
      <w:r>
        <w:rPr>
          <w:rFonts w:hint="eastAsia" w:ascii="仿宋_GB2312" w:hAnsi="宋体" w:eastAsia="仿宋_GB2312" w:cs="宋体"/>
          <w:color w:val="auto"/>
          <w:sz w:val="24"/>
          <w:lang w:val="zh-CN" w:bidi="zh-CN"/>
        </w:rPr>
        <w:t>乙方应加强防火、防盗、防爆等安全保卫工作，定期检查电源、货源，对易燃物品应妥善使用和保管、确保安全无事故。</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6、</w:t>
      </w:r>
      <w:r>
        <w:rPr>
          <w:rFonts w:hint="eastAsia" w:ascii="仿宋_GB2312" w:hAnsi="宋体" w:eastAsia="仿宋_GB2312" w:cs="宋体"/>
          <w:color w:val="auto"/>
          <w:sz w:val="24"/>
          <w:lang w:val="zh-CN" w:bidi="zh-CN"/>
        </w:rPr>
        <w:t>乙</w:t>
      </w:r>
      <w:r>
        <w:rPr>
          <w:rFonts w:hint="eastAsia" w:ascii="仿宋_GB2312" w:hAnsi="宋体" w:eastAsia="仿宋_GB2312" w:cs="宋体"/>
          <w:color w:val="auto"/>
          <w:spacing w:val="-4"/>
          <w:sz w:val="24"/>
          <w:lang w:val="zh-CN" w:bidi="zh-CN"/>
        </w:rPr>
        <w:t>方必须接受甲方防火、防食物中毒等检查监督，并执行甲方的整改意见。</w:t>
      </w:r>
    </w:p>
    <w:p>
      <w:pPr>
        <w:spacing w:line="440" w:lineRule="exact"/>
        <w:jc w:val="left"/>
        <w:rPr>
          <w:rFonts w:ascii="仿宋_GB2312" w:hAnsi="宋体" w:eastAsia="仿宋_GB2312" w:cs="宋体"/>
          <w:b/>
          <w:bCs/>
          <w:color w:val="auto"/>
          <w:sz w:val="24"/>
          <w:lang w:val="zh-CN" w:bidi="zh-CN"/>
        </w:rPr>
      </w:pPr>
    </w:p>
    <w:p>
      <w:pPr>
        <w:spacing w:line="440" w:lineRule="exact"/>
        <w:jc w:val="left"/>
        <w:rPr>
          <w:rFonts w:ascii="仿宋_GB2312" w:hAnsi="宋体" w:eastAsia="仿宋_GB2312" w:cs="宋体"/>
          <w:b/>
          <w:bCs/>
          <w:color w:val="auto"/>
          <w:sz w:val="24"/>
          <w:lang w:val="zh-CN" w:bidi="zh-CN"/>
        </w:rPr>
      </w:pPr>
      <w:r>
        <w:rPr>
          <w:rFonts w:hint="eastAsia" w:ascii="仿宋_GB2312" w:hAnsi="宋体" w:eastAsia="仿宋_GB2312" w:cs="宋体"/>
          <w:b/>
          <w:bCs/>
          <w:color w:val="auto"/>
          <w:sz w:val="24"/>
          <w:lang w:val="zh-CN" w:bidi="zh-CN"/>
        </w:rPr>
        <w:t>第八条、餐饮服务日常经营管理及服务</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1、乙方确保无一例食物中毒事件。</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2、乙方确保无一例火灾事故。</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3、乙方确保无一例使用过期、腐坏变质原料的情况。</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4、甲方每月统计8栋食堂用餐人数，并考核6栋食堂的经营状况。</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5、乙方在经营管理中若有违反上述第1、2条中任何一条，乙方应承担其全部经济赔偿责任和法律责任，甲方有权终止合同并不退还履约保证金。乙方在经营管理中出现上述第3条，甲方提出书面警告并处罚乙方1000元</w:t>
      </w:r>
      <w:r>
        <w:rPr>
          <w:rFonts w:hint="eastAsia" w:ascii="仿宋_GB2312" w:hAnsi="宋体" w:eastAsia="仿宋_GB2312" w:cs="宋体"/>
          <w:color w:val="auto"/>
          <w:sz w:val="24"/>
          <w:lang w:val="en-US" w:eastAsia="zh-CN" w:bidi="zh-CN"/>
        </w:rPr>
        <w:t>/例</w:t>
      </w:r>
      <w:r>
        <w:rPr>
          <w:rFonts w:hint="eastAsia" w:ascii="仿宋_GB2312" w:hAnsi="宋体" w:eastAsia="仿宋_GB2312" w:cs="宋体"/>
          <w:color w:val="auto"/>
          <w:sz w:val="24"/>
          <w:lang w:val="zh-CN" w:bidi="zh-CN"/>
        </w:rPr>
        <w:t>，乙方同时承担工商、卫生执法部门的处罚。出现上述第3条达到3次的，甲方有权终止合同，同时乙方应承担由此产生的一切损失。</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6、</w:t>
      </w:r>
      <w:r>
        <w:rPr>
          <w:rFonts w:hint="eastAsia" w:ascii="仿宋_GB2312" w:hAnsi="宋体" w:eastAsia="仿宋_GB2312" w:cs="宋体"/>
          <w:color w:val="auto"/>
          <w:sz w:val="24"/>
          <w:lang w:val="zh-CN" w:bidi="zh-CN"/>
        </w:rPr>
        <w:t>乙方在经营食堂期间自负盈亏、其在社会活动中所产生的债权、债务及经济纠纷均由乙方负责，甲方不承担任何责任。</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7、</w:t>
      </w:r>
      <w:r>
        <w:rPr>
          <w:rFonts w:hint="eastAsia" w:ascii="仿宋_GB2312" w:hAnsi="宋体" w:eastAsia="仿宋_GB2312" w:cs="宋体"/>
          <w:color w:val="auto"/>
          <w:sz w:val="24"/>
          <w:lang w:val="zh-CN" w:bidi="zh-CN"/>
        </w:rPr>
        <w:t>食堂食品经营许可证由乙方负责办理。</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8、</w:t>
      </w:r>
      <w:r>
        <w:rPr>
          <w:rFonts w:hint="eastAsia" w:ascii="仿宋_GB2312" w:hAnsi="宋体" w:eastAsia="仿宋_GB2312" w:cs="宋体"/>
          <w:color w:val="auto"/>
          <w:sz w:val="24"/>
          <w:lang w:val="zh-CN" w:bidi="zh-CN"/>
        </w:rPr>
        <w:t>乙方必须按照国家有关安全生产的规定，建立健全食堂餐饮安全管理制度上墙，并报甲方备案后严格执行。</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9、</w:t>
      </w:r>
      <w:r>
        <w:rPr>
          <w:rFonts w:hint="eastAsia" w:ascii="仿宋_GB2312" w:hAnsi="宋体" w:eastAsia="仿宋_GB2312" w:cs="宋体"/>
          <w:color w:val="auto"/>
          <w:sz w:val="24"/>
          <w:lang w:val="zh-CN" w:bidi="zh-CN"/>
        </w:rPr>
        <w:t>乙方应提供形式多样、品种齐全的早、中、晚餐。</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10、</w:t>
      </w:r>
      <w:r>
        <w:rPr>
          <w:rFonts w:hint="eastAsia" w:ascii="仿宋_GB2312" w:hAnsi="宋体" w:eastAsia="仿宋_GB2312" w:cs="宋体"/>
          <w:color w:val="auto"/>
          <w:sz w:val="24"/>
          <w:lang w:val="zh-CN" w:bidi="zh-CN"/>
        </w:rPr>
        <w:t>所有餐具由甲方提供，乙方须每月进行餐具盘点，使用管理中每月的损耗不得超过3%的损耗量，损耗量≥3%部分由乙方在当月补齐。</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11、</w:t>
      </w:r>
      <w:r>
        <w:rPr>
          <w:rFonts w:hint="eastAsia" w:ascii="仿宋_GB2312" w:hAnsi="宋体" w:eastAsia="仿宋_GB2312" w:cs="宋体"/>
          <w:color w:val="auto"/>
          <w:sz w:val="24"/>
          <w:lang w:val="zh-CN" w:bidi="zh-CN"/>
        </w:rPr>
        <w:t>乙方在食堂经营活动中应实行明码标价，合理定价，自觉接受甲方物价监管，不得牟取暴利，否则，甲方有权终止合同且不退还履约保证金。</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12、</w:t>
      </w:r>
      <w:r>
        <w:rPr>
          <w:rFonts w:hint="eastAsia" w:ascii="仿宋_GB2312" w:hAnsi="宋体" w:eastAsia="仿宋_GB2312" w:cs="宋体"/>
          <w:color w:val="auto"/>
          <w:sz w:val="24"/>
          <w:lang w:val="zh-CN" w:bidi="zh-CN"/>
        </w:rPr>
        <w:t>乙方在食堂经营期间要严格执行国家《食品安全法》及甲方有关规定，主动接受甲方和国家食品卫生部门的检查与监督，否则造成的一切后果，乙方应承担其全部赔偿责任，包括政府行政部门的所有罚款和法律责任。</w:t>
      </w:r>
    </w:p>
    <w:p>
      <w:pPr>
        <w:spacing w:line="440" w:lineRule="exact"/>
        <w:ind w:firstLine="240" w:firstLineChars="1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13、</w:t>
      </w:r>
      <w:r>
        <w:rPr>
          <w:rFonts w:hint="eastAsia" w:ascii="仿宋_GB2312" w:hAnsi="宋体" w:eastAsia="仿宋_GB2312" w:cs="宋体"/>
          <w:color w:val="auto"/>
          <w:sz w:val="24"/>
          <w:lang w:val="zh-CN" w:bidi="zh-CN"/>
        </w:rPr>
        <w:t>乙方应接受甲方对食堂的监督管理和每月的考核，对存在问题在规定期限内整改，并将整改情况以书面形式上报甲方。</w:t>
      </w:r>
    </w:p>
    <w:p>
      <w:pPr>
        <w:spacing w:line="440" w:lineRule="exact"/>
        <w:ind w:firstLine="240" w:firstLineChars="100"/>
        <w:jc w:val="left"/>
        <w:rPr>
          <w:rFonts w:ascii="仿宋_GB2312" w:hAnsi="宋体" w:eastAsia="仿宋_GB2312" w:cs="宋体"/>
          <w:color w:val="auto"/>
          <w:sz w:val="24"/>
          <w:lang w:bidi="zh-CN"/>
        </w:rPr>
      </w:pPr>
      <w:r>
        <w:rPr>
          <w:rFonts w:hint="eastAsia" w:ascii="仿宋_GB2312" w:hAnsi="宋体" w:eastAsia="仿宋_GB2312" w:cs="宋体"/>
          <w:color w:val="auto"/>
          <w:sz w:val="24"/>
          <w:lang w:bidi="zh-CN"/>
        </w:rPr>
        <w:t>14、为增加项目盈利点，弥补中餐限价带来的影响，允许乙方在6栋食堂对外经营工作餐（销售价格和甲方商讨后方可售卖）；允许乙方在6栋食堂开设面积不大于20</w:t>
      </w:r>
      <w:r>
        <w:rPr>
          <w:rFonts w:hint="eastAsia" w:ascii="Segoe UI Symbol" w:hAnsi="Segoe UI Symbol" w:eastAsia="Segoe UI Symbol" w:cs="Segoe UI Symbol"/>
          <w:color w:val="auto"/>
          <w:sz w:val="24"/>
          <w:lang w:bidi="zh-CN"/>
        </w:rPr>
        <w:t>㎡</w:t>
      </w:r>
      <w:r>
        <w:rPr>
          <w:rFonts w:hint="eastAsia" w:ascii="仿宋_GB2312" w:hAnsi="仿宋_GB2312" w:eastAsia="仿宋_GB2312" w:cs="仿宋_GB2312"/>
          <w:color w:val="auto"/>
          <w:sz w:val="24"/>
          <w:lang w:bidi="zh-CN"/>
        </w:rPr>
        <w:t>的便利店，所售商品价格低于新</w:t>
      </w:r>
      <w:r>
        <w:rPr>
          <w:rFonts w:hint="eastAsia" w:ascii="仿宋_GB2312" w:hAnsi="宋体" w:eastAsia="仿宋_GB2312" w:cs="宋体"/>
          <w:color w:val="auto"/>
          <w:sz w:val="24"/>
          <w:lang w:bidi="zh-CN"/>
        </w:rPr>
        <w:t>区管委会周边大型超市同样商品价格（特殊商品除外），价格需对外公示，并接受职工监督；允许乙方在6栋食堂开设咖啡吧。</w:t>
      </w:r>
    </w:p>
    <w:p>
      <w:pPr>
        <w:spacing w:line="440" w:lineRule="exact"/>
        <w:ind w:firstLine="240" w:firstLineChars="100"/>
        <w:jc w:val="left"/>
        <w:rPr>
          <w:rFonts w:ascii="仿宋_GB2312" w:hAnsi="宋体" w:eastAsia="仿宋_GB2312" w:cs="宋体"/>
          <w:color w:val="auto"/>
          <w:sz w:val="24"/>
          <w:lang w:bidi="zh-CN"/>
        </w:rPr>
      </w:pPr>
      <w:r>
        <w:rPr>
          <w:rFonts w:hint="eastAsia" w:ascii="仿宋_GB2312" w:hAnsi="宋体" w:eastAsia="仿宋_GB2312" w:cs="宋体"/>
          <w:color w:val="auto"/>
          <w:sz w:val="24"/>
          <w:lang w:bidi="zh-CN"/>
        </w:rPr>
        <w:t>15、在乙方经营期间内，餐饮服务综合考核由两部分组成，一是</w:t>
      </w:r>
      <w:r>
        <w:rPr>
          <w:rFonts w:hint="eastAsia" w:ascii="仿宋_GB2312" w:hAnsi="宋体" w:eastAsia="仿宋_GB2312" w:cs="宋体"/>
          <w:color w:val="auto"/>
          <w:sz w:val="24"/>
          <w:lang w:val="en-US" w:eastAsia="zh-CN" w:bidi="zh-CN"/>
        </w:rPr>
        <w:t>甲方依照《</w:t>
      </w:r>
      <w:r>
        <w:rPr>
          <w:rFonts w:hint="eastAsia" w:ascii="仿宋_GB2312" w:hAnsi="宋体" w:eastAsia="仿宋_GB2312" w:cs="宋体"/>
          <w:color w:val="auto"/>
          <w:sz w:val="24"/>
          <w:lang w:bidi="zh-CN"/>
        </w:rPr>
        <w:t>食堂服务考核管理办法</w:t>
      </w:r>
      <w:r>
        <w:rPr>
          <w:rFonts w:hint="eastAsia" w:ascii="仿宋_GB2312" w:hAnsi="宋体" w:eastAsia="仿宋_GB2312" w:cs="宋体"/>
          <w:color w:val="auto"/>
          <w:sz w:val="24"/>
          <w:lang w:val="en-US" w:eastAsia="zh-CN" w:bidi="zh-CN"/>
        </w:rPr>
        <w:t>》</w:t>
      </w:r>
      <w:r>
        <w:rPr>
          <w:rFonts w:hint="eastAsia" w:ascii="仿宋_GB2312" w:hAnsi="宋体" w:eastAsia="仿宋_GB2312" w:cs="宋体"/>
          <w:color w:val="auto"/>
          <w:sz w:val="24"/>
          <w:lang w:val="en-US" w:bidi="zh-CN"/>
        </w:rPr>
        <w:t>（见附件三）</w:t>
      </w:r>
      <w:r>
        <w:rPr>
          <w:rFonts w:hint="eastAsia" w:ascii="仿宋_GB2312" w:hAnsi="宋体" w:eastAsia="仿宋_GB2312" w:cs="宋体"/>
          <w:color w:val="auto"/>
          <w:sz w:val="24"/>
          <w:lang w:bidi="zh-CN"/>
        </w:rPr>
        <w:t>对乙方</w:t>
      </w:r>
      <w:r>
        <w:rPr>
          <w:rFonts w:hint="eastAsia" w:ascii="仿宋_GB2312" w:hAnsi="宋体" w:eastAsia="仿宋_GB2312" w:cs="宋体"/>
          <w:color w:val="auto"/>
          <w:sz w:val="24"/>
          <w:lang w:val="en-US" w:bidi="zh-CN"/>
        </w:rPr>
        <w:t>日常管理</w:t>
      </w:r>
      <w:r>
        <w:rPr>
          <w:rFonts w:hint="eastAsia" w:ascii="仿宋_GB2312" w:hAnsi="宋体" w:eastAsia="仿宋_GB2312" w:cs="宋体"/>
          <w:color w:val="auto"/>
          <w:sz w:val="24"/>
          <w:lang w:bidi="zh-CN"/>
        </w:rPr>
        <w:t>每月一考核，季度考核得分取本季度三次考核的平均值；二是甲方每季度通过就餐人员的满意度调查问卷</w:t>
      </w:r>
      <w:r>
        <w:rPr>
          <w:rFonts w:hint="eastAsia" w:ascii="仿宋_GB2312" w:hAnsi="宋体" w:eastAsia="仿宋_GB2312" w:cs="宋体"/>
          <w:color w:val="auto"/>
          <w:sz w:val="24"/>
          <w:lang w:val="en-US" w:bidi="zh-CN"/>
        </w:rPr>
        <w:t>（见附件四）</w:t>
      </w:r>
      <w:r>
        <w:rPr>
          <w:rFonts w:hint="eastAsia" w:ascii="仿宋_GB2312" w:hAnsi="宋体" w:eastAsia="仿宋_GB2312" w:cs="宋体"/>
          <w:color w:val="auto"/>
          <w:sz w:val="24"/>
          <w:lang w:bidi="zh-CN"/>
        </w:rPr>
        <w:t>对乙方进行餐饮服务满意率测评；餐饮服务综合考核总分采取百分制，由</w:t>
      </w:r>
      <w:r>
        <w:rPr>
          <w:rFonts w:hint="eastAsia" w:ascii="仿宋_GB2312" w:hAnsi="宋体" w:eastAsia="仿宋_GB2312" w:cs="宋体"/>
          <w:color w:val="auto"/>
          <w:sz w:val="24"/>
          <w:lang w:val="en-US" w:bidi="zh-CN"/>
        </w:rPr>
        <w:t>甲方日常管理考核得分占比40%与</w:t>
      </w:r>
      <w:r>
        <w:rPr>
          <w:rFonts w:hint="eastAsia" w:ascii="仿宋_GB2312" w:hAnsi="宋体" w:eastAsia="仿宋_GB2312" w:cs="宋体"/>
          <w:color w:val="auto"/>
          <w:sz w:val="24"/>
          <w:lang w:bidi="zh-CN"/>
        </w:rPr>
        <w:t>满意度调查问卷得分占比</w:t>
      </w:r>
      <w:r>
        <w:rPr>
          <w:rFonts w:hint="eastAsia" w:ascii="仿宋_GB2312" w:hAnsi="宋体" w:eastAsia="仿宋_GB2312" w:cs="宋体"/>
          <w:color w:val="auto"/>
          <w:sz w:val="24"/>
          <w:lang w:val="en-US" w:bidi="zh-CN"/>
        </w:rPr>
        <w:t>60%两项相加得出，</w:t>
      </w:r>
      <w:r>
        <w:rPr>
          <w:rFonts w:hint="eastAsia" w:ascii="仿宋_GB2312" w:hAnsi="宋体" w:eastAsia="仿宋_GB2312" w:cs="宋体"/>
          <w:color w:val="auto"/>
          <w:sz w:val="24"/>
          <w:lang w:bidi="zh-CN"/>
        </w:rPr>
        <w:t>达到80%（含80%）以上为</w:t>
      </w:r>
      <w:r>
        <w:rPr>
          <w:rFonts w:hint="eastAsia" w:ascii="仿宋_GB2312" w:hAnsi="宋体" w:eastAsia="仿宋_GB2312" w:cs="宋体"/>
          <w:color w:val="auto"/>
          <w:sz w:val="24"/>
          <w:lang w:eastAsia="zh-CN" w:bidi="zh-CN"/>
        </w:rPr>
        <w:t>优秀</w:t>
      </w:r>
      <w:r>
        <w:rPr>
          <w:rFonts w:hint="eastAsia" w:ascii="仿宋_GB2312" w:hAnsi="宋体" w:eastAsia="仿宋_GB2312" w:cs="宋体"/>
          <w:color w:val="auto"/>
          <w:sz w:val="24"/>
          <w:lang w:bidi="zh-CN"/>
        </w:rPr>
        <w:t>。</w:t>
      </w:r>
    </w:p>
    <w:p>
      <w:pPr>
        <w:spacing w:line="440" w:lineRule="exact"/>
        <w:ind w:firstLine="240" w:firstLineChars="100"/>
        <w:jc w:val="left"/>
        <w:rPr>
          <w:rFonts w:ascii="仿宋_GB2312" w:hAnsi="宋体" w:eastAsia="仿宋_GB2312" w:cs="宋体"/>
          <w:color w:val="auto"/>
          <w:sz w:val="24"/>
          <w:lang w:bidi="zh-CN"/>
        </w:rPr>
      </w:pPr>
    </w:p>
    <w:p>
      <w:pPr>
        <w:spacing w:line="440" w:lineRule="exact"/>
        <w:jc w:val="left"/>
        <w:rPr>
          <w:rFonts w:ascii="仿宋_GB2312" w:hAnsi="宋体" w:eastAsia="仿宋_GB2312" w:cs="宋体"/>
          <w:b/>
          <w:bCs/>
          <w:color w:val="auto"/>
          <w:sz w:val="24"/>
          <w:lang w:bidi="zh-CN"/>
        </w:rPr>
      </w:pPr>
      <w:r>
        <w:rPr>
          <w:rFonts w:hint="eastAsia" w:ascii="仿宋_GB2312" w:hAnsi="宋体" w:eastAsia="仿宋_GB2312" w:cs="宋体"/>
          <w:b/>
          <w:bCs/>
          <w:color w:val="auto"/>
          <w:sz w:val="24"/>
          <w:lang w:bidi="zh-CN"/>
        </w:rPr>
        <w:t>第九条、设备管理及水、电、气等费用核算</w:t>
      </w:r>
    </w:p>
    <w:p>
      <w:pPr>
        <w:spacing w:line="440" w:lineRule="exact"/>
        <w:ind w:firstLine="240" w:firstLineChars="100"/>
        <w:jc w:val="left"/>
        <w:rPr>
          <w:rFonts w:hint="eastAsia" w:ascii="仿宋_GB2312" w:hAnsi="宋体" w:eastAsia="仿宋_GB2312" w:cs="宋体"/>
          <w:color w:val="auto"/>
          <w:sz w:val="24"/>
          <w:lang w:val="en-US" w:eastAsia="zh-CN"/>
        </w:rPr>
      </w:pPr>
      <w:r>
        <w:rPr>
          <w:rFonts w:hint="eastAsia" w:ascii="仿宋_GB2312" w:hAnsi="宋体" w:eastAsia="仿宋_GB2312" w:cs="宋体"/>
          <w:color w:val="auto"/>
          <w:sz w:val="24"/>
          <w:lang w:bidi="zh-CN"/>
        </w:rPr>
        <w:t>1、</w:t>
      </w:r>
      <w:r>
        <w:rPr>
          <w:rFonts w:hint="eastAsia" w:ascii="仿宋_GB2312" w:hAnsi="宋体" w:eastAsia="仿宋_GB2312" w:cs="宋体"/>
          <w:color w:val="auto"/>
          <w:sz w:val="24"/>
          <w:lang w:val="en-US" w:eastAsia="zh-CN"/>
        </w:rPr>
        <w:t>甲方提供的所有设备设施均由乙方负责保管、日常保养和维护维修，设备设施由于使用年限问题出现维护维修的，费用由甲方负责承担；设备设施由于使用管理不善出现维护维修的，费用由乙方负责承担。乙方在没有得到甲方书面同意的情况下，不得随意拆除现有设备设施。</w:t>
      </w:r>
    </w:p>
    <w:p>
      <w:pPr>
        <w:spacing w:line="440" w:lineRule="exact"/>
        <w:ind w:firstLine="240" w:firstLineChars="100"/>
        <w:jc w:val="left"/>
        <w:rPr>
          <w:rFonts w:ascii="仿宋_GB2312" w:hAnsi="宋体" w:eastAsia="仿宋_GB2312" w:cs="宋体"/>
          <w:color w:val="auto"/>
          <w:sz w:val="24"/>
          <w:lang w:bidi="zh-CN"/>
        </w:rPr>
      </w:pPr>
      <w:r>
        <w:rPr>
          <w:rFonts w:hint="eastAsia" w:ascii="仿宋_GB2312" w:hAnsi="宋体" w:eastAsia="仿宋_GB2312" w:cs="宋体"/>
          <w:color w:val="auto"/>
          <w:sz w:val="24"/>
          <w:lang w:bidi="zh-CN"/>
        </w:rPr>
        <w:t>2、关于水</w:t>
      </w:r>
      <w:r>
        <w:rPr>
          <w:rFonts w:hint="eastAsia" w:ascii="仿宋_GB2312" w:hAnsi="宋体" w:eastAsia="仿宋_GB2312" w:cs="宋体"/>
          <w:color w:val="auto"/>
          <w:sz w:val="24"/>
          <w:lang w:eastAsia="zh-CN" w:bidi="zh-CN"/>
        </w:rPr>
        <w:t>、</w:t>
      </w:r>
      <w:r>
        <w:rPr>
          <w:rFonts w:hint="eastAsia" w:ascii="仿宋_GB2312" w:hAnsi="宋体" w:eastAsia="仿宋_GB2312" w:cs="宋体"/>
          <w:color w:val="auto"/>
          <w:sz w:val="24"/>
          <w:lang w:bidi="zh-CN"/>
        </w:rPr>
        <w:t>电、燃气、空调费用承担问题。新区６栋食堂和８栋食堂经营场所的水、电、空调费用及厨房水费由甲方承担；６栋和８栋厨房的燃气、电属于生产成本，实行乙方先交，甲方按季补助，标准为上季度厨房实际燃气、电费总数的</w:t>
      </w:r>
      <w:r>
        <w:rPr>
          <w:rFonts w:hint="eastAsia" w:ascii="仿宋_GB2312" w:hAnsi="宋体" w:eastAsia="仿宋_GB2312" w:cs="宋体"/>
          <w:color w:val="auto"/>
          <w:sz w:val="24"/>
          <w:lang w:val="en-US" w:bidi="zh-CN"/>
        </w:rPr>
        <w:t>70</w:t>
      </w:r>
      <w:r>
        <w:rPr>
          <w:rFonts w:hint="eastAsia" w:ascii="仿宋_GB2312" w:hAnsi="宋体" w:eastAsia="仿宋_GB2312" w:cs="宋体"/>
          <w:color w:val="auto"/>
          <w:sz w:val="24"/>
          <w:lang w:bidi="zh-CN"/>
        </w:rPr>
        <w:t>%。乙方负担</w:t>
      </w:r>
      <w:r>
        <w:rPr>
          <w:rFonts w:hint="eastAsia" w:ascii="仿宋_GB2312" w:hAnsi="宋体" w:eastAsia="仿宋_GB2312" w:cs="宋体"/>
          <w:color w:val="auto"/>
          <w:sz w:val="24"/>
          <w:lang w:val="en-US" w:bidi="zh-CN"/>
        </w:rPr>
        <w:t>30%，如果上季度餐厅</w:t>
      </w:r>
      <w:r>
        <w:rPr>
          <w:rFonts w:hint="eastAsia" w:ascii="仿宋_GB2312" w:hAnsi="宋体" w:eastAsia="仿宋_GB2312" w:cs="宋体"/>
          <w:color w:val="auto"/>
          <w:sz w:val="24"/>
          <w:lang w:bidi="zh-CN"/>
        </w:rPr>
        <w:t>季度餐饮服务综合考核为优秀，则甲方以奖励方式补助乙方负担的</w:t>
      </w:r>
      <w:r>
        <w:rPr>
          <w:rFonts w:hint="eastAsia" w:ascii="仿宋_GB2312" w:hAnsi="宋体" w:eastAsia="仿宋_GB2312" w:cs="宋体"/>
          <w:color w:val="auto"/>
          <w:sz w:val="24"/>
          <w:lang w:val="en-US" w:bidi="zh-CN"/>
        </w:rPr>
        <w:t>30%</w:t>
      </w:r>
      <w:r>
        <w:rPr>
          <w:rFonts w:hint="eastAsia" w:ascii="仿宋_GB2312" w:hAnsi="宋体" w:eastAsia="仿宋_GB2312" w:cs="宋体"/>
          <w:color w:val="auto"/>
          <w:sz w:val="24"/>
          <w:lang w:bidi="zh-CN"/>
        </w:rPr>
        <w:t>，如果季度餐饮服务综合考核未达优秀，厨房水、电、天燃气费用由乙方承担</w:t>
      </w:r>
      <w:r>
        <w:rPr>
          <w:rFonts w:hint="eastAsia" w:ascii="仿宋_GB2312" w:hAnsi="宋体" w:eastAsia="仿宋_GB2312" w:cs="宋体"/>
          <w:color w:val="auto"/>
          <w:sz w:val="24"/>
          <w:lang w:val="en-US" w:bidi="zh-CN"/>
        </w:rPr>
        <w:t>30%</w:t>
      </w:r>
      <w:r>
        <w:rPr>
          <w:rFonts w:hint="eastAsia" w:ascii="仿宋_GB2312" w:hAnsi="宋体" w:eastAsia="仿宋_GB2312" w:cs="宋体"/>
          <w:color w:val="auto"/>
          <w:sz w:val="24"/>
          <w:lang w:bidi="zh-CN"/>
        </w:rPr>
        <w:t>，剩余部分由甲方承担。</w:t>
      </w:r>
    </w:p>
    <w:p>
      <w:pPr>
        <w:spacing w:line="440" w:lineRule="exact"/>
        <w:ind w:firstLine="240" w:firstLineChars="100"/>
        <w:jc w:val="left"/>
        <w:rPr>
          <w:rFonts w:ascii="仿宋_GB2312" w:hAnsi="宋体" w:eastAsia="仿宋_GB2312" w:cs="宋体"/>
          <w:color w:val="auto"/>
          <w:sz w:val="24"/>
          <w:lang w:bidi="zh-CN"/>
        </w:rPr>
      </w:pPr>
      <w:r>
        <w:rPr>
          <w:rFonts w:hint="eastAsia" w:ascii="仿宋_GB2312" w:hAnsi="宋体" w:eastAsia="仿宋_GB2312" w:cs="宋体"/>
          <w:color w:val="auto"/>
          <w:sz w:val="24"/>
          <w:lang w:bidi="zh-CN"/>
        </w:rPr>
        <w:t xml:space="preserve"> 3、后期6#栋的设备维护，由乙方负责承担相关费用。</w:t>
      </w:r>
    </w:p>
    <w:p>
      <w:pPr>
        <w:spacing w:line="440" w:lineRule="exact"/>
        <w:rPr>
          <w:rFonts w:ascii="仿宋_GB2312" w:hAnsi="宋体" w:eastAsia="仿宋_GB2312" w:cs="宋体"/>
          <w:b/>
          <w:bCs/>
          <w:color w:val="auto"/>
          <w:sz w:val="24"/>
          <w:lang w:val="zh-CN" w:bidi="zh-CN"/>
        </w:rPr>
      </w:pPr>
    </w:p>
    <w:p>
      <w:pPr>
        <w:spacing w:line="440" w:lineRule="exact"/>
        <w:rPr>
          <w:rFonts w:ascii="仿宋_GB2312" w:hAnsi="宋体" w:eastAsia="仿宋_GB2312" w:cs="宋体"/>
          <w:b/>
          <w:bCs/>
          <w:color w:val="auto"/>
          <w:sz w:val="24"/>
          <w:lang w:val="zh-CN" w:bidi="zh-CN"/>
        </w:rPr>
      </w:pPr>
      <w:r>
        <w:rPr>
          <w:rFonts w:hint="eastAsia" w:ascii="仿宋_GB2312" w:hAnsi="宋体" w:eastAsia="仿宋_GB2312" w:cs="宋体"/>
          <w:b/>
          <w:bCs/>
          <w:color w:val="auto"/>
          <w:sz w:val="24"/>
          <w:lang w:val="zh-CN" w:bidi="zh-CN"/>
        </w:rPr>
        <w:t>第十条、付款</w:t>
      </w:r>
    </w:p>
    <w:p>
      <w:pPr>
        <w:pStyle w:val="2"/>
        <w:spacing w:line="440" w:lineRule="exact"/>
        <w:ind w:firstLine="566" w:firstLineChars="236"/>
        <w:rPr>
          <w:rFonts w:ascii="仿宋_GB2312" w:hAnsi="宋体" w:eastAsia="仿宋_GB2312" w:cs="宋体"/>
          <w:color w:val="auto"/>
          <w:sz w:val="24"/>
          <w:lang w:bidi="zh-CN"/>
        </w:rPr>
      </w:pPr>
      <w:r>
        <w:rPr>
          <w:rFonts w:hint="eastAsia" w:ascii="仿宋_GB2312" w:hAnsi="宋体" w:eastAsia="仿宋_GB2312" w:cs="宋体"/>
          <w:color w:val="auto"/>
          <w:sz w:val="24"/>
          <w:lang w:bidi="zh-CN"/>
        </w:rPr>
        <w:t>对于按照本协议所提供的服务，乙方必须于每月8日前，根据上月实际的餐费与甲方进行对账，经三方确认后乙方开出发票，甲方在收到有效发票三十天内付款。</w:t>
      </w:r>
    </w:p>
    <w:p>
      <w:pPr>
        <w:spacing w:line="440" w:lineRule="exact"/>
        <w:rPr>
          <w:rFonts w:ascii="仿宋_GB2312" w:hAnsi="宋体" w:eastAsia="仿宋_GB2312" w:cs="宋体"/>
          <w:b/>
          <w:bCs/>
          <w:color w:val="auto"/>
          <w:sz w:val="24"/>
          <w:lang w:val="zh-CN" w:bidi="zh-CN"/>
        </w:rPr>
      </w:pPr>
    </w:p>
    <w:p>
      <w:pPr>
        <w:spacing w:line="440" w:lineRule="exact"/>
        <w:rPr>
          <w:rFonts w:ascii="仿宋_GB2312" w:hAnsi="宋体" w:eastAsia="仿宋_GB2312" w:cs="宋体"/>
          <w:b/>
          <w:bCs/>
          <w:color w:val="auto"/>
          <w:sz w:val="24"/>
          <w:lang w:val="zh-CN" w:bidi="zh-CN"/>
        </w:rPr>
      </w:pPr>
      <w:r>
        <w:rPr>
          <w:rFonts w:hint="eastAsia" w:ascii="仿宋_GB2312" w:hAnsi="宋体" w:eastAsia="仿宋_GB2312" w:cs="宋体"/>
          <w:b/>
          <w:bCs/>
          <w:color w:val="auto"/>
          <w:sz w:val="24"/>
          <w:lang w:val="zh-CN" w:bidi="zh-CN"/>
        </w:rPr>
        <w:t>第十一条、违约责任</w:t>
      </w:r>
    </w:p>
    <w:p>
      <w:pPr>
        <w:spacing w:line="440" w:lineRule="exact"/>
        <w:ind w:firstLine="480" w:firstLineChars="200"/>
        <w:jc w:val="left"/>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乙方不得转包、不得经营餐饮服务（含便利店）之外的其它项目。无特殊原因，三方均不得终止合同，否则违约方应支付守约方违约金人民币伍万元整（￥：50000.00元）。若因战争、地震等自然灾害不可抗力原因造成合同终止，三方均不负违约责任。</w:t>
      </w:r>
    </w:p>
    <w:p>
      <w:pPr>
        <w:spacing w:line="440" w:lineRule="exact"/>
        <w:rPr>
          <w:rFonts w:ascii="仿宋_GB2312" w:hAnsi="宋体" w:eastAsia="仿宋_GB2312" w:cs="宋体"/>
          <w:b/>
          <w:bCs/>
          <w:color w:val="auto"/>
          <w:sz w:val="24"/>
          <w:lang w:val="zh-CN" w:bidi="zh-CN"/>
        </w:rPr>
      </w:pPr>
    </w:p>
    <w:p>
      <w:pPr>
        <w:spacing w:line="440" w:lineRule="exact"/>
        <w:rPr>
          <w:rFonts w:ascii="仿宋_GB2312" w:hAnsi="宋体" w:eastAsia="仿宋_GB2312" w:cs="宋体"/>
          <w:b/>
          <w:bCs/>
          <w:color w:val="auto"/>
          <w:sz w:val="24"/>
          <w:lang w:val="zh-CN" w:bidi="zh-CN"/>
        </w:rPr>
      </w:pPr>
      <w:r>
        <w:rPr>
          <w:rFonts w:hint="eastAsia" w:ascii="仿宋_GB2312" w:hAnsi="宋体" w:eastAsia="仿宋_GB2312" w:cs="宋体"/>
          <w:b/>
          <w:bCs/>
          <w:color w:val="auto"/>
          <w:sz w:val="24"/>
          <w:lang w:val="zh-CN" w:bidi="zh-CN"/>
        </w:rPr>
        <w:t>第十二条、不可抗力</w:t>
      </w:r>
    </w:p>
    <w:p>
      <w:pPr>
        <w:spacing w:line="440" w:lineRule="exact"/>
        <w:ind w:firstLine="480" w:firstLineChars="200"/>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甲乙三方的任何一方由于不可抗力原因，不能履行合同时，应及时（5个工作日内）向对方通报不能履行或不能完全履行的理由，并应在（20工作日内）提供证明，经供需三方协商，允许延期履行、部分履行或者解除合同。</w:t>
      </w:r>
    </w:p>
    <w:p>
      <w:pPr>
        <w:spacing w:line="440" w:lineRule="exact"/>
        <w:rPr>
          <w:rFonts w:ascii="仿宋_GB2312" w:hAnsi="宋体" w:eastAsia="仿宋_GB2312" w:cs="宋体"/>
          <w:b/>
          <w:bCs/>
          <w:color w:val="auto"/>
          <w:sz w:val="24"/>
          <w:lang w:val="zh-CN" w:bidi="zh-CN"/>
        </w:rPr>
      </w:pPr>
    </w:p>
    <w:p>
      <w:pPr>
        <w:spacing w:line="440" w:lineRule="exact"/>
        <w:rPr>
          <w:rFonts w:ascii="仿宋_GB2312" w:hAnsi="宋体" w:eastAsia="仿宋_GB2312" w:cs="宋体"/>
          <w:b/>
          <w:bCs/>
          <w:color w:val="auto"/>
          <w:sz w:val="24"/>
          <w:lang w:val="zh-CN" w:bidi="zh-CN"/>
        </w:rPr>
      </w:pPr>
      <w:r>
        <w:rPr>
          <w:rFonts w:hint="eastAsia" w:ascii="仿宋_GB2312" w:hAnsi="宋体" w:eastAsia="仿宋_GB2312" w:cs="宋体"/>
          <w:b/>
          <w:bCs/>
          <w:color w:val="auto"/>
          <w:sz w:val="24"/>
          <w:lang w:val="zh-CN" w:bidi="zh-CN"/>
        </w:rPr>
        <w:t>第十三条、合同争议的解决</w:t>
      </w:r>
    </w:p>
    <w:p>
      <w:pPr>
        <w:spacing w:line="440" w:lineRule="exact"/>
        <w:ind w:firstLine="480" w:firstLineChars="200"/>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凡与本合同有关的争议，三方应通过友好协商解决；协商不成，任何一方有权向甲方所在地人民法院提起诉讼解决。</w:t>
      </w:r>
    </w:p>
    <w:p>
      <w:pPr>
        <w:spacing w:line="440" w:lineRule="exact"/>
        <w:rPr>
          <w:rFonts w:ascii="仿宋_GB2312" w:hAnsi="宋体" w:eastAsia="仿宋_GB2312" w:cs="宋体"/>
          <w:b/>
          <w:bCs/>
          <w:color w:val="auto"/>
          <w:sz w:val="24"/>
          <w:lang w:val="zh-CN" w:bidi="zh-CN"/>
        </w:rPr>
      </w:pPr>
    </w:p>
    <w:p>
      <w:pPr>
        <w:spacing w:line="440" w:lineRule="exact"/>
        <w:rPr>
          <w:rFonts w:ascii="仿宋_GB2312" w:hAnsi="宋体" w:eastAsia="仿宋_GB2312" w:cs="宋体"/>
          <w:b/>
          <w:bCs/>
          <w:color w:val="auto"/>
          <w:sz w:val="24"/>
          <w:lang w:val="zh-CN" w:bidi="zh-CN"/>
        </w:rPr>
      </w:pPr>
      <w:r>
        <w:rPr>
          <w:rFonts w:hint="eastAsia" w:ascii="仿宋_GB2312" w:hAnsi="宋体" w:eastAsia="仿宋_GB2312" w:cs="宋体"/>
          <w:b/>
          <w:bCs/>
          <w:color w:val="auto"/>
          <w:sz w:val="24"/>
          <w:lang w:val="zh-CN" w:bidi="zh-CN"/>
        </w:rPr>
        <w:t>第十四条、合同的变更与终止</w:t>
      </w:r>
    </w:p>
    <w:p>
      <w:pPr>
        <w:spacing w:line="440" w:lineRule="exact"/>
        <w:ind w:firstLine="489" w:firstLineChars="204"/>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1、对本合同的修改与变更，必须经甲、乙、丙三方协商并签署有效书面补充协议才能生效。补充协议与本合同具有同等的法律效力，补充协议与本合同不一致的，以补充协议为准。</w:t>
      </w:r>
    </w:p>
    <w:p>
      <w:pPr>
        <w:spacing w:line="440" w:lineRule="exact"/>
        <w:ind w:firstLine="489" w:firstLineChars="204"/>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2、</w:t>
      </w:r>
      <w:r>
        <w:rPr>
          <w:rFonts w:hint="eastAsia" w:ascii="仿宋_GB2312" w:hAnsi="宋体" w:eastAsia="仿宋_GB2312" w:cs="宋体"/>
          <w:color w:val="auto"/>
          <w:sz w:val="24"/>
          <w:lang w:val="zh-CN" w:bidi="zh-CN"/>
        </w:rPr>
        <w:t>在本合同期内，经甲、乙、丙三方书面签署的协议、甲方发布的谈判文件及乙方递交的谈判相关文件均作为本合同的衍生文件，与本合同具有同等的法律效力。</w:t>
      </w:r>
    </w:p>
    <w:p>
      <w:pPr>
        <w:spacing w:line="440" w:lineRule="exact"/>
        <w:ind w:firstLine="489" w:firstLineChars="204"/>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3、</w:t>
      </w:r>
      <w:r>
        <w:rPr>
          <w:rFonts w:hint="eastAsia" w:ascii="仿宋_GB2312" w:hAnsi="宋体" w:eastAsia="仿宋_GB2312" w:cs="宋体"/>
          <w:color w:val="auto"/>
          <w:sz w:val="24"/>
          <w:lang w:val="zh-CN" w:bidi="zh-CN"/>
        </w:rPr>
        <w:t>本合同附件为本合同的组成部分。与本合同正文具有同等法律效力。若合同附件与合同正文有任何冲突。以合同正文为准.</w:t>
      </w:r>
    </w:p>
    <w:p>
      <w:pPr>
        <w:spacing w:line="440" w:lineRule="exact"/>
        <w:ind w:firstLine="489" w:firstLineChars="204"/>
        <w:rPr>
          <w:rFonts w:ascii="仿宋_GB2312" w:hAnsi="宋体" w:eastAsia="仿宋_GB2312" w:cs="宋体"/>
          <w:color w:val="auto"/>
          <w:sz w:val="24"/>
          <w:lang w:val="zh-CN" w:bidi="zh-CN"/>
        </w:rPr>
      </w:pPr>
      <w:r>
        <w:rPr>
          <w:rFonts w:hint="eastAsia" w:ascii="仿宋_GB2312" w:hAnsi="宋体" w:eastAsia="仿宋_GB2312" w:cs="宋体"/>
          <w:color w:val="auto"/>
          <w:sz w:val="24"/>
          <w:lang w:bidi="zh-CN"/>
        </w:rPr>
        <w:t>4、</w:t>
      </w:r>
      <w:r>
        <w:rPr>
          <w:rFonts w:hint="eastAsia" w:ascii="仿宋_GB2312" w:hAnsi="宋体" w:eastAsia="仿宋_GB2312" w:cs="宋体"/>
          <w:color w:val="auto"/>
          <w:sz w:val="24"/>
          <w:lang w:val="zh-CN" w:bidi="zh-CN"/>
        </w:rPr>
        <w:t>如果未来合同甲方发生变更，在合同主要条款内容不变的前提下，乙方同意与本合同甲方、变更后的甲方签订三方补充协议或新的餐厅经营服务合同，甲方对合同主体的变更不承担任何赔偿及法律责任。</w:t>
      </w:r>
    </w:p>
    <w:p>
      <w:pPr>
        <w:spacing w:line="440" w:lineRule="exact"/>
        <w:ind w:firstLine="489" w:firstLineChars="204"/>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5、合同期满未能续约，乙方必须按时（视签订合同的时间而定）做好食堂管理服务事项交接和相关资料移交工作，按时撤离。如新的餐饮管理公司因故不能按时接盘，应甲方的要求，乙方协助甲方做好餐饮管理工作，直到新的餐饮管理公司接盘为止。</w:t>
      </w:r>
    </w:p>
    <w:p>
      <w:pPr>
        <w:spacing w:line="440" w:lineRule="exact"/>
        <w:ind w:firstLine="489" w:firstLineChars="204"/>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6、乙方应妥善保管、合理使用甲方移交的一切物品，在合同终止或解除后，乙方必须将上述物品、存储物料、服务用房和服务人员服务全部档案资料一并移交给甲方。</w:t>
      </w:r>
    </w:p>
    <w:p>
      <w:pPr>
        <w:spacing w:line="440" w:lineRule="exact"/>
        <w:ind w:firstLine="489" w:firstLineChars="204"/>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7、本合同所涉项目服务期为3年。如乙方在上一合同年度内履约情况良好。则享有在同等条件下（合同主要条款内容不变）与甲方优先续约的权利。</w:t>
      </w:r>
    </w:p>
    <w:p>
      <w:pPr>
        <w:spacing w:line="440" w:lineRule="exact"/>
        <w:rPr>
          <w:rFonts w:ascii="仿宋_GB2312" w:hAnsi="宋体" w:eastAsia="仿宋_GB2312" w:cs="宋体"/>
          <w:b/>
          <w:bCs/>
          <w:color w:val="auto"/>
          <w:sz w:val="24"/>
          <w:lang w:val="en-US" w:bidi="zh-CN"/>
        </w:rPr>
      </w:pPr>
      <w:r>
        <w:rPr>
          <w:rFonts w:hint="eastAsia" w:ascii="仿宋_GB2312" w:hAnsi="宋体" w:eastAsia="仿宋_GB2312" w:cs="宋体"/>
          <w:b/>
          <w:bCs/>
          <w:color w:val="auto"/>
          <w:sz w:val="24"/>
          <w:lang w:val="en-US" w:bidi="zh-CN"/>
        </w:rPr>
        <w:t xml:space="preserve">    </w:t>
      </w:r>
      <w:r>
        <w:rPr>
          <w:rFonts w:hint="eastAsia" w:ascii="仿宋_GB2312" w:hAnsi="宋体" w:eastAsia="仿宋_GB2312" w:cs="宋体"/>
          <w:b w:val="0"/>
          <w:bCs w:val="0"/>
          <w:color w:val="auto"/>
          <w:sz w:val="24"/>
          <w:lang w:val="en-US" w:bidi="zh-CN"/>
        </w:rPr>
        <w:t>8、甲方对乙方的</w:t>
      </w:r>
      <w:r>
        <w:rPr>
          <w:rFonts w:hint="eastAsia" w:ascii="仿宋_GB2312" w:hAnsi="宋体" w:eastAsia="仿宋_GB2312" w:cs="宋体"/>
          <w:color w:val="auto"/>
          <w:sz w:val="24"/>
          <w:lang w:bidi="zh-CN"/>
        </w:rPr>
        <w:t>季度餐饮服务综合考核</w:t>
      </w:r>
      <w:r>
        <w:rPr>
          <w:rFonts w:hint="eastAsia" w:ascii="仿宋_GB2312" w:hAnsi="宋体" w:eastAsia="仿宋_GB2312" w:cs="宋体"/>
          <w:b w:val="0"/>
          <w:bCs w:val="0"/>
          <w:color w:val="auto"/>
          <w:sz w:val="24"/>
          <w:lang w:val="en-US" w:bidi="zh-CN"/>
        </w:rPr>
        <w:t>连续三次达到优秀，甲方将对乙方进行奖励，甲方对乙方的</w:t>
      </w:r>
      <w:r>
        <w:rPr>
          <w:rFonts w:hint="eastAsia" w:ascii="仿宋_GB2312" w:hAnsi="宋体" w:eastAsia="仿宋_GB2312" w:cs="宋体"/>
          <w:color w:val="auto"/>
          <w:sz w:val="24"/>
          <w:lang w:bidi="zh-CN"/>
        </w:rPr>
        <w:t>季度餐饮服务综合考核</w:t>
      </w:r>
      <w:r>
        <w:rPr>
          <w:rFonts w:hint="eastAsia" w:ascii="仿宋_GB2312" w:hAnsi="宋体" w:eastAsia="仿宋_GB2312" w:cs="宋体"/>
          <w:b w:val="0"/>
          <w:bCs w:val="0"/>
          <w:color w:val="auto"/>
          <w:sz w:val="24"/>
          <w:lang w:val="en-US" w:bidi="zh-CN"/>
        </w:rPr>
        <w:t>连续三次未达到优秀，甲方有权终止本合同。</w:t>
      </w:r>
    </w:p>
    <w:p>
      <w:pPr>
        <w:spacing w:line="440" w:lineRule="exact"/>
        <w:rPr>
          <w:rFonts w:ascii="仿宋_GB2312" w:hAnsi="宋体" w:eastAsia="仿宋_GB2312" w:cs="宋体"/>
          <w:b/>
          <w:bCs/>
          <w:color w:val="auto"/>
          <w:sz w:val="24"/>
          <w:lang w:val="zh-CN" w:bidi="zh-CN"/>
        </w:rPr>
      </w:pPr>
      <w:r>
        <w:rPr>
          <w:rFonts w:hint="eastAsia" w:ascii="仿宋_GB2312" w:hAnsi="宋体" w:eastAsia="仿宋_GB2312" w:cs="宋体"/>
          <w:b/>
          <w:bCs/>
          <w:color w:val="auto"/>
          <w:sz w:val="24"/>
          <w:lang w:val="zh-CN" w:bidi="zh-CN"/>
        </w:rPr>
        <w:t>第十五条、协议生效</w:t>
      </w:r>
    </w:p>
    <w:p>
      <w:pPr>
        <w:spacing w:line="440" w:lineRule="exact"/>
        <w:ind w:firstLine="480" w:firstLineChars="200"/>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本协议自</w:t>
      </w:r>
      <w:r>
        <w:rPr>
          <w:rFonts w:hint="eastAsia" w:ascii="仿宋_GB2312" w:hAnsi="宋体" w:eastAsia="仿宋_GB2312" w:cs="宋体"/>
          <w:color w:val="auto"/>
          <w:sz w:val="24"/>
          <w:u w:val="single"/>
          <w:lang w:val="zh-CN" w:bidi="zh-CN"/>
        </w:rPr>
        <w:t>三方签字盖章后</w:t>
      </w:r>
      <w:r>
        <w:rPr>
          <w:rFonts w:hint="eastAsia" w:ascii="仿宋_GB2312" w:hAnsi="宋体" w:eastAsia="仿宋_GB2312" w:cs="宋体"/>
          <w:color w:val="auto"/>
          <w:sz w:val="24"/>
          <w:lang w:val="zh-CN" w:bidi="zh-CN"/>
        </w:rPr>
        <w:t>生效。</w:t>
      </w:r>
    </w:p>
    <w:p>
      <w:pPr>
        <w:spacing w:line="440" w:lineRule="exact"/>
        <w:rPr>
          <w:rFonts w:ascii="仿宋_GB2312" w:hAnsi="宋体" w:eastAsia="仿宋_GB2312" w:cs="宋体"/>
          <w:b/>
          <w:bCs/>
          <w:color w:val="auto"/>
          <w:sz w:val="24"/>
          <w:lang w:val="zh-CN" w:bidi="zh-CN"/>
        </w:rPr>
      </w:pPr>
    </w:p>
    <w:p>
      <w:pPr>
        <w:spacing w:line="440" w:lineRule="exact"/>
        <w:rPr>
          <w:rFonts w:ascii="仿宋_GB2312" w:hAnsi="宋体" w:eastAsia="仿宋_GB2312" w:cs="宋体"/>
          <w:b/>
          <w:bCs/>
          <w:color w:val="auto"/>
          <w:sz w:val="24"/>
          <w:lang w:val="zh-CN" w:bidi="zh-CN"/>
        </w:rPr>
      </w:pPr>
      <w:r>
        <w:rPr>
          <w:rFonts w:hint="eastAsia" w:ascii="仿宋_GB2312" w:hAnsi="宋体" w:eastAsia="仿宋_GB2312" w:cs="宋体"/>
          <w:b/>
          <w:bCs/>
          <w:color w:val="auto"/>
          <w:sz w:val="24"/>
          <w:lang w:val="zh-CN" w:bidi="zh-CN"/>
        </w:rPr>
        <w:t>第十六条、协议份数</w:t>
      </w:r>
    </w:p>
    <w:p>
      <w:pPr>
        <w:spacing w:line="440" w:lineRule="exact"/>
        <w:ind w:firstLine="480" w:firstLineChars="200"/>
        <w:rPr>
          <w:rFonts w:ascii="仿宋_GB2312" w:hAnsi="宋体" w:eastAsia="仿宋_GB2312" w:cs="宋体"/>
          <w:color w:val="auto"/>
          <w:sz w:val="24"/>
          <w:lang w:val="zh-CN" w:bidi="zh-CN"/>
        </w:rPr>
      </w:pPr>
      <w:r>
        <w:rPr>
          <w:rFonts w:hint="eastAsia" w:ascii="仿宋_GB2312" w:hAnsi="宋体" w:eastAsia="仿宋_GB2312" w:cs="宋体"/>
          <w:color w:val="auto"/>
          <w:sz w:val="24"/>
          <w:lang w:val="zh-CN" w:bidi="zh-CN"/>
        </w:rPr>
        <w:t>本协议一式</w:t>
      </w:r>
      <w:r>
        <w:rPr>
          <w:rFonts w:hint="eastAsia" w:ascii="仿宋_GB2312" w:hAnsi="宋体" w:eastAsia="仿宋_GB2312" w:cs="宋体"/>
          <w:color w:val="auto"/>
          <w:sz w:val="24"/>
          <w:u w:val="single"/>
          <w:lang w:val="zh-CN" w:bidi="zh-CN"/>
        </w:rPr>
        <w:t>陆</w:t>
      </w:r>
      <w:r>
        <w:rPr>
          <w:rFonts w:hint="eastAsia" w:ascii="仿宋_GB2312" w:hAnsi="宋体" w:eastAsia="仿宋_GB2312" w:cs="宋体"/>
          <w:color w:val="auto"/>
          <w:sz w:val="24"/>
          <w:lang w:val="zh-CN" w:bidi="zh-CN"/>
        </w:rPr>
        <w:t>份，甲乙丙方各执</w:t>
      </w:r>
      <w:r>
        <w:rPr>
          <w:rFonts w:hint="eastAsia" w:ascii="仿宋_GB2312" w:hAnsi="宋体" w:eastAsia="仿宋_GB2312" w:cs="宋体"/>
          <w:color w:val="auto"/>
          <w:sz w:val="24"/>
          <w:u w:val="single"/>
          <w:lang w:val="zh-CN" w:bidi="zh-CN"/>
        </w:rPr>
        <w:t>贰</w:t>
      </w:r>
      <w:r>
        <w:rPr>
          <w:rFonts w:hint="eastAsia" w:ascii="仿宋_GB2312" w:hAnsi="宋体" w:eastAsia="仿宋_GB2312" w:cs="宋体"/>
          <w:color w:val="auto"/>
          <w:sz w:val="24"/>
          <w:lang w:val="zh-CN" w:bidi="zh-CN"/>
        </w:rPr>
        <w:t>份，每份协议均具有同等法律效力。</w:t>
      </w:r>
    </w:p>
    <w:p>
      <w:pPr>
        <w:spacing w:line="420" w:lineRule="exact"/>
        <w:rPr>
          <w:rFonts w:ascii="仿宋_GB2312" w:hAnsi="宋体" w:eastAsia="仿宋_GB2312" w:cs="宋体"/>
          <w:color w:val="auto"/>
          <w:sz w:val="24"/>
          <w:lang w:bidi="zh-CN"/>
        </w:rPr>
      </w:pPr>
    </w:p>
    <w:tbl>
      <w:tblPr>
        <w:tblStyle w:val="13"/>
        <w:tblW w:w="8823" w:type="dxa"/>
        <w:tblInd w:w="108" w:type="dxa"/>
        <w:tblLayout w:type="fixed"/>
        <w:tblCellMar>
          <w:top w:w="0" w:type="dxa"/>
          <w:left w:w="108" w:type="dxa"/>
          <w:bottom w:w="0" w:type="dxa"/>
          <w:right w:w="108" w:type="dxa"/>
        </w:tblCellMar>
      </w:tblPr>
      <w:tblGrid>
        <w:gridCol w:w="3861"/>
        <w:gridCol w:w="4962"/>
      </w:tblGrid>
      <w:tr>
        <w:tblPrEx>
          <w:tblLayout w:type="fixed"/>
          <w:tblCellMar>
            <w:top w:w="0" w:type="dxa"/>
            <w:left w:w="108" w:type="dxa"/>
            <w:bottom w:w="0" w:type="dxa"/>
            <w:right w:w="108" w:type="dxa"/>
          </w:tblCellMar>
        </w:tblPrEx>
        <w:trPr>
          <w:cantSplit/>
          <w:trHeight w:val="3220" w:hRule="atLeast"/>
        </w:trPr>
        <w:tc>
          <w:tcPr>
            <w:tcW w:w="3861" w:type="dxa"/>
          </w:tcPr>
          <w:p>
            <w:pPr>
              <w:adjustRightInd w:val="0"/>
              <w:snapToGrid w:val="0"/>
              <w:rPr>
                <w:rFonts w:ascii="仿宋_GB2312" w:hAnsi="宋体" w:eastAsia="仿宋_GB2312" w:cs="宋体"/>
                <w:color w:val="auto"/>
                <w:spacing w:val="-12"/>
                <w:sz w:val="24"/>
              </w:rPr>
            </w:pPr>
            <w:r>
              <w:rPr>
                <w:rFonts w:hint="eastAsia" w:ascii="仿宋_GB2312" w:hAnsi="宋体" w:eastAsia="仿宋_GB2312" w:cs="宋体"/>
                <w:color w:val="auto"/>
                <w:spacing w:val="-12"/>
                <w:sz w:val="24"/>
              </w:rPr>
              <w:t>甲方(盖章)：湖南湘江新区管理委员会</w:t>
            </w:r>
          </w:p>
          <w:p>
            <w:pPr>
              <w:adjustRightInd w:val="0"/>
              <w:snapToGrid w:val="0"/>
              <w:spacing w:line="600" w:lineRule="exact"/>
              <w:rPr>
                <w:rFonts w:ascii="仿宋_GB2312" w:hAnsi="宋体" w:eastAsia="仿宋_GB2312" w:cs="宋体"/>
                <w:color w:val="auto"/>
                <w:sz w:val="24"/>
              </w:rPr>
            </w:pPr>
            <w:r>
              <w:rPr>
                <w:rFonts w:hint="eastAsia" w:ascii="仿宋_GB2312" w:hAnsi="宋体" w:eastAsia="仿宋_GB2312" w:cs="宋体"/>
                <w:color w:val="auto"/>
                <w:sz w:val="24"/>
              </w:rPr>
              <w:t>法定代表人：</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rPr>
                <w:rFonts w:ascii="仿宋_GB2312" w:hAnsi="宋体" w:eastAsia="仿宋_GB2312" w:cs="宋体"/>
                <w:color w:val="auto"/>
                <w:sz w:val="24"/>
              </w:rPr>
            </w:pPr>
            <w:r>
              <w:rPr>
                <w:rFonts w:hint="eastAsia" w:ascii="仿宋_GB2312" w:hAnsi="宋体" w:eastAsia="仿宋_GB2312" w:cs="宋体"/>
                <w:color w:val="auto"/>
                <w:sz w:val="24"/>
              </w:rPr>
              <w:t>委托代理人：</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rPr>
                <w:rFonts w:ascii="仿宋_GB2312" w:hAnsi="宋体" w:eastAsia="仿宋_GB2312" w:cs="宋体"/>
                <w:color w:val="auto"/>
                <w:sz w:val="24"/>
                <w:u w:val="single"/>
              </w:rPr>
            </w:pPr>
            <w:r>
              <w:rPr>
                <w:rFonts w:hint="eastAsia" w:ascii="仿宋_GB2312" w:hAnsi="宋体" w:eastAsia="仿宋_GB2312" w:cs="宋体"/>
                <w:color w:val="auto"/>
                <w:sz w:val="24"/>
              </w:rPr>
              <w:t>联系电话：</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rPr>
                <w:rFonts w:ascii="仿宋_GB2312" w:hAnsi="宋体" w:eastAsia="仿宋_GB2312" w:cs="宋体"/>
                <w:color w:val="auto"/>
                <w:sz w:val="24"/>
              </w:rPr>
            </w:pPr>
            <w:r>
              <w:rPr>
                <w:rFonts w:hint="eastAsia" w:ascii="仿宋_GB2312" w:hAnsi="宋体" w:eastAsia="仿宋_GB2312" w:cs="宋体"/>
                <w:color w:val="auto"/>
                <w:sz w:val="24"/>
              </w:rPr>
              <w:t>单位地址：</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tc>
        <w:tc>
          <w:tcPr>
            <w:tcW w:w="4962" w:type="dxa"/>
          </w:tcPr>
          <w:p>
            <w:pPr>
              <w:adjustRightInd w:val="0"/>
              <w:snapToGrid w:val="0"/>
              <w:ind w:firstLine="8" w:firstLineChars="4"/>
              <w:rPr>
                <w:rFonts w:ascii="仿宋_GB2312" w:hAnsi="宋体" w:eastAsia="仿宋_GB2312" w:cs="宋体"/>
                <w:color w:val="auto"/>
                <w:spacing w:val="-11"/>
                <w:sz w:val="24"/>
              </w:rPr>
            </w:pPr>
            <w:r>
              <w:rPr>
                <w:rFonts w:hint="eastAsia" w:ascii="仿宋_GB2312" w:hAnsi="宋体" w:eastAsia="仿宋_GB2312" w:cs="宋体"/>
                <w:color w:val="auto"/>
                <w:spacing w:val="-11"/>
                <w:sz w:val="24"/>
              </w:rPr>
              <w:t>乙方(盖章)：长沙华逸府餐饮文化传播有限公司</w:t>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法定代表人：</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委托代理人：</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u w:val="single"/>
              </w:rPr>
            </w:pPr>
            <w:r>
              <w:rPr>
                <w:rFonts w:hint="eastAsia" w:ascii="仿宋_GB2312" w:hAnsi="宋体" w:eastAsia="仿宋_GB2312" w:cs="宋体"/>
                <w:color w:val="auto"/>
                <w:sz w:val="24"/>
              </w:rPr>
              <w:t>联系电话：</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u w:val="single"/>
              </w:rPr>
            </w:pPr>
            <w:r>
              <w:rPr>
                <w:rFonts w:hint="eastAsia" w:ascii="仿宋_GB2312" w:hAnsi="宋体" w:eastAsia="仿宋_GB2312" w:cs="宋体"/>
                <w:color w:val="auto"/>
                <w:sz w:val="24"/>
              </w:rPr>
              <w:t>单位地址：</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tc>
      </w:tr>
      <w:tr>
        <w:tblPrEx>
          <w:tblLayout w:type="fixed"/>
          <w:tblCellMar>
            <w:top w:w="0" w:type="dxa"/>
            <w:left w:w="108" w:type="dxa"/>
            <w:bottom w:w="0" w:type="dxa"/>
            <w:right w:w="108" w:type="dxa"/>
          </w:tblCellMar>
        </w:tblPrEx>
        <w:trPr>
          <w:cantSplit/>
          <w:trHeight w:val="2674" w:hRule="atLeast"/>
        </w:trPr>
        <w:tc>
          <w:tcPr>
            <w:tcW w:w="3861" w:type="dxa"/>
          </w:tcPr>
          <w:p>
            <w:pPr>
              <w:adjustRightInd w:val="0"/>
              <w:snapToGrid w:val="0"/>
              <w:rPr>
                <w:rFonts w:ascii="仿宋_GB2312" w:hAnsi="宋体" w:eastAsia="仿宋_GB2312" w:cs="宋体"/>
                <w:color w:val="auto"/>
                <w:sz w:val="24"/>
              </w:rPr>
            </w:pPr>
          </w:p>
        </w:tc>
        <w:tc>
          <w:tcPr>
            <w:tcW w:w="4962" w:type="dxa"/>
          </w:tcPr>
          <w:p>
            <w:pPr>
              <w:adjustRightInd w:val="0"/>
              <w:snapToGrid w:val="0"/>
              <w:ind w:firstLine="8" w:firstLineChars="4"/>
              <w:rPr>
                <w:rFonts w:ascii="仿宋_GB2312" w:hAnsi="宋体" w:eastAsia="仿宋_GB2312" w:cs="宋体"/>
                <w:color w:val="auto"/>
                <w:spacing w:val="-11"/>
                <w:sz w:val="24"/>
              </w:rPr>
            </w:pPr>
            <w:r>
              <w:rPr>
                <w:rFonts w:hint="eastAsia" w:ascii="仿宋_GB2312" w:hAnsi="宋体" w:eastAsia="仿宋_GB2312" w:cs="宋体"/>
                <w:color w:val="auto"/>
                <w:spacing w:val="-11"/>
                <w:sz w:val="24"/>
              </w:rPr>
              <w:t>丙方（盖章）：湖南四建华银工程有限公司</w:t>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法定代表人：</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委托代理人：</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z w:val="24"/>
              </w:rPr>
            </w:pPr>
            <w:r>
              <w:rPr>
                <w:rFonts w:hint="eastAsia" w:ascii="仿宋_GB2312" w:hAnsi="宋体" w:eastAsia="仿宋_GB2312" w:cs="宋体"/>
                <w:color w:val="auto"/>
                <w:sz w:val="24"/>
              </w:rPr>
              <w:t>联系电话：</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p>
            <w:pPr>
              <w:adjustRightInd w:val="0"/>
              <w:snapToGrid w:val="0"/>
              <w:spacing w:line="600" w:lineRule="exact"/>
              <w:ind w:firstLine="9" w:firstLineChars="4"/>
              <w:rPr>
                <w:rFonts w:ascii="仿宋_GB2312" w:hAnsi="宋体" w:eastAsia="仿宋_GB2312" w:cs="宋体"/>
                <w:color w:val="auto"/>
                <w:spacing w:val="-11"/>
                <w:sz w:val="24"/>
              </w:rPr>
            </w:pPr>
            <w:r>
              <w:rPr>
                <w:rFonts w:hint="eastAsia" w:ascii="仿宋_GB2312" w:hAnsi="宋体" w:eastAsia="仿宋_GB2312" w:cs="宋体"/>
                <w:color w:val="auto"/>
                <w:sz w:val="24"/>
              </w:rPr>
              <w:t>单位地址：</w:t>
            </w:r>
            <w:r>
              <w:rPr>
                <w:rFonts w:hint="eastAsia" w:ascii="仿宋_GB2312" w:hAnsi="宋体" w:eastAsia="仿宋_GB2312" w:cs="宋体"/>
                <w:color w:val="auto"/>
                <w:sz w:val="24"/>
                <w:u w:val="single"/>
              </w:rPr>
              <w:t xml:space="preserve">           </w:t>
            </w:r>
            <w:r>
              <w:rPr>
                <w:rFonts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 xml:space="preserve">       </w:t>
            </w:r>
            <w:r>
              <w:rPr>
                <w:rFonts w:hint="eastAsia" w:ascii="仿宋_GB2312" w:hAnsi="宋体" w:eastAsia="仿宋_GB2312" w:cs="宋体"/>
                <w:color w:val="auto"/>
                <w:sz w:val="24"/>
                <w:u w:val="single"/>
              </w:rPr>
              <w:tab/>
            </w:r>
          </w:p>
        </w:tc>
      </w:tr>
    </w:tbl>
    <w:p>
      <w:pPr>
        <w:spacing w:line="520" w:lineRule="exact"/>
        <w:rPr>
          <w:rFonts w:ascii="仿宋_GB2312" w:eastAsia="仿宋_GB2312"/>
          <w:color w:val="auto"/>
          <w:lang w:val="zh-CN"/>
        </w:rPr>
      </w:pPr>
      <w:r>
        <w:rPr>
          <w:rFonts w:hint="eastAsia" w:ascii="仿宋_GB2312" w:eastAsia="仿宋_GB2312"/>
          <w:color w:val="auto"/>
          <w:lang w:val="zh-CN"/>
        </w:rPr>
        <w:br w:type="page"/>
      </w:r>
    </w:p>
    <w:p>
      <w:pPr>
        <w:spacing w:line="360" w:lineRule="auto"/>
        <w:rPr>
          <w:rFonts w:ascii="仿宋_GB2312" w:eastAsia="仿宋_GB2312" w:hAnsiTheme="minorEastAsia" w:cstheme="minorEastAsia"/>
          <w:b/>
          <w:bCs/>
          <w:color w:val="auto"/>
          <w:sz w:val="24"/>
        </w:rPr>
      </w:pPr>
      <w:r>
        <w:rPr>
          <w:rFonts w:hint="eastAsia" w:ascii="仿宋_GB2312" w:eastAsia="仿宋_GB2312" w:hAnsiTheme="minorEastAsia" w:cstheme="minorEastAsia"/>
          <w:b/>
          <w:bCs/>
          <w:color w:val="auto"/>
          <w:sz w:val="24"/>
        </w:rPr>
        <w:t>附件一：</w:t>
      </w:r>
    </w:p>
    <w:p>
      <w:pPr>
        <w:spacing w:line="360" w:lineRule="auto"/>
        <w:jc w:val="center"/>
        <w:rPr>
          <w:rFonts w:ascii="仿宋_GB2312" w:eastAsia="仿宋_GB2312" w:hAnsiTheme="minorEastAsia" w:cstheme="minorEastAsia"/>
          <w:b/>
          <w:bCs/>
          <w:color w:val="auto"/>
          <w:sz w:val="24"/>
        </w:rPr>
      </w:pPr>
      <w:r>
        <w:rPr>
          <w:rFonts w:hint="eastAsia" w:ascii="仿宋_GB2312" w:eastAsia="仿宋_GB2312" w:hAnsiTheme="minorEastAsia" w:cstheme="minorEastAsia"/>
          <w:b/>
          <w:bCs/>
          <w:color w:val="auto"/>
          <w:sz w:val="24"/>
        </w:rPr>
        <w:t>《湖南湘江新区管理委员会食堂经营权招标政府采购合同协议书》</w:t>
      </w:r>
    </w:p>
    <w:p>
      <w:pPr>
        <w:spacing w:line="360" w:lineRule="auto"/>
        <w:jc w:val="center"/>
        <w:rPr>
          <w:rFonts w:ascii="仿宋_GB2312" w:eastAsia="仿宋_GB2312" w:hAnsiTheme="minorEastAsia" w:cstheme="minorEastAsia"/>
          <w:b/>
          <w:bCs/>
          <w:color w:val="auto"/>
          <w:sz w:val="24"/>
        </w:rPr>
      </w:pPr>
      <w:r>
        <w:rPr>
          <w:rFonts w:hint="eastAsia" w:ascii="仿宋_GB2312" w:eastAsia="仿宋_GB2312" w:hAnsiTheme="minorEastAsia" w:cstheme="minorEastAsia"/>
          <w:b/>
          <w:bCs/>
          <w:color w:val="auto"/>
          <w:sz w:val="24"/>
        </w:rPr>
        <w:t>履约保证金有关约定的协议</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本履约保证金由合同三方于</w:t>
      </w:r>
      <w:r>
        <w:rPr>
          <w:rFonts w:hint="eastAsia" w:ascii="仿宋_GB2312" w:eastAsia="仿宋_GB2312" w:hAnsiTheme="minorEastAsia" w:cstheme="minorEastAsia"/>
          <w:color w:val="auto"/>
          <w:sz w:val="24"/>
          <w:u w:val="single"/>
        </w:rPr>
        <w:t xml:space="preserve">     </w:t>
      </w:r>
      <w:r>
        <w:rPr>
          <w:rFonts w:hint="eastAsia" w:ascii="仿宋_GB2312" w:eastAsia="仿宋_GB2312" w:hAnsiTheme="minorEastAsia" w:cstheme="minorEastAsia"/>
          <w:color w:val="auto"/>
          <w:sz w:val="24"/>
        </w:rPr>
        <w:t>年</w:t>
      </w:r>
      <w:r>
        <w:rPr>
          <w:rFonts w:hint="eastAsia" w:ascii="仿宋_GB2312" w:eastAsia="仿宋_GB2312" w:hAnsiTheme="minorEastAsia" w:cstheme="minorEastAsia"/>
          <w:color w:val="auto"/>
          <w:sz w:val="24"/>
          <w:u w:val="single"/>
        </w:rPr>
        <w:t xml:space="preserve">   </w:t>
      </w:r>
      <w:r>
        <w:rPr>
          <w:rFonts w:hint="eastAsia" w:ascii="仿宋_GB2312" w:eastAsia="仿宋_GB2312" w:hAnsiTheme="minorEastAsia" w:cstheme="minorEastAsia"/>
          <w:color w:val="auto"/>
          <w:sz w:val="24"/>
        </w:rPr>
        <w:t>月</w:t>
      </w:r>
      <w:r>
        <w:rPr>
          <w:rFonts w:hint="eastAsia" w:ascii="仿宋_GB2312" w:eastAsia="仿宋_GB2312" w:hAnsiTheme="minorEastAsia" w:cstheme="minorEastAsia"/>
          <w:color w:val="auto"/>
          <w:sz w:val="24"/>
          <w:u w:val="single"/>
        </w:rPr>
        <w:t xml:space="preserve">   </w:t>
      </w:r>
      <w:r>
        <w:rPr>
          <w:rFonts w:hint="eastAsia" w:ascii="仿宋_GB2312" w:eastAsia="仿宋_GB2312" w:hAnsiTheme="minorEastAsia" w:cstheme="minorEastAsia"/>
          <w:color w:val="auto"/>
          <w:sz w:val="24"/>
        </w:rPr>
        <w:t>日在订立。</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为了明确</w:t>
      </w:r>
      <w:r>
        <w:rPr>
          <w:rFonts w:hint="eastAsia" w:ascii="仿宋_GB2312" w:eastAsia="仿宋_GB2312" w:hAnsiTheme="minorEastAsia" w:cstheme="minorEastAsia"/>
          <w:color w:val="auto"/>
          <w:sz w:val="24"/>
          <w:lang w:eastAsia="zh-CN"/>
        </w:rPr>
        <w:t>三</w:t>
      </w:r>
      <w:r>
        <w:rPr>
          <w:rFonts w:hint="eastAsia" w:ascii="仿宋_GB2312" w:eastAsia="仿宋_GB2312" w:hAnsiTheme="minorEastAsia" w:cstheme="minorEastAsia"/>
          <w:color w:val="auto"/>
          <w:sz w:val="24"/>
        </w:rPr>
        <w:t>方权利、义务，依据《中华人民共和国合同法》及其他有关法律法规规定，甲、乙</w:t>
      </w:r>
      <w:r>
        <w:rPr>
          <w:rFonts w:hint="eastAsia" w:ascii="仿宋_GB2312" w:eastAsia="仿宋_GB2312" w:hAnsiTheme="minorEastAsia" w:cstheme="minorEastAsia"/>
          <w:color w:val="auto"/>
          <w:sz w:val="24"/>
          <w:lang w:eastAsia="zh-CN"/>
        </w:rPr>
        <w:t>、丙三</w:t>
      </w:r>
      <w:r>
        <w:rPr>
          <w:rFonts w:hint="eastAsia" w:ascii="仿宋_GB2312" w:eastAsia="仿宋_GB2312" w:hAnsiTheme="minorEastAsia" w:cstheme="minorEastAsia"/>
          <w:color w:val="auto"/>
          <w:sz w:val="24"/>
        </w:rPr>
        <w:t>方经平等协商一致，订立本合同。</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第一条  鉴于甲方与乙方、丙方于签署了《湖南湘江新区管理委员会食堂经营权招标政府采购合同协议书》，乙方在对合同条款己做明确了解的情况下，为保证其在合同执行过程中承诺的履约义务得到切实履行，愿意按本合同约定向甲方提供履约保证金。</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第二条  履约范围为乙方、丙方未按合同约定履行义务，包括但不限于因乙方、丙方原因其服务质量达不到约定标准时，以及因违反甲乙丙三方签订的《湖南湘江新区管理委员会食堂经营权招标政府采购合同协议书》、《湖南湘江新区管理委员会食堂餐厅服务考核管理办法》的相关约定应向甲方支付的违约金或赔偿的损失；</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第三条  保证金额</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乙方应当在《湖南湘江新区管理委员会食堂经营权招标政府采购合同协议书》签署当天将履约保证金人民币贰万元整转入甲方指定账户：</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户名：</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开户行：</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 xml:space="preserve">账号： </w:t>
      </w:r>
    </w:p>
    <w:p>
      <w:p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此款项甲方无须向乙方支付利息或资金占用费。</w:t>
      </w:r>
    </w:p>
    <w:p>
      <w:pPr>
        <w:numPr>
          <w:ilvl w:val="0"/>
          <w:numId w:val="2"/>
        </w:numPr>
        <w:spacing w:line="46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 xml:space="preserve"> 履约期间自甲、乙三方签订合同生效之日起合同终止。履约期后，履约保证金则由甲方应按约定无息退还履约金给乙方。</w:t>
      </w:r>
    </w:p>
    <w:p>
      <w:pPr>
        <w:spacing w:line="460" w:lineRule="exact"/>
        <w:ind w:left="420" w:leftChars="200"/>
        <w:rPr>
          <w:rFonts w:ascii="仿宋_GB2312" w:eastAsia="仿宋_GB2312" w:hAnsiTheme="minorEastAsia" w:cstheme="minorEastAsia"/>
          <w:color w:val="auto"/>
          <w:sz w:val="24"/>
        </w:rPr>
      </w:pPr>
    </w:p>
    <w:tbl>
      <w:tblPr>
        <w:tblStyle w:val="13"/>
        <w:tblW w:w="9920" w:type="dxa"/>
        <w:tblInd w:w="-223" w:type="dxa"/>
        <w:tblLayout w:type="fixed"/>
        <w:tblCellMar>
          <w:top w:w="0" w:type="dxa"/>
          <w:left w:w="108" w:type="dxa"/>
          <w:bottom w:w="0" w:type="dxa"/>
          <w:right w:w="108" w:type="dxa"/>
        </w:tblCellMar>
      </w:tblPr>
      <w:tblGrid>
        <w:gridCol w:w="4892"/>
        <w:gridCol w:w="5028"/>
      </w:tblGrid>
      <w:tr>
        <w:tblPrEx>
          <w:tblLayout w:type="fixed"/>
          <w:tblCellMar>
            <w:top w:w="0" w:type="dxa"/>
            <w:left w:w="108" w:type="dxa"/>
            <w:bottom w:w="0" w:type="dxa"/>
            <w:right w:w="108" w:type="dxa"/>
          </w:tblCellMar>
        </w:tblPrEx>
        <w:trPr>
          <w:cantSplit/>
          <w:trHeight w:val="2815" w:hRule="atLeast"/>
        </w:trPr>
        <w:tc>
          <w:tcPr>
            <w:tcW w:w="4892" w:type="dxa"/>
          </w:tcPr>
          <w:p>
            <w:pPr>
              <w:adjustRightInd w:val="0"/>
              <w:snapToGrid w:val="0"/>
              <w:spacing w:beforeLines="50" w:line="360" w:lineRule="auto"/>
              <w:ind w:left="1680" w:hanging="1680" w:hangingChars="700"/>
              <w:jc w:val="left"/>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甲方（盖章）：湖南湘江新区管理委员会</w:t>
            </w:r>
          </w:p>
          <w:p>
            <w:pPr>
              <w:adjustRightInd w:val="0"/>
              <w:snapToGrid w:val="0"/>
              <w:spacing w:beforeLines="50" w:line="360" w:lineRule="auto"/>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法定代表人/委托代理人：</w:t>
            </w:r>
            <w:r>
              <w:rPr>
                <w:rFonts w:hint="eastAsia" w:ascii="仿宋_GB2312" w:eastAsia="仿宋_GB2312" w:hAnsiTheme="minorEastAsia" w:cstheme="minorEastAsia"/>
                <w:color w:val="auto"/>
                <w:sz w:val="24"/>
                <w:u w:val="single"/>
              </w:rPr>
              <w:t xml:space="preserve">            </w:t>
            </w:r>
          </w:p>
          <w:p>
            <w:pPr>
              <w:adjustRightInd w:val="0"/>
              <w:snapToGrid w:val="0"/>
              <w:spacing w:beforeLines="50" w:line="360" w:lineRule="auto"/>
              <w:rPr>
                <w:rFonts w:ascii="仿宋_GB2312" w:eastAsia="仿宋_GB2312" w:hAnsiTheme="minorEastAsia" w:cstheme="minorEastAsia"/>
                <w:color w:val="auto"/>
                <w:sz w:val="24"/>
                <w:u w:val="single"/>
              </w:rPr>
            </w:pPr>
            <w:r>
              <w:rPr>
                <w:rFonts w:hint="eastAsia" w:ascii="仿宋_GB2312" w:eastAsia="仿宋_GB2312" w:hAnsiTheme="minorEastAsia" w:cstheme="minorEastAsia"/>
                <w:color w:val="auto"/>
                <w:sz w:val="24"/>
              </w:rPr>
              <w:t>联系电话：</w:t>
            </w:r>
            <w:r>
              <w:rPr>
                <w:rFonts w:hint="eastAsia" w:ascii="仿宋_GB2312" w:eastAsia="仿宋_GB2312" w:hAnsiTheme="minorEastAsia" w:cstheme="minorEastAsia"/>
                <w:color w:val="auto"/>
                <w:sz w:val="24"/>
                <w:u w:val="single"/>
              </w:rPr>
              <w:t xml:space="preserve">                       </w:t>
            </w:r>
            <w:r>
              <w:rPr>
                <w:rFonts w:hint="eastAsia" w:ascii="仿宋_GB2312" w:eastAsia="仿宋_GB2312" w:hAnsiTheme="minorEastAsia" w:cstheme="minorEastAsia"/>
                <w:color w:val="auto"/>
                <w:sz w:val="24"/>
                <w:u w:val="single"/>
              </w:rPr>
              <w:tab/>
            </w:r>
          </w:p>
          <w:p>
            <w:pPr>
              <w:adjustRightInd w:val="0"/>
              <w:snapToGrid w:val="0"/>
              <w:spacing w:beforeLines="50" w:line="360" w:lineRule="auto"/>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日期：</w:t>
            </w:r>
            <w:r>
              <w:rPr>
                <w:rFonts w:hint="eastAsia" w:ascii="仿宋_GB2312" w:eastAsia="仿宋_GB2312" w:hAnsiTheme="minorEastAsia" w:cstheme="minorEastAsia"/>
                <w:color w:val="auto"/>
                <w:sz w:val="24"/>
                <w:u w:val="single"/>
              </w:rPr>
              <w:t xml:space="preserve">                           </w:t>
            </w:r>
            <w:r>
              <w:rPr>
                <w:rFonts w:hint="eastAsia" w:ascii="仿宋_GB2312" w:eastAsia="仿宋_GB2312" w:hAnsiTheme="minorEastAsia" w:cstheme="minorEastAsia"/>
                <w:color w:val="auto"/>
                <w:sz w:val="24"/>
                <w:u w:val="single"/>
              </w:rPr>
              <w:tab/>
            </w:r>
          </w:p>
        </w:tc>
        <w:tc>
          <w:tcPr>
            <w:tcW w:w="5028" w:type="dxa"/>
          </w:tcPr>
          <w:p>
            <w:pPr>
              <w:adjustRightInd w:val="0"/>
              <w:snapToGrid w:val="0"/>
              <w:spacing w:beforeLines="50" w:line="360" w:lineRule="auto"/>
              <w:ind w:firstLine="8" w:firstLineChars="4"/>
              <w:jc w:val="center"/>
              <w:rPr>
                <w:rFonts w:ascii="仿宋_GB2312" w:eastAsia="仿宋_GB2312" w:hAnsiTheme="minorEastAsia" w:cstheme="minorEastAsia"/>
                <w:color w:val="auto"/>
                <w:spacing w:val="-11"/>
                <w:sz w:val="24"/>
              </w:rPr>
            </w:pPr>
            <w:r>
              <w:rPr>
                <w:rFonts w:hint="eastAsia" w:ascii="仿宋_GB2312" w:eastAsia="仿宋_GB2312" w:hAnsiTheme="minorEastAsia" w:cstheme="minorEastAsia"/>
                <w:color w:val="auto"/>
                <w:spacing w:val="-11"/>
                <w:sz w:val="24"/>
              </w:rPr>
              <w:t>乙方（盖章）：长沙华逸府餐饮文化传播有限公司</w:t>
            </w:r>
          </w:p>
          <w:p>
            <w:pPr>
              <w:adjustRightInd w:val="0"/>
              <w:snapToGrid w:val="0"/>
              <w:spacing w:beforeLines="50" w:line="360" w:lineRule="auto"/>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法定代表人/委托代理人：</w:t>
            </w:r>
            <w:r>
              <w:rPr>
                <w:rFonts w:hint="eastAsia" w:ascii="仿宋_GB2312" w:eastAsia="仿宋_GB2312" w:hAnsiTheme="minorEastAsia" w:cstheme="minorEastAsia"/>
                <w:color w:val="auto"/>
                <w:sz w:val="24"/>
                <w:u w:val="single"/>
              </w:rPr>
              <w:t xml:space="preserve">            </w:t>
            </w:r>
          </w:p>
          <w:p>
            <w:pPr>
              <w:adjustRightInd w:val="0"/>
              <w:snapToGrid w:val="0"/>
              <w:spacing w:beforeLines="50" w:line="360" w:lineRule="auto"/>
              <w:rPr>
                <w:rFonts w:ascii="仿宋_GB2312" w:eastAsia="仿宋_GB2312" w:hAnsiTheme="minorEastAsia" w:cstheme="minorEastAsia"/>
                <w:color w:val="auto"/>
                <w:sz w:val="24"/>
                <w:u w:val="single"/>
              </w:rPr>
            </w:pPr>
            <w:r>
              <w:rPr>
                <w:rFonts w:hint="eastAsia" w:ascii="仿宋_GB2312" w:eastAsia="仿宋_GB2312" w:hAnsiTheme="minorEastAsia" w:cstheme="minorEastAsia"/>
                <w:color w:val="auto"/>
                <w:sz w:val="24"/>
              </w:rPr>
              <w:t>联系电话：</w:t>
            </w:r>
            <w:r>
              <w:rPr>
                <w:rFonts w:hint="eastAsia" w:ascii="仿宋_GB2312" w:eastAsia="仿宋_GB2312" w:hAnsiTheme="minorEastAsia" w:cstheme="minorEastAsia"/>
                <w:color w:val="auto"/>
                <w:sz w:val="24"/>
                <w:u w:val="single"/>
              </w:rPr>
              <w:t xml:space="preserve">                       </w:t>
            </w:r>
            <w:r>
              <w:rPr>
                <w:rFonts w:hint="eastAsia" w:ascii="仿宋_GB2312" w:eastAsia="仿宋_GB2312" w:hAnsiTheme="minorEastAsia" w:cstheme="minorEastAsia"/>
                <w:color w:val="auto"/>
                <w:sz w:val="24"/>
                <w:u w:val="single"/>
              </w:rPr>
              <w:tab/>
            </w:r>
          </w:p>
          <w:p>
            <w:pPr>
              <w:adjustRightInd w:val="0"/>
              <w:snapToGrid w:val="0"/>
              <w:spacing w:beforeLines="50" w:line="360" w:lineRule="auto"/>
              <w:ind w:firstLine="9" w:firstLineChars="4"/>
              <w:rPr>
                <w:rFonts w:ascii="仿宋_GB2312" w:eastAsia="仿宋_GB2312" w:hAnsiTheme="minorEastAsia" w:cstheme="minorEastAsia"/>
                <w:color w:val="auto"/>
                <w:sz w:val="24"/>
                <w:u w:val="single"/>
              </w:rPr>
            </w:pPr>
            <w:r>
              <w:rPr>
                <w:rFonts w:hint="eastAsia" w:ascii="仿宋_GB2312" w:eastAsia="仿宋_GB2312" w:hAnsiTheme="minorEastAsia" w:cstheme="minorEastAsia"/>
                <w:color w:val="auto"/>
                <w:sz w:val="24"/>
              </w:rPr>
              <w:t>日期：</w:t>
            </w:r>
            <w:r>
              <w:rPr>
                <w:rFonts w:hint="eastAsia" w:ascii="仿宋_GB2312" w:eastAsia="仿宋_GB2312" w:hAnsiTheme="minorEastAsia" w:cstheme="minorEastAsia"/>
                <w:color w:val="auto"/>
                <w:sz w:val="24"/>
                <w:u w:val="single"/>
              </w:rPr>
              <w:t xml:space="preserve">                           </w:t>
            </w:r>
            <w:r>
              <w:rPr>
                <w:rFonts w:hint="eastAsia" w:ascii="仿宋_GB2312" w:eastAsia="仿宋_GB2312" w:hAnsiTheme="minorEastAsia" w:cstheme="minorEastAsia"/>
                <w:color w:val="auto"/>
                <w:sz w:val="24"/>
                <w:u w:val="single"/>
              </w:rPr>
              <w:tab/>
            </w:r>
          </w:p>
        </w:tc>
      </w:tr>
    </w:tbl>
    <w:p>
      <w:pPr>
        <w:rPr>
          <w:rFonts w:ascii="仿宋_GB2312" w:eastAsia="仿宋_GB2312" w:hAnsiTheme="minorEastAsia" w:cstheme="minorEastAsia"/>
          <w:b/>
          <w:bCs/>
          <w:color w:val="auto"/>
          <w:sz w:val="24"/>
        </w:rPr>
      </w:pPr>
      <w:r>
        <w:rPr>
          <w:rFonts w:hint="eastAsia" w:ascii="仿宋_GB2312" w:eastAsia="仿宋_GB2312" w:hAnsiTheme="minorEastAsia" w:cstheme="minorEastAsia"/>
          <w:color w:val="auto"/>
          <w:sz w:val="24"/>
        </w:rPr>
        <w:br w:type="page"/>
      </w:r>
      <w:r>
        <w:rPr>
          <w:rFonts w:hint="eastAsia" w:ascii="仿宋_GB2312" w:eastAsia="仿宋_GB2312" w:hAnsiTheme="minorEastAsia" w:cstheme="minorEastAsia"/>
          <w:b/>
          <w:bCs/>
          <w:color w:val="auto"/>
          <w:sz w:val="24"/>
        </w:rPr>
        <w:t>附件二:</w:t>
      </w:r>
    </w:p>
    <w:p>
      <w:pPr>
        <w:spacing w:line="360" w:lineRule="auto"/>
        <w:jc w:val="center"/>
        <w:rPr>
          <w:rFonts w:ascii="仿宋_GB2312" w:eastAsia="仿宋_GB2312" w:hAnsiTheme="minorEastAsia" w:cstheme="minorEastAsia"/>
          <w:b/>
          <w:bCs/>
          <w:color w:val="auto"/>
          <w:sz w:val="28"/>
          <w:szCs w:val="28"/>
        </w:rPr>
      </w:pPr>
      <w:r>
        <w:rPr>
          <w:rFonts w:hint="eastAsia" w:ascii="仿宋_GB2312" w:eastAsia="仿宋_GB2312" w:hAnsiTheme="minorEastAsia" w:cstheme="minorEastAsia"/>
          <w:b/>
          <w:bCs/>
          <w:color w:val="auto"/>
          <w:sz w:val="28"/>
          <w:szCs w:val="28"/>
        </w:rPr>
        <w:t>《湖南湘江新区管理委员会食堂服务考核管理办法》</w:t>
      </w:r>
    </w:p>
    <w:p>
      <w:pPr>
        <w:spacing w:line="420" w:lineRule="exact"/>
        <w:rPr>
          <w:rFonts w:ascii="仿宋_GB2312" w:eastAsia="仿宋_GB2312" w:hAnsiTheme="minorEastAsia" w:cstheme="minorEastAsia"/>
          <w:b/>
          <w:bCs/>
          <w:color w:val="auto"/>
          <w:sz w:val="24"/>
        </w:rPr>
      </w:pPr>
      <w:r>
        <w:rPr>
          <w:rFonts w:hint="eastAsia" w:ascii="仿宋_GB2312" w:eastAsia="仿宋_GB2312" w:hAnsiTheme="minorEastAsia" w:cstheme="minorEastAsia"/>
          <w:b/>
          <w:bCs/>
          <w:color w:val="auto"/>
          <w:sz w:val="24"/>
        </w:rPr>
        <w:t>一、出勤类</w:t>
      </w:r>
    </w:p>
    <w:p>
      <w:pPr>
        <w:spacing w:line="42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合同期内乙方发生缺员、减编、漏报、迟到、早退等情况,因此影响餐厅服务质量的，首次发现，甲方将予以乙方书面警告。再次发现，乙方按每人次100元向甲方支付违约金。</w:t>
      </w:r>
    </w:p>
    <w:p>
      <w:pPr>
        <w:spacing w:line="420" w:lineRule="exact"/>
        <w:rPr>
          <w:rFonts w:ascii="仿宋_GB2312" w:eastAsia="仿宋_GB2312" w:hAnsiTheme="minorEastAsia" w:cstheme="minorEastAsia"/>
          <w:b/>
          <w:bCs/>
          <w:color w:val="auto"/>
          <w:sz w:val="24"/>
        </w:rPr>
      </w:pPr>
      <w:r>
        <w:rPr>
          <w:rFonts w:hint="eastAsia" w:ascii="仿宋_GB2312" w:eastAsia="仿宋_GB2312" w:hAnsiTheme="minorEastAsia" w:cstheme="minorEastAsia"/>
          <w:b/>
          <w:bCs/>
          <w:color w:val="auto"/>
          <w:sz w:val="24"/>
        </w:rPr>
        <w:t>二、日常行为类</w:t>
      </w:r>
    </w:p>
    <w:p>
      <w:pPr>
        <w:spacing w:line="42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1、乙方服务人员未在规定时间内完成员工餐厅服务工作的，首次发现，甲方将予以乙方书面警告。再次发现，乙方按每人次100元向甲方支付违约金。</w:t>
      </w:r>
    </w:p>
    <w:p>
      <w:pPr>
        <w:spacing w:line="42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2、乙方服务人员在非工作时间未按要求关闭电器、门窗的，首次发现，甲方将予以乙方书面警告。再次发现，乙方按每人次100元向甲方支付违约金（该电源开关控制区域内房间有人加班除外）。</w:t>
      </w:r>
    </w:p>
    <w:p>
      <w:pPr>
        <w:spacing w:line="420" w:lineRule="exact"/>
        <w:ind w:firstLine="480" w:firstLineChars="200"/>
        <w:rPr>
          <w:rFonts w:hint="eastAsia" w:ascii="仿宋_GB2312" w:eastAsia="仿宋_GB2312" w:hAnsiTheme="minorEastAsia" w:cstheme="minorEastAsia"/>
          <w:color w:val="auto"/>
          <w:sz w:val="24"/>
          <w:lang w:eastAsia="zh-CN"/>
        </w:rPr>
      </w:pPr>
      <w:r>
        <w:rPr>
          <w:rFonts w:hint="eastAsia" w:ascii="仿宋_GB2312" w:eastAsia="仿宋_GB2312" w:hAnsiTheme="minorEastAsia" w:cstheme="minorEastAsia"/>
          <w:color w:val="auto"/>
          <w:sz w:val="24"/>
        </w:rPr>
        <w:t>3、乙方服务人员工作期间被发现有喝酒、赌博、吸烟、吸毒、打架斗殴、辱骂顾客等违法违规或不文明行为，甲方将予以乙方</w:t>
      </w:r>
      <w:r>
        <w:rPr>
          <w:rFonts w:hint="eastAsia" w:ascii="仿宋_GB2312" w:hAnsi="仿宋_GB2312" w:eastAsia="仿宋_GB2312" w:cs="仿宋_GB2312"/>
          <w:color w:val="auto"/>
          <w:sz w:val="24"/>
        </w:rPr>
        <w:t>按</w:t>
      </w:r>
      <w:r>
        <w:rPr>
          <w:rFonts w:hint="eastAsia" w:ascii="仿宋_GB2312" w:eastAsia="仿宋_GB2312" w:hAnsiTheme="minorEastAsia" w:cstheme="minorEastAsia"/>
          <w:color w:val="auto"/>
          <w:sz w:val="24"/>
        </w:rPr>
        <w:t>1000元</w:t>
      </w:r>
      <w:r>
        <w:rPr>
          <w:rFonts w:hint="eastAsia" w:ascii="仿宋_GB2312" w:eastAsia="仿宋_GB2312" w:hAnsiTheme="minorEastAsia" w:cstheme="minorEastAsia"/>
          <w:color w:val="auto"/>
          <w:sz w:val="24"/>
          <w:lang w:eastAsia="zh-CN"/>
        </w:rPr>
        <w:t>每次</w:t>
      </w:r>
      <w:r>
        <w:rPr>
          <w:rFonts w:hint="eastAsia" w:ascii="仿宋_GB2312" w:eastAsia="仿宋_GB2312" w:hAnsiTheme="minorEastAsia" w:cstheme="minorEastAsia"/>
          <w:color w:val="auto"/>
          <w:sz w:val="24"/>
        </w:rPr>
        <w:t>向甲方支付违约金</w:t>
      </w:r>
      <w:r>
        <w:rPr>
          <w:rFonts w:hint="eastAsia" w:ascii="仿宋_GB2312" w:eastAsia="仿宋_GB2312" w:hAnsiTheme="minorEastAsia" w:cstheme="minorEastAsia"/>
          <w:color w:val="auto"/>
          <w:sz w:val="24"/>
          <w:lang w:eastAsia="zh-CN"/>
        </w:rPr>
        <w:t>，情节严重者将予以开除并交由公安机关处理。</w:t>
      </w:r>
    </w:p>
    <w:p>
      <w:pPr>
        <w:spacing w:line="420" w:lineRule="exact"/>
        <w:ind w:firstLine="480" w:firstLineChars="200"/>
        <w:rPr>
          <w:rFonts w:hint="eastAsia"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4、乙方未在每月28日前向甲方提交下月的员工餐厅服务计划、员工培训（考核）计划、服务员排班表，首次发现，甲方将予以乙方书面警告。再次发现，乙方按每次500元向甲方支付违约金。</w:t>
      </w:r>
    </w:p>
    <w:p>
      <w:pPr>
        <w:pStyle w:val="2"/>
        <w:rPr>
          <w:rFonts w:hint="eastAsia" w:eastAsia="仿宋_GB2312"/>
          <w:color w:val="auto"/>
          <w:sz w:val="24"/>
          <w:szCs w:val="24"/>
          <w:lang w:val="en-US" w:eastAsia="zh-CN"/>
        </w:rPr>
      </w:pPr>
      <w:r>
        <w:rPr>
          <w:rFonts w:hint="eastAsia" w:eastAsia="仿宋_GB2312"/>
          <w:color w:val="auto"/>
          <w:lang w:val="en-US" w:eastAsia="zh-CN"/>
        </w:rPr>
        <w:t xml:space="preserve"> </w:t>
      </w:r>
      <w:r>
        <w:rPr>
          <w:rFonts w:hint="eastAsia" w:eastAsia="仿宋_GB2312"/>
          <w:color w:val="auto"/>
          <w:sz w:val="24"/>
          <w:szCs w:val="24"/>
          <w:lang w:val="en-US" w:eastAsia="zh-CN"/>
        </w:rPr>
        <w:t xml:space="preserve"> 5、乙方未实施食品留样，甲方将予以乙方按2000元每次实施处罚。</w:t>
      </w:r>
    </w:p>
    <w:p>
      <w:pPr>
        <w:spacing w:line="420" w:lineRule="exact"/>
        <w:ind w:firstLine="482" w:firstLineChars="200"/>
        <w:rPr>
          <w:rFonts w:ascii="仿宋_GB2312" w:eastAsia="仿宋_GB2312" w:hAnsiTheme="minorEastAsia" w:cstheme="minorEastAsia"/>
          <w:b/>
          <w:bCs/>
          <w:color w:val="auto"/>
          <w:sz w:val="24"/>
        </w:rPr>
      </w:pPr>
      <w:r>
        <w:rPr>
          <w:rFonts w:hint="eastAsia" w:ascii="仿宋_GB2312" w:eastAsia="仿宋_GB2312" w:hAnsiTheme="minorEastAsia" w:cstheme="minorEastAsia"/>
          <w:b/>
          <w:bCs/>
          <w:color w:val="auto"/>
          <w:sz w:val="24"/>
        </w:rPr>
        <w:t>三、其他类</w:t>
      </w:r>
    </w:p>
    <w:p>
      <w:pPr>
        <w:spacing w:line="420" w:lineRule="exact"/>
        <w:ind w:firstLine="480" w:firstLineChars="200"/>
        <w:rPr>
          <w:rFonts w:ascii="仿宋_GB2312" w:eastAsia="仿宋_GB2312" w:hAnsiTheme="minorEastAsia" w:cstheme="minorEastAsia"/>
          <w:color w:val="auto"/>
          <w:sz w:val="24"/>
          <w:lang w:bidi="zh-CN"/>
        </w:rPr>
      </w:pPr>
      <w:r>
        <w:rPr>
          <w:rFonts w:hint="eastAsia" w:ascii="仿宋_GB2312" w:eastAsia="仿宋_GB2312" w:hAnsiTheme="minorEastAsia" w:cstheme="minorEastAsia"/>
          <w:color w:val="auto"/>
          <w:sz w:val="24"/>
        </w:rPr>
        <w:t>1、乙方需对甲方配置的各类厨房及餐厅设备、家具和装修爱护使用，</w:t>
      </w:r>
      <w:r>
        <w:rPr>
          <w:rFonts w:hint="eastAsia" w:ascii="仿宋_GB2312" w:eastAsia="仿宋_GB2312" w:hAnsiTheme="minorEastAsia" w:cstheme="minorEastAsia"/>
          <w:color w:val="auto"/>
          <w:sz w:val="24"/>
          <w:lang w:bidi="zh-CN"/>
        </w:rPr>
        <w:t>如费用在200元以内由乙方负责承担，费用在200元以上由甲方负责承担。乙方在没有得到甲方书面同意的情况下，不得随意拆除现有设备设施。</w:t>
      </w:r>
    </w:p>
    <w:p>
      <w:pPr>
        <w:spacing w:line="42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2、如发现乙方缺少持证人员，首次发现，甲方将予以乙方书面警告。再次发现，乙方按每次100元向甲方支付违约金，因此产生的行政处罚及其他后果，悉由乙方全部承担。</w:t>
      </w:r>
    </w:p>
    <w:p>
      <w:pPr>
        <w:spacing w:line="42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3、未经甲方同意，擅自将员工餐厅管理服务项目转包（包括转包给第三方或内部承包），乙方按每次50000元向甲方支付违约金。甲方有权解除《湖南湘江新区管理委员会食堂经营权招标政府采购合同协议书》并保留追究乙方相关法律责任的权利。</w:t>
      </w:r>
    </w:p>
    <w:p>
      <w:pPr>
        <w:spacing w:line="420" w:lineRule="exact"/>
        <w:ind w:firstLine="480" w:firstLineChars="200"/>
        <w:rPr>
          <w:rFonts w:ascii="仿宋_GB2312" w:eastAsia="仿宋_GB2312" w:hAnsiTheme="minorEastAsia" w:cstheme="minorEastAsia"/>
          <w:color w:val="auto"/>
          <w:sz w:val="24"/>
        </w:rPr>
      </w:pPr>
      <w:r>
        <w:rPr>
          <w:rFonts w:hint="eastAsia" w:ascii="仿宋_GB2312" w:eastAsia="仿宋_GB2312" w:hAnsiTheme="minorEastAsia" w:cstheme="minorEastAsia"/>
          <w:color w:val="auto"/>
          <w:sz w:val="24"/>
        </w:rPr>
        <w:t>4、未经甲方书面许可，乙方服务人员将甲方物品外借其他单位及个人，若完好归还物品则乙方按被借出物品物价的10%向甲方支付违约金。</w:t>
      </w:r>
    </w:p>
    <w:p>
      <w:pPr>
        <w:spacing w:line="42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lang w:val="zh-CN"/>
        </w:rPr>
        <w:t>5、每日7</w:t>
      </w:r>
      <w:r>
        <w:rPr>
          <w:rFonts w:hint="eastAsia" w:ascii="仿宋_GB2312" w:eastAsia="仿宋_GB2312" w:hAnsiTheme="minorEastAsia" w:cstheme="minorEastAsia"/>
          <w:color w:val="auto"/>
          <w:sz w:val="24"/>
        </w:rPr>
        <w:t xml:space="preserve">:30-8:50, </w:t>
      </w:r>
      <w:r>
        <w:rPr>
          <w:rFonts w:hint="eastAsia" w:ascii="仿宋_GB2312" w:eastAsia="仿宋_GB2312" w:hAnsiTheme="minorEastAsia" w:cstheme="minorEastAsia"/>
          <w:color w:val="auto"/>
          <w:sz w:val="24"/>
          <w:lang w:val="zh-CN"/>
        </w:rPr>
        <w:t>1</w:t>
      </w:r>
      <w:r>
        <w:rPr>
          <w:rFonts w:hint="eastAsia" w:ascii="仿宋_GB2312" w:eastAsia="仿宋_GB2312" w:hAnsiTheme="minorEastAsia" w:cstheme="minorEastAsia"/>
          <w:color w:val="auto"/>
          <w:sz w:val="24"/>
        </w:rPr>
        <w:t>2:00-13:00、</w:t>
      </w:r>
      <w:r>
        <w:rPr>
          <w:rFonts w:hint="eastAsia" w:ascii="仿宋_GB2312" w:eastAsia="仿宋_GB2312" w:hAnsiTheme="minorEastAsia" w:cstheme="minorEastAsia"/>
          <w:color w:val="auto"/>
          <w:sz w:val="24"/>
          <w:lang w:val="zh-CN"/>
        </w:rPr>
        <w:t>17:00</w:t>
      </w:r>
      <w:r>
        <w:rPr>
          <w:rFonts w:hint="eastAsia" w:ascii="仿宋_GB2312" w:eastAsia="仿宋_GB2312" w:hAnsiTheme="minorEastAsia" w:cstheme="minorEastAsia"/>
          <w:color w:val="auto"/>
          <w:sz w:val="24"/>
        </w:rPr>
        <w:t>-</w:t>
      </w:r>
      <w:r>
        <w:rPr>
          <w:rFonts w:hint="eastAsia" w:ascii="仿宋_GB2312" w:eastAsia="仿宋_GB2312" w:hAnsiTheme="minorEastAsia" w:cstheme="minorEastAsia"/>
          <w:color w:val="auto"/>
          <w:sz w:val="24"/>
          <w:lang w:val="zh-CN"/>
        </w:rPr>
        <w:t>19:00时段内，乙方保证甲方员工优先用餐。</w:t>
      </w:r>
    </w:p>
    <w:p>
      <w:pPr>
        <w:spacing w:line="420" w:lineRule="exact"/>
        <w:ind w:firstLine="480" w:firstLineChars="200"/>
        <w:rPr>
          <w:rFonts w:ascii="仿宋_GB2312" w:eastAsia="仿宋_GB2312" w:hAnsiTheme="minorEastAsia" w:cstheme="minorEastAsia"/>
          <w:color w:val="auto"/>
        </w:rPr>
      </w:pPr>
      <w:r>
        <w:rPr>
          <w:rFonts w:hint="eastAsia" w:ascii="仿宋_GB2312" w:eastAsia="仿宋_GB2312" w:hAnsiTheme="minorEastAsia" w:cstheme="minorEastAsia"/>
          <w:color w:val="auto"/>
          <w:sz w:val="24"/>
        </w:rPr>
        <w:t>6、</w:t>
      </w:r>
      <w:r>
        <w:rPr>
          <w:rFonts w:hint="eastAsia" w:ascii="仿宋_GB2312" w:eastAsia="仿宋_GB2312" w:hAnsiTheme="minorEastAsia" w:cstheme="minorEastAsia"/>
          <w:color w:val="auto"/>
          <w:sz w:val="24"/>
          <w:lang w:val="zh-CN"/>
        </w:rPr>
        <w:t>每月若有对乙方的有效投诉（特别是服务质量问题）未及时正确处理和解决的，首次发现，</w:t>
      </w:r>
      <w:r>
        <w:rPr>
          <w:rFonts w:hint="eastAsia" w:ascii="仿宋_GB2312" w:eastAsia="仿宋_GB2312" w:hAnsiTheme="minorEastAsia" w:cstheme="minorEastAsia"/>
          <w:color w:val="auto"/>
          <w:lang w:val="zh-CN"/>
        </w:rPr>
        <w:t>甲方将予以乙方书面警告；再次发现，乙方按每次200元向甲方支付违约金</w:t>
      </w:r>
      <w:r>
        <w:rPr>
          <w:rFonts w:hint="eastAsia" w:ascii="仿宋_GB2312" w:eastAsia="仿宋_GB2312" w:hAnsiTheme="minorEastAsia" w:cstheme="minorEastAsia"/>
          <w:color w:val="auto"/>
        </w:rPr>
        <w:t>。</w:t>
      </w:r>
    </w:p>
    <w:p>
      <w:pPr>
        <w:spacing w:line="420" w:lineRule="exact"/>
        <w:ind w:firstLine="480" w:firstLineChars="200"/>
        <w:rPr>
          <w:rFonts w:ascii="仿宋_GB2312" w:eastAsia="仿宋_GB2312" w:hAnsiTheme="minorEastAsia" w:cstheme="minorEastAsia"/>
          <w:color w:val="auto"/>
          <w:sz w:val="24"/>
          <w:lang w:val="zh-CN"/>
        </w:rPr>
      </w:pPr>
      <w:r>
        <w:rPr>
          <w:rFonts w:hint="eastAsia" w:ascii="仿宋_GB2312" w:eastAsia="仿宋_GB2312" w:hAnsiTheme="minorEastAsia" w:cstheme="minorEastAsia"/>
          <w:color w:val="auto"/>
          <w:sz w:val="24"/>
        </w:rPr>
        <w:t>7、</w:t>
      </w:r>
      <w:r>
        <w:rPr>
          <w:rFonts w:hint="eastAsia" w:ascii="仿宋_GB2312" w:eastAsia="仿宋_GB2312" w:hAnsiTheme="minorEastAsia" w:cstheme="minorEastAsia"/>
          <w:color w:val="auto"/>
          <w:sz w:val="24"/>
          <w:lang w:val="zh-CN"/>
        </w:rPr>
        <w:t>合同期间，因乙方过错造成甲方、第三方人身伤害和财产受损以及遭致行政处罚的 其它情况，乙方除承担民事赔偿责任以及行政处罚罚金，还应按每次1000元向甲方支付违约金。</w:t>
      </w:r>
    </w:p>
    <w:p>
      <w:pPr>
        <w:spacing w:line="420" w:lineRule="exact"/>
        <w:rPr>
          <w:rFonts w:ascii="仿宋_GB2312" w:eastAsia="仿宋_GB2312" w:hAnsiTheme="minorEastAsia" w:cstheme="minorEastAsia"/>
          <w:b/>
          <w:bCs/>
          <w:color w:val="auto"/>
          <w:sz w:val="24"/>
          <w:lang w:val="zh-CN"/>
        </w:rPr>
      </w:pPr>
      <w:r>
        <w:rPr>
          <w:rFonts w:hint="eastAsia" w:ascii="仿宋_GB2312" w:eastAsia="仿宋_GB2312" w:hAnsiTheme="minorEastAsia" w:cstheme="minorEastAsia"/>
          <w:b/>
          <w:bCs/>
          <w:color w:val="auto"/>
          <w:sz w:val="24"/>
          <w:lang w:val="zh-CN"/>
        </w:rPr>
        <w:t>四、安全与品质类</w:t>
      </w:r>
    </w:p>
    <w:p>
      <w:pPr>
        <w:spacing w:line="420" w:lineRule="exact"/>
        <w:ind w:firstLine="420" w:firstLineChars="200"/>
        <w:rPr>
          <w:rFonts w:ascii="仿宋_GB2312" w:eastAsia="仿宋_GB2312" w:hAnsiTheme="minorEastAsia" w:cstheme="minorEastAsia"/>
          <w:color w:val="auto"/>
          <w:lang w:val="zh-CN"/>
        </w:rPr>
      </w:pPr>
      <w:r>
        <w:rPr>
          <w:rFonts w:hint="eastAsia" w:ascii="仿宋_GB2312" w:eastAsia="仿宋_GB2312" w:hAnsiTheme="minorEastAsia" w:cstheme="minorEastAsia"/>
          <w:color w:val="auto"/>
          <w:lang w:val="zh-CN"/>
        </w:rPr>
        <w:t>按照以下 《员工餐厅月度考核细则》 实施考核：每月由甲方组织对乙方经营管理情况进行一次考核。100分</w:t>
      </w:r>
      <w:r>
        <w:rPr>
          <w:rFonts w:hint="eastAsia" w:ascii="微软雅黑" w:hAnsi="微软雅黑" w:eastAsia="微软雅黑" w:cs="微软雅黑"/>
          <w:color w:val="auto"/>
          <w:lang w:val="zh-CN"/>
        </w:rPr>
        <w:t>≧</w:t>
      </w:r>
      <w:r>
        <w:rPr>
          <w:rFonts w:hint="eastAsia" w:ascii="仿宋_GB2312" w:hAnsi="仿宋_GB2312" w:eastAsia="仿宋_GB2312" w:cs="仿宋_GB2312"/>
          <w:color w:val="auto"/>
          <w:lang w:val="zh-CN"/>
        </w:rPr>
        <w:t>月度得分</w:t>
      </w:r>
      <w:r>
        <w:rPr>
          <w:rFonts w:hint="eastAsia" w:ascii="微软雅黑" w:hAnsi="微软雅黑" w:eastAsia="微软雅黑" w:cs="微软雅黑"/>
          <w:color w:val="auto"/>
          <w:lang w:val="zh-CN"/>
        </w:rPr>
        <w:t>≧</w:t>
      </w:r>
      <w:r>
        <w:rPr>
          <w:rFonts w:hint="eastAsia" w:ascii="仿宋_GB2312" w:eastAsia="仿宋_GB2312" w:hAnsiTheme="minorEastAsia" w:cstheme="minorEastAsia"/>
          <w:color w:val="auto"/>
          <w:lang w:val="zh-CN"/>
        </w:rPr>
        <w:t>90分为合格： 90分＞月度得分</w:t>
      </w:r>
      <w:r>
        <w:rPr>
          <w:rFonts w:hint="eastAsia" w:ascii="微软雅黑" w:hAnsi="微软雅黑" w:eastAsia="微软雅黑" w:cs="微软雅黑"/>
          <w:color w:val="auto"/>
          <w:lang w:val="zh-CN"/>
        </w:rPr>
        <w:t>≧</w:t>
      </w:r>
      <w:r>
        <w:rPr>
          <w:rFonts w:hint="eastAsia" w:ascii="仿宋_GB2312" w:eastAsia="仿宋_GB2312" w:hAnsiTheme="minorEastAsia" w:cstheme="minorEastAsia"/>
          <w:color w:val="auto"/>
          <w:lang w:val="zh-CN"/>
        </w:rPr>
        <w:t>80分为待改进：月度得分＜80 分为不合格。</w:t>
      </w:r>
    </w:p>
    <w:p>
      <w:pPr>
        <w:spacing w:line="360" w:lineRule="auto"/>
        <w:jc w:val="center"/>
        <w:rPr>
          <w:rFonts w:ascii="仿宋_GB2312" w:eastAsia="仿宋_GB2312" w:hAnsiTheme="minorEastAsia" w:cstheme="minorEastAsia"/>
          <w:b/>
          <w:bCs/>
          <w:color w:val="auto"/>
          <w:sz w:val="28"/>
          <w:szCs w:val="28"/>
        </w:rPr>
      </w:pPr>
      <w:r>
        <w:rPr>
          <w:rFonts w:hint="eastAsia" w:ascii="仿宋_GB2312" w:eastAsia="仿宋_GB2312" w:hAnsiTheme="minorEastAsia" w:cstheme="minorEastAsia"/>
          <w:b/>
          <w:bCs/>
          <w:color w:val="auto"/>
          <w:sz w:val="28"/>
          <w:szCs w:val="28"/>
          <w:lang w:val="zh-CN"/>
        </w:rPr>
        <w:t>《员工餐厅月度考核细则》</w:t>
      </w:r>
    </w:p>
    <w:p>
      <w:pPr>
        <w:spacing w:line="360" w:lineRule="auto"/>
        <w:rPr>
          <w:rFonts w:ascii="仿宋_GB2312" w:eastAsia="仿宋_GB2312" w:hAnsiTheme="minorEastAsia" w:cstheme="minorEastAsia"/>
          <w:color w:val="auto"/>
          <w:lang w:val="zh-CN"/>
        </w:rPr>
      </w:pPr>
      <w:r>
        <w:rPr>
          <w:rFonts w:hint="eastAsia" w:ascii="仿宋_GB2312" w:eastAsia="仿宋_GB2312" w:hAnsiTheme="minorEastAsia" w:cstheme="minorEastAsia"/>
          <w:color w:val="auto"/>
          <w:lang w:val="zh-CN"/>
        </w:rPr>
        <w:t>以</w:t>
      </w:r>
      <w:r>
        <w:rPr>
          <w:rFonts w:hint="eastAsia" w:ascii="仿宋_GB2312" w:eastAsia="仿宋_GB2312" w:hAnsiTheme="minorEastAsia" w:cstheme="minorEastAsia"/>
          <w:color w:val="auto"/>
        </w:rPr>
        <w:t xml:space="preserve">下 </w:t>
      </w:r>
      <w:r>
        <w:rPr>
          <w:rFonts w:hint="eastAsia" w:ascii="仿宋_GB2312" w:eastAsia="仿宋_GB2312" w:hAnsiTheme="minorEastAsia" w:cstheme="minorEastAsia"/>
          <w:color w:val="auto"/>
          <w:lang w:val="zh-CN"/>
        </w:rPr>
        <w:t>“检查标准”内含多个小单项，单项不合格扣除</w:t>
      </w:r>
      <w:r>
        <w:rPr>
          <w:rFonts w:hint="eastAsia" w:ascii="仿宋_GB2312" w:eastAsia="仿宋_GB2312" w:hAnsiTheme="minorEastAsia" w:cstheme="minorEastAsia"/>
          <w:color w:val="auto"/>
        </w:rPr>
        <w:t>0.2</w:t>
      </w:r>
      <w:r>
        <w:rPr>
          <w:rFonts w:hint="eastAsia" w:ascii="仿宋_GB2312" w:eastAsia="仿宋_GB2312" w:hAnsiTheme="minorEastAsia" w:cstheme="minorEastAsia"/>
          <w:color w:val="auto"/>
          <w:lang w:val="zh-CN"/>
        </w:rPr>
        <w:t>分，封顶扣除该项所有分值</w:t>
      </w:r>
    </w:p>
    <w:p>
      <w:pPr>
        <w:pStyle w:val="2"/>
        <w:spacing w:line="360" w:lineRule="auto"/>
        <w:ind w:firstLine="210"/>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检查人：                            检查时间：      年     月      日</w:t>
      </w:r>
    </w:p>
    <w:tbl>
      <w:tblPr>
        <w:tblStyle w:val="13"/>
        <w:tblW w:w="9540" w:type="dxa"/>
        <w:jc w:val="center"/>
        <w:tblInd w:w="0" w:type="dxa"/>
        <w:tblLayout w:type="fixed"/>
        <w:tblCellMar>
          <w:top w:w="0" w:type="dxa"/>
          <w:left w:w="10" w:type="dxa"/>
          <w:bottom w:w="0" w:type="dxa"/>
          <w:right w:w="10" w:type="dxa"/>
        </w:tblCellMar>
      </w:tblPr>
      <w:tblGrid>
        <w:gridCol w:w="631"/>
        <w:gridCol w:w="792"/>
        <w:gridCol w:w="1408"/>
        <w:gridCol w:w="30"/>
        <w:gridCol w:w="4912"/>
        <w:gridCol w:w="697"/>
        <w:gridCol w:w="523"/>
        <w:gridCol w:w="533"/>
        <w:gridCol w:w="14"/>
      </w:tblGrid>
      <w:tr>
        <w:tblPrEx>
          <w:tblLayout w:type="fixed"/>
          <w:tblCellMar>
            <w:top w:w="0" w:type="dxa"/>
            <w:left w:w="10" w:type="dxa"/>
            <w:bottom w:w="0" w:type="dxa"/>
            <w:right w:w="10" w:type="dxa"/>
          </w:tblCellMar>
        </w:tblPrEx>
        <w:trPr>
          <w:gridAfter w:val="1"/>
          <w:wAfter w:w="14" w:type="dxa"/>
          <w:trHeight w:val="601" w:hRule="exact"/>
          <w:jc w:val="center"/>
        </w:trPr>
        <w:tc>
          <w:tcPr>
            <w:tcW w:w="631"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序</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号</w:t>
            </w:r>
          </w:p>
        </w:tc>
        <w:tc>
          <w:tcPr>
            <w:tcW w:w="792"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检查</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项目</w:t>
            </w:r>
          </w:p>
        </w:tc>
        <w:tc>
          <w:tcPr>
            <w:tcW w:w="140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检</w:t>
            </w:r>
            <w:r>
              <w:rPr>
                <w:rFonts w:hint="eastAsia" w:ascii="微软雅黑" w:hAnsi="微软雅黑" w:eastAsia="微软雅黑" w:cs="微软雅黑"/>
                <w:color w:val="auto"/>
                <w:szCs w:val="21"/>
              </w:rPr>
              <w:t>査</w:t>
            </w:r>
            <w:r>
              <w:rPr>
                <w:rFonts w:hint="eastAsia" w:ascii="仿宋_GB2312" w:hAnsi="仿宋_GB2312" w:eastAsia="仿宋_GB2312" w:cs="仿宋_GB2312"/>
                <w:color w:val="auto"/>
                <w:szCs w:val="21"/>
              </w:rPr>
              <w:t>内容</w:t>
            </w:r>
          </w:p>
        </w:tc>
        <w:tc>
          <w:tcPr>
            <w:tcW w:w="4942" w:type="dxa"/>
            <w:gridSpan w:val="2"/>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检查标准</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分值</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得分</w:t>
            </w: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备注</w:t>
            </w:r>
          </w:p>
        </w:tc>
      </w:tr>
      <w:tr>
        <w:tblPrEx>
          <w:tblLayout w:type="fixed"/>
          <w:tblCellMar>
            <w:top w:w="0" w:type="dxa"/>
            <w:left w:w="10" w:type="dxa"/>
            <w:bottom w:w="0" w:type="dxa"/>
            <w:right w:w="10" w:type="dxa"/>
          </w:tblCellMar>
        </w:tblPrEx>
        <w:trPr>
          <w:gridAfter w:val="1"/>
          <w:wAfter w:w="14" w:type="dxa"/>
          <w:trHeight w:val="823" w:hRule="atLeas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采购</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w:t>
            </w:r>
            <w:r>
              <w:rPr>
                <w:rFonts w:hint="eastAsia" w:ascii="仿宋_GB2312" w:eastAsia="仿宋_GB2312" w:hAnsiTheme="minorEastAsia" w:cstheme="minorEastAsia"/>
                <w:color w:val="auto"/>
                <w:szCs w:val="21"/>
                <w:lang w:eastAsia="en-US"/>
              </w:rPr>
              <w:t>5</w:t>
            </w:r>
            <w:r>
              <w:rPr>
                <w:rFonts w:hint="eastAsia" w:ascii="仿宋_GB2312" w:eastAsia="仿宋_GB2312" w:hAnsiTheme="minorEastAsia" w:cstheme="minorEastAsia"/>
                <w:color w:val="auto"/>
                <w:szCs w:val="21"/>
              </w:rPr>
              <w:t>分）</w:t>
            </w:r>
          </w:p>
        </w:tc>
        <w:tc>
          <w:tcPr>
            <w:tcW w:w="140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（1）采购合格 食品</w:t>
            </w: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无腐败、霉变、生虫、污浊、无毒、无害、符合卫生标准的食品。</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eastAsia="en-US"/>
              </w:rPr>
              <w:t>2.5</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863" w:hRule="atLeas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140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（2） 对供货商 资质审查</w:t>
            </w: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索取食品检验合格证、化验单、营业执照、卫生许可证、签合同。</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eastAsia="en-US"/>
              </w:rPr>
              <w:t>2.5</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586" w:hRule="atLeas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2</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仓库</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管理</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w:t>
            </w:r>
            <w:r>
              <w:rPr>
                <w:rFonts w:hint="eastAsia" w:ascii="仿宋_GB2312" w:eastAsia="仿宋_GB2312" w:hAnsiTheme="minorEastAsia" w:cstheme="minorEastAsia"/>
                <w:color w:val="auto"/>
                <w:szCs w:val="21"/>
                <w:lang w:eastAsia="en-US"/>
              </w:rPr>
              <w:t>5</w:t>
            </w:r>
            <w:r>
              <w:rPr>
                <w:rFonts w:hint="eastAsia" w:ascii="仿宋_GB2312" w:eastAsia="仿宋_GB2312" w:hAnsiTheme="minorEastAsia" w:cstheme="minorEastAsia"/>
                <w:color w:val="auto"/>
                <w:szCs w:val="21"/>
              </w:rPr>
              <w:t>分）</w:t>
            </w:r>
          </w:p>
        </w:tc>
        <w:tc>
          <w:tcPr>
            <w:tcW w:w="1408"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（1）操作规范</w:t>
            </w: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仓库内的食品、用具必须隔墙离地，分类摆放整齐。</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641" w:hRule="atLeas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1408"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干货单独存放，食品与非食品分开放。</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581" w:hRule="atLeas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1408"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仓库地面干净，无水无油渍，每天至少清扫一次。</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566" w:hRule="atLeas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1408"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仓库的食品应做好卫生防护，做好防潮、 防霉、防尘。</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788" w:hRule="atLeas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1408"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做好除“四害”工作，无老鼠、苍蝇、 蟑螂及其他有害虫类。</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718" w:hRule="atLeas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3</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肉类、海 产粗加</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工（5分）</w:t>
            </w:r>
          </w:p>
        </w:tc>
        <w:tc>
          <w:tcPr>
            <w:tcW w:w="1408"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w:t>
            </w:r>
            <w:r>
              <w:rPr>
                <w:rFonts w:hint="eastAsia" w:ascii="仿宋_GB2312" w:eastAsia="仿宋_GB2312" w:hAnsiTheme="minorEastAsia" w:cstheme="minorEastAsia"/>
                <w:color w:val="auto"/>
                <w:szCs w:val="21"/>
                <w:lang w:eastAsia="en-US"/>
              </w:rPr>
              <w:t>1</w:t>
            </w:r>
            <w:r>
              <w:rPr>
                <w:rFonts w:hint="eastAsia" w:ascii="仿宋_GB2312" w:eastAsia="仿宋_GB2312" w:hAnsiTheme="minorEastAsia" w:cstheme="minorEastAsia"/>
                <w:color w:val="auto"/>
                <w:szCs w:val="21"/>
              </w:rPr>
              <w:t>）操作规范</w:t>
            </w: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肉类清除污秽不洁、有害腺体或变质等不可食用部分。</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596" w:hRule="atLeas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1408"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水产品长鳞、内脏或贝壳，用流水清洗干净</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626" w:hRule="atLeas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1408"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4942" w:type="dxa"/>
            <w:gridSpan w:val="2"/>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易腐败变质原料要缩短加工时间，保持原料的新鲜度</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gridAfter w:val="1"/>
          <w:wAfter w:w="14" w:type="dxa"/>
          <w:trHeight w:val="505" w:hRule="atLeast"/>
          <w:jc w:val="center"/>
        </w:trPr>
        <w:tc>
          <w:tcPr>
            <w:tcW w:w="631" w:type="dxa"/>
            <w:vMerge w:val="continue"/>
            <w:tcBorders>
              <w:left w:val="single" w:color="auto" w:sz="4" w:space="0"/>
              <w:bottom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792" w:type="dxa"/>
            <w:vMerge w:val="continue"/>
            <w:tcBorders>
              <w:left w:val="single" w:color="auto" w:sz="4" w:space="0"/>
              <w:bottom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1408"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w:t>
            </w:r>
            <w:r>
              <w:rPr>
                <w:rFonts w:hint="eastAsia" w:ascii="仿宋_GB2312" w:eastAsia="仿宋_GB2312" w:hAnsiTheme="minorEastAsia" w:cstheme="minorEastAsia"/>
                <w:color w:val="auto"/>
                <w:szCs w:val="21"/>
                <w:lang w:eastAsia="en-US"/>
              </w:rPr>
              <w:t>2</w:t>
            </w:r>
            <w:r>
              <w:rPr>
                <w:rFonts w:hint="eastAsia" w:ascii="仿宋_GB2312" w:eastAsia="仿宋_GB2312" w:hAnsiTheme="minorEastAsia" w:cstheme="minorEastAsia"/>
                <w:color w:val="auto"/>
                <w:szCs w:val="21"/>
              </w:rPr>
              <w:t>）器具区分</w:t>
            </w:r>
          </w:p>
        </w:tc>
        <w:tc>
          <w:tcPr>
            <w:tcW w:w="4942" w:type="dxa"/>
            <w:gridSpan w:val="2"/>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盛装原料、未成品、成品的刀、墩、板、桶、盆、</w:t>
            </w:r>
          </w:p>
        </w:tc>
        <w:tc>
          <w:tcPr>
            <w:tcW w:w="697"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w:t>
            </w:r>
          </w:p>
        </w:tc>
        <w:tc>
          <w:tcPr>
            <w:tcW w:w="523"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53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945" w:hRule="exac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筐、抹布以及其他工具、容器必须标志明显，并做到分开使用，定位存放，用后洗净，保持清洁。</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668"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3)</w:t>
            </w:r>
            <w:r>
              <w:rPr>
                <w:rFonts w:hint="eastAsia" w:ascii="仿宋_GB2312" w:hAnsi="宋体" w:eastAsia="仿宋_GB2312" w:cs="宋体"/>
                <w:color w:val="auto"/>
                <w:szCs w:val="21"/>
              </w:rPr>
              <w:t>垃圾清理</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清洗过后保洁处理，以免二次污染，及时清理废弃物和垃圾。</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470" w:hRule="exac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4</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择菜</w:t>
            </w:r>
          </w:p>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洗菜</w:t>
            </w:r>
          </w:p>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5</w:t>
            </w:r>
            <w:r>
              <w:rPr>
                <w:rFonts w:hint="eastAsia" w:ascii="仿宋_GB2312" w:hAnsi="宋体" w:eastAsia="仿宋_GB2312" w:cs="宋体"/>
                <w:color w:val="auto"/>
                <w:szCs w:val="21"/>
              </w:rPr>
              <w:t>分）</w:t>
            </w:r>
          </w:p>
        </w:tc>
        <w:tc>
          <w:tcPr>
            <w:tcW w:w="1438" w:type="dxa"/>
            <w:gridSpan w:val="2"/>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1)</w:t>
            </w:r>
            <w:r>
              <w:rPr>
                <w:rFonts w:hint="eastAsia" w:ascii="仿宋_GB2312" w:hAnsi="宋体" w:eastAsia="仿宋_GB2312" w:cs="宋体"/>
                <w:color w:val="auto"/>
                <w:szCs w:val="21"/>
              </w:rPr>
              <w:t>水池区分</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洗菜用水池与洗餐具水池分开。</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72"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2)</w:t>
            </w:r>
            <w:r>
              <w:rPr>
                <w:rFonts w:hint="eastAsia" w:ascii="仿宋_GB2312" w:hAnsi="宋体" w:eastAsia="仿宋_GB2312" w:cs="宋体"/>
                <w:color w:val="auto"/>
                <w:szCs w:val="21"/>
              </w:rPr>
              <w:t>择菜清理</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摘除杂质、残枝、去根、清黄叶、削腐、剔虫、除泥沙。</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443"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restart"/>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3)</w:t>
            </w:r>
            <w:r>
              <w:rPr>
                <w:rFonts w:hint="eastAsia" w:ascii="仿宋_GB2312" w:hAnsi="宋体" w:eastAsia="仿宋_GB2312" w:cs="宋体"/>
                <w:color w:val="auto"/>
                <w:szCs w:val="21"/>
              </w:rPr>
              <w:t>洗菜</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盐水浸泡30分钟，再漂洗干净。</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654"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清洗三遍(洗一道，清二道），所有原料先洗后切。</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655"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清洗过后保洁处理，以免二次污染，及时清理废弃物和垃圾。</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498" w:hRule="exac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5</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烹饪 (</w:t>
            </w:r>
            <w:r>
              <w:rPr>
                <w:rFonts w:hint="eastAsia" w:ascii="仿宋_GB2312" w:hAnsi="宋体" w:eastAsia="仿宋_GB2312" w:cs="宋体"/>
                <w:color w:val="auto"/>
                <w:szCs w:val="21"/>
                <w:lang w:eastAsia="en-US"/>
              </w:rPr>
              <w:t>10</w:t>
            </w:r>
            <w:r>
              <w:rPr>
                <w:rFonts w:hint="eastAsia" w:ascii="仿宋_GB2312" w:hAnsi="宋体" w:eastAsia="仿宋_GB2312" w:cs="宋体"/>
                <w:color w:val="auto"/>
                <w:szCs w:val="21"/>
              </w:rPr>
              <w:t>分）</w:t>
            </w:r>
          </w:p>
        </w:tc>
        <w:tc>
          <w:tcPr>
            <w:tcW w:w="1438" w:type="dxa"/>
            <w:gridSpan w:val="2"/>
            <w:vMerge w:val="restart"/>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1)</w:t>
            </w:r>
            <w:r>
              <w:rPr>
                <w:rFonts w:hint="eastAsia" w:ascii="仿宋_GB2312" w:hAnsi="宋体" w:eastAsia="仿宋_GB2312" w:cs="宋体"/>
                <w:color w:val="auto"/>
                <w:szCs w:val="21"/>
              </w:rPr>
              <w:t>烹饪技 术、知识</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掌握烹调技术及面点制作方法，胜任工作。</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453"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腐败变质等不合格产品不烹制不烧煮。</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613"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科学解冻食材，解冻后的食材一次使用完，不能二次冻结。</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87"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执行操作规程，食品烧熟煮透、烤熟煎透，防止里生外熟。</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639"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现做现卖，必须隔夜的菜品或半成品使用前必须充分加热严格杀菌消毒后方可售卖。</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695"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保持良好用餐环境，厨房用具清洁消毒，熟食加罩加盖。</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858"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2)</w:t>
            </w:r>
            <w:r>
              <w:rPr>
                <w:rFonts w:hint="eastAsia" w:ascii="仿宋_GB2312" w:hAnsi="宋体" w:eastAsia="仿宋_GB2312" w:cs="宋体"/>
                <w:color w:val="auto"/>
                <w:szCs w:val="21"/>
              </w:rPr>
              <w:t>节约</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做好烹调前的准备工作，按人数合理投料烹制，合理使用原料、调味品、燃料，防止浪费，厉行节约。</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2</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72"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3)</w:t>
            </w:r>
            <w:r>
              <w:rPr>
                <w:rFonts w:hint="eastAsia" w:ascii="仿宋_GB2312" w:hAnsi="宋体" w:eastAsia="仿宋_GB2312" w:cs="宋体"/>
                <w:color w:val="auto"/>
                <w:szCs w:val="21"/>
              </w:rPr>
              <w:t>创新</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钻研烹调技术，定期创新菜品，每月有新菜推出。</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2</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72" w:hRule="exac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6</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卫生 (</w:t>
            </w:r>
            <w:r>
              <w:rPr>
                <w:rFonts w:hint="eastAsia" w:ascii="仿宋_GB2312" w:hAnsi="宋体" w:eastAsia="仿宋_GB2312" w:cs="宋体"/>
                <w:color w:val="auto"/>
                <w:szCs w:val="21"/>
                <w:lang w:eastAsia="en-US"/>
              </w:rPr>
              <w:t>30</w:t>
            </w:r>
            <w:r>
              <w:rPr>
                <w:rFonts w:hint="eastAsia" w:ascii="仿宋_GB2312" w:hAnsi="宋体" w:eastAsia="仿宋_GB2312" w:cs="宋体"/>
                <w:color w:val="auto"/>
                <w:szCs w:val="21"/>
              </w:rPr>
              <w:t>分）</w:t>
            </w:r>
          </w:p>
        </w:tc>
        <w:tc>
          <w:tcPr>
            <w:tcW w:w="1438" w:type="dxa"/>
            <w:gridSpan w:val="2"/>
            <w:vMerge w:val="restart"/>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(1）环境卫生 (</w:t>
            </w:r>
            <w:r>
              <w:rPr>
                <w:rFonts w:hint="eastAsia" w:ascii="仿宋_GB2312" w:hAnsi="宋体" w:eastAsia="仿宋_GB2312" w:cs="宋体"/>
                <w:color w:val="auto"/>
                <w:szCs w:val="21"/>
                <w:lang w:eastAsia="en-US"/>
              </w:rPr>
              <w:t>5</w:t>
            </w:r>
            <w:r>
              <w:rPr>
                <w:rFonts w:hint="eastAsia" w:ascii="仿宋_GB2312" w:hAnsi="宋体" w:eastAsia="仿宋_GB2312" w:cs="宋体"/>
                <w:color w:val="auto"/>
                <w:szCs w:val="21"/>
              </w:rPr>
              <w:t>分）</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责任区卫生划片分工，责任到人，并每天进行清扫。</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74"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采取措施消除鼠害、虫害、蚊蝇。</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481"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设备布局合理，整齐、有序、清洁。</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889"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室内无积尘、蛛网，地面无积水、油腻并保持干燥，</w:t>
            </w:r>
          </w:p>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墙壁和房顶无油污、霉斑、滴水。</w:t>
            </w:r>
          </w:p>
        </w:tc>
        <w:tc>
          <w:tcPr>
            <w:tcW w:w="697"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775" w:hRule="exact"/>
          <w:jc w:val="center"/>
        </w:trPr>
        <w:tc>
          <w:tcPr>
            <w:tcW w:w="631"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vMerge w:val="continue"/>
            <w:tcBorders>
              <w:left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垃圾、废弃物存放在专用容器中，并加盖密闭。</w:t>
            </w:r>
          </w:p>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垃圾袋袋装化，每天及时清除。</w:t>
            </w:r>
          </w:p>
        </w:tc>
        <w:tc>
          <w:tcPr>
            <w:tcW w:w="697"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467" w:hRule="exact"/>
          <w:jc w:val="center"/>
        </w:trPr>
        <w:tc>
          <w:tcPr>
            <w:tcW w:w="631" w:type="dxa"/>
            <w:vMerge w:val="continue"/>
            <w:tcBorders>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38" w:type="dxa"/>
            <w:gridSpan w:val="2"/>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2)</w:t>
            </w:r>
            <w:r>
              <w:rPr>
                <w:rFonts w:hint="eastAsia" w:ascii="仿宋_GB2312" w:hAnsi="宋体" w:eastAsia="仿宋_GB2312" w:cs="宋体"/>
                <w:color w:val="auto"/>
                <w:szCs w:val="21"/>
              </w:rPr>
              <w:t>个人卫生</w:t>
            </w:r>
          </w:p>
        </w:tc>
        <w:tc>
          <w:tcPr>
            <w:tcW w:w="491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所有人员必须每年体检，持证上岗。</w:t>
            </w:r>
          </w:p>
        </w:tc>
        <w:tc>
          <w:tcPr>
            <w:tcW w:w="697"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3"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bl>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br w:type="page"/>
      </w:r>
    </w:p>
    <w:tbl>
      <w:tblPr>
        <w:tblStyle w:val="13"/>
        <w:tblW w:w="9629" w:type="dxa"/>
        <w:jc w:val="center"/>
        <w:tblInd w:w="0" w:type="dxa"/>
        <w:tblLayout w:type="fixed"/>
        <w:tblCellMar>
          <w:top w:w="0" w:type="dxa"/>
          <w:left w:w="10" w:type="dxa"/>
          <w:bottom w:w="0" w:type="dxa"/>
          <w:right w:w="10" w:type="dxa"/>
        </w:tblCellMar>
      </w:tblPr>
      <w:tblGrid>
        <w:gridCol w:w="631"/>
        <w:gridCol w:w="792"/>
        <w:gridCol w:w="1448"/>
        <w:gridCol w:w="4912"/>
        <w:gridCol w:w="698"/>
        <w:gridCol w:w="525"/>
        <w:gridCol w:w="623"/>
      </w:tblGrid>
      <w:tr>
        <w:tblPrEx>
          <w:tblLayout w:type="fixed"/>
          <w:tblCellMar>
            <w:top w:w="0" w:type="dxa"/>
            <w:left w:w="10" w:type="dxa"/>
            <w:bottom w:w="0" w:type="dxa"/>
            <w:right w:w="10" w:type="dxa"/>
          </w:tblCellMar>
        </w:tblPrEx>
        <w:trPr>
          <w:trHeight w:val="887" w:hRule="exact"/>
          <w:jc w:val="center"/>
        </w:trPr>
        <w:tc>
          <w:tcPr>
            <w:tcW w:w="631" w:type="dxa"/>
            <w:vMerge w:val="restart"/>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br w:type="page"/>
            </w:r>
          </w:p>
        </w:tc>
        <w:tc>
          <w:tcPr>
            <w:tcW w:w="792" w:type="dxa"/>
            <w:vMerge w:val="restart"/>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restart"/>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5</w:t>
            </w:r>
            <w:r>
              <w:rPr>
                <w:rFonts w:hint="eastAsia" w:ascii="仿宋_GB2312" w:hAnsi="宋体" w:eastAsia="仿宋_GB2312" w:cs="宋体"/>
                <w:color w:val="auto"/>
                <w:szCs w:val="21"/>
              </w:rPr>
              <w:t>分）</w:t>
            </w: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必须穿戴清洁工作服和帽，头发不露帽外，不戴戒指，不涂指甲油，不留长发， 操作直接入口食品戴口罩。</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96"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上岗前和大小便后必须洗手.不得穿</w:t>
            </w:r>
            <w:r>
              <w:rPr>
                <w:rFonts w:hint="eastAsia" w:ascii="仿宋_GB2312" w:hAnsi="宋体" w:eastAsia="仿宋_GB2312" w:cs="宋体"/>
                <w:color w:val="auto"/>
                <w:szCs w:val="21"/>
                <w:lang w:val="zh-CN"/>
              </w:rPr>
              <w:t>工作服</w:t>
            </w:r>
            <w:r>
              <w:rPr>
                <w:rFonts w:hint="eastAsia" w:ascii="仿宋_GB2312" w:hAnsi="宋体" w:eastAsia="仿宋_GB2312" w:cs="宋体"/>
                <w:color w:val="auto"/>
                <w:szCs w:val="21"/>
              </w:rPr>
              <w:t>和帽进入卫生间。</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1147"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上岗后不吸烟，不吃食物，不随地吐痰，不乱扔废弃物，不把个人用品带入岗位，不得对着食品咳嗽、打喷嚏。</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96"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勤洗手，勤剪指甲，勤理发洗澡，勤换工作服帽。</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872"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restart"/>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3)</w:t>
            </w:r>
            <w:r>
              <w:rPr>
                <w:rFonts w:hint="eastAsia" w:ascii="仿宋_GB2312" w:hAnsi="宋体" w:eastAsia="仿宋_GB2312" w:cs="宋体"/>
                <w:color w:val="auto"/>
                <w:szCs w:val="21"/>
              </w:rPr>
              <w:t xml:space="preserve">厨房操作 间卫生 </w:t>
            </w:r>
          </w:p>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6</w:t>
            </w:r>
            <w:r>
              <w:rPr>
                <w:rFonts w:hint="eastAsia" w:ascii="仿宋_GB2312" w:hAnsi="宋体" w:eastAsia="仿宋_GB2312" w:cs="宋体"/>
                <w:color w:val="auto"/>
                <w:szCs w:val="21"/>
              </w:rPr>
              <w:t>分）</w:t>
            </w: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盛放食品用具做到生熟分开、荤素分开、冷热分开、食品和非食品分开，不落地，洁净，整齐有序。</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81"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各种电器设备用具摆放整齐，清洁卫生，专人负责。</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872"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操作台、货物架、调料台、蒸箱清洁无灰尘、油污，洗菜池无泥沙、脏垢及异味。抹布专用洁净，不用抹布擦碗盘。</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1163"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每次操作完毕彻底清扫一次，每周大扫除一次，确保地面、墙壁、顶棚、炉灶、容器用具、案板工具等光亮、干燥、整齐、卫生。通风、排烟、排水良好。</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347"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洗碗间、蒸饭间沟道畅通，无积水。</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440"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及时清理废弃物和垃圾。</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641"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restart"/>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4)</w:t>
            </w:r>
            <w:r>
              <w:rPr>
                <w:rFonts w:hint="eastAsia" w:ascii="仿宋_GB2312" w:hAnsi="宋体" w:eastAsia="仿宋_GB2312" w:cs="宋体"/>
                <w:color w:val="auto"/>
                <w:szCs w:val="21"/>
              </w:rPr>
              <w:t>餐厅卫生 （4分)</w:t>
            </w: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餐前必须做好餐厅清洁工作，桌面光洁，地面洁净，并随时保洁，垃圾及时清除。</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15"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就餐中有专人负责餐桌、地面清洁卫生。</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66"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餐后必须对餐厅及时进行全面的清洁卫生，清除垃圾。</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367"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餐厅洗手池内无积垢，保持畅通。</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1163"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restart"/>
            <w:tcBorders>
              <w:top w:val="single" w:color="auto" w:sz="4" w:space="0"/>
              <w:left w:val="single" w:color="auto" w:sz="4" w:space="0"/>
              <w:bottom w:val="single" w:color="auto" w:sz="4" w:space="0"/>
            </w:tcBorders>
            <w:shd w:val="clear" w:color="auto" w:fill="FFFFFF"/>
            <w:vAlign w:val="center"/>
          </w:tcPr>
          <w:p>
            <w:pPr>
              <w:numPr>
                <w:ilvl w:val="0"/>
                <w:numId w:val="3"/>
              </w:num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餐具洗刷 消毒卫生</w:t>
            </w:r>
          </w:p>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5</w:t>
            </w:r>
            <w:r>
              <w:rPr>
                <w:rFonts w:hint="eastAsia" w:ascii="仿宋_GB2312" w:hAnsi="宋体" w:eastAsia="仿宋_GB2312" w:cs="宋体"/>
                <w:color w:val="auto"/>
                <w:szCs w:val="21"/>
              </w:rPr>
              <w:t>分）</w:t>
            </w: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坚持“去残渣、洗涤剂洗刷、净水冲洗、消毒柜高温消毒”</w:t>
            </w:r>
          </w:p>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四道消毒工序，以光、洁、涩、干为消毒要求。</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lang w:val="zh-CN"/>
              </w:rPr>
              <w:t>I</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642"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消毒后的备用餐具整洁有序，碗柜防尘，无杂物，无油污。</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443"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洗碗池专用，洁净，无残渣，无油垢。</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673"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每餐后餐具必须使用消毒柜消毒，餐具摆放正确合理。</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765"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各种盆等用具要用消毒剂或沸水煮进行消毒，并用苫布防尘。</w:t>
            </w:r>
          </w:p>
        </w:tc>
        <w:tc>
          <w:tcPr>
            <w:tcW w:w="698"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rPr>
              <w:t>1</w:t>
            </w:r>
          </w:p>
        </w:tc>
        <w:tc>
          <w:tcPr>
            <w:tcW w:w="525"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76" w:hRule="exact"/>
          <w:jc w:val="center"/>
        </w:trPr>
        <w:tc>
          <w:tcPr>
            <w:tcW w:w="631"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1448" w:type="dxa"/>
            <w:vMerge w:val="restart"/>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w:t>
            </w:r>
            <w:r>
              <w:rPr>
                <w:rFonts w:hint="eastAsia" w:ascii="仿宋_GB2312" w:hAnsi="宋体" w:eastAsia="仿宋_GB2312" w:cs="宋体"/>
                <w:color w:val="auto"/>
                <w:szCs w:val="21"/>
                <w:lang w:eastAsia="en-US"/>
              </w:rPr>
              <w:t>6)</w:t>
            </w:r>
            <w:r>
              <w:rPr>
                <w:rFonts w:hint="eastAsia" w:ascii="仿宋_GB2312" w:hAnsi="宋体" w:eastAsia="仿宋_GB2312" w:cs="宋体"/>
                <w:color w:val="auto"/>
                <w:szCs w:val="21"/>
              </w:rPr>
              <w:t>食品冷藏</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卫生（5分）</w:t>
            </w: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hAnsi="宋体" w:eastAsia="仿宋_GB2312" w:cs="宋体"/>
                <w:color w:val="auto"/>
                <w:szCs w:val="21"/>
              </w:rPr>
            </w:pPr>
            <w:r>
              <w:rPr>
                <w:rFonts w:hint="eastAsia" w:ascii="仿宋_GB2312" w:hAnsi="宋体" w:eastAsia="仿宋_GB2312" w:cs="宋体"/>
                <w:color w:val="auto"/>
                <w:szCs w:val="21"/>
              </w:rPr>
              <w:t>动物性食品应冷冻保存，果蔬类食品应冷藏。</w:t>
            </w:r>
          </w:p>
        </w:tc>
        <w:tc>
          <w:tcPr>
            <w:tcW w:w="69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r>
              <w:rPr>
                <w:rFonts w:hint="eastAsia" w:ascii="仿宋_GB2312" w:hAnsi="宋体" w:eastAsia="仿宋_GB2312" w:cs="宋体"/>
                <w:color w:val="auto"/>
                <w:szCs w:val="21"/>
                <w:lang w:eastAsia="en-US"/>
              </w:rPr>
              <w:t>2.5</w:t>
            </w:r>
          </w:p>
        </w:tc>
        <w:tc>
          <w:tcPr>
            <w:tcW w:w="52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c>
          <w:tcPr>
            <w:tcW w:w="6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jc w:val="center"/>
              <w:rPr>
                <w:rFonts w:ascii="仿宋_GB2312" w:hAnsi="宋体" w:eastAsia="仿宋_GB2312" w:cs="宋体"/>
                <w:color w:val="auto"/>
                <w:szCs w:val="21"/>
              </w:rPr>
            </w:pPr>
          </w:p>
        </w:tc>
      </w:tr>
      <w:tr>
        <w:tblPrEx>
          <w:tblLayout w:type="fixed"/>
          <w:tblCellMar>
            <w:top w:w="0" w:type="dxa"/>
            <w:left w:w="10" w:type="dxa"/>
            <w:bottom w:w="0" w:type="dxa"/>
            <w:right w:w="10" w:type="dxa"/>
          </w:tblCellMar>
        </w:tblPrEx>
        <w:trPr>
          <w:trHeight w:val="588" w:hRule="exact"/>
          <w:jc w:val="center"/>
        </w:trPr>
        <w:tc>
          <w:tcPr>
            <w:tcW w:w="631" w:type="dxa"/>
            <w:vMerge w:val="continue"/>
            <w:tcBorders>
              <w:top w:val="single" w:color="auto" w:sz="4" w:space="0"/>
              <w:left w:val="single" w:color="auto" w:sz="4" w:space="0"/>
              <w:bottom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top w:val="single" w:color="auto" w:sz="4" w:space="0"/>
              <w:left w:val="single" w:color="auto" w:sz="4" w:space="0"/>
              <w:bottom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vMerge w:val="continue"/>
            <w:tcBorders>
              <w:top w:val="single" w:color="auto" w:sz="4" w:space="0"/>
              <w:left w:val="single" w:color="auto" w:sz="4" w:space="0"/>
              <w:bottom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4912" w:type="dxa"/>
            <w:tcBorders>
              <w:top w:val="single" w:color="auto" w:sz="4" w:space="0"/>
              <w:left w:val="single" w:color="auto" w:sz="4" w:space="0"/>
              <w:bottom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专人检查冰箱性能，定期除霜、清洗、消毒，无异味，清洁。</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2.5</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588" w:hRule="exac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7</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满意度</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（10分）</w:t>
            </w:r>
          </w:p>
        </w:tc>
        <w:tc>
          <w:tcPr>
            <w:tcW w:w="1448"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（1）份量和及 时性</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菜品、汤品供应充足，能及时补充和替代</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1</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458"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（2）菜肴搭配</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菜肴荤素搭配合理</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1</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414"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p>
        </w:tc>
        <w:tc>
          <w:tcPr>
            <w:tcW w:w="1448"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（3）菜肴道数</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能根据每餐菜单要求道数出品</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1</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473"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p>
        </w:tc>
        <w:tc>
          <w:tcPr>
            <w:tcW w:w="1448"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（4）口味品种</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菜肴口味、品种基本满足员工需求</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1</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399"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p>
        </w:tc>
        <w:tc>
          <w:tcPr>
            <w:tcW w:w="1448"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（5）服务态度</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服务态度佳，能尽</w:t>
            </w:r>
            <w:r>
              <w:rPr>
                <w:rFonts w:hint="eastAsia" w:ascii="仿宋_GB2312" w:eastAsia="仿宋_GB2312" w:hAnsiTheme="minorEastAsia" w:cstheme="minorEastAsia"/>
                <w:color w:val="auto"/>
                <w:szCs w:val="21"/>
                <w:lang w:val="zh-CN"/>
              </w:rPr>
              <w:t>量</w:t>
            </w:r>
            <w:r>
              <w:rPr>
                <w:rFonts w:hint="eastAsia" w:ascii="仿宋_GB2312" w:eastAsia="仿宋_GB2312" w:hAnsiTheme="minorEastAsia" w:cstheme="minorEastAsia"/>
                <w:color w:val="auto"/>
                <w:szCs w:val="21"/>
              </w:rPr>
              <w:t>满足就餐人员需求。</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588"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（6）投诉处理 及时性</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遇到投诉能及时热情的处理</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414"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（7）公</w:t>
            </w:r>
            <w:r>
              <w:rPr>
                <w:rFonts w:hint="eastAsia" w:ascii="微软雅黑" w:hAnsi="微软雅黑" w:eastAsia="微软雅黑" w:cs="微软雅黑"/>
                <w:color w:val="auto"/>
                <w:szCs w:val="21"/>
              </w:rPr>
              <w:t>吿</w:t>
            </w:r>
            <w:r>
              <w:rPr>
                <w:rFonts w:hint="eastAsia" w:ascii="仿宋_GB2312" w:hAnsi="仿宋_GB2312" w:eastAsia="仿宋_GB2312" w:cs="仿宋_GB2312"/>
                <w:color w:val="auto"/>
                <w:szCs w:val="21"/>
              </w:rPr>
              <w:t>及时</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及时做好食堂相应公吿和宣导</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418" w:hRule="exac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8</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安全</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（22分）</w:t>
            </w:r>
          </w:p>
        </w:tc>
        <w:tc>
          <w:tcPr>
            <w:tcW w:w="1448"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（1）食品卫生</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安全</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食品留样依照公司制度进行食品留样</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 w:val="18"/>
                <w:szCs w:val="18"/>
              </w:rPr>
            </w:pPr>
          </w:p>
        </w:tc>
      </w:tr>
      <w:tr>
        <w:tblPrEx>
          <w:tblLayout w:type="fixed"/>
          <w:tblCellMar>
            <w:top w:w="0" w:type="dxa"/>
            <w:left w:w="10" w:type="dxa"/>
            <w:bottom w:w="0" w:type="dxa"/>
            <w:right w:w="10" w:type="dxa"/>
          </w:tblCellMar>
        </w:tblPrEx>
        <w:trPr>
          <w:trHeight w:val="609"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没有食物中毒事件</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7</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 w:val="18"/>
                <w:szCs w:val="18"/>
              </w:rPr>
            </w:pPr>
            <w:r>
              <w:rPr>
                <w:rFonts w:hint="eastAsia" w:ascii="仿宋_GB2312" w:eastAsia="仿宋_GB2312" w:hAnsiTheme="minorEastAsia" w:cstheme="minorEastAsia"/>
                <w:color w:val="auto"/>
                <w:sz w:val="18"/>
                <w:szCs w:val="18"/>
              </w:rPr>
              <w:t>出现一次扣完</w:t>
            </w:r>
          </w:p>
        </w:tc>
      </w:tr>
      <w:tr>
        <w:tblPrEx>
          <w:tblLayout w:type="fixed"/>
          <w:tblCellMar>
            <w:top w:w="0" w:type="dxa"/>
            <w:left w:w="10" w:type="dxa"/>
            <w:bottom w:w="0" w:type="dxa"/>
            <w:right w:w="10" w:type="dxa"/>
          </w:tblCellMar>
        </w:tblPrEx>
        <w:trPr>
          <w:trHeight w:val="588"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vMerge w:val="continue"/>
            <w:tcBorders>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出售或己出售食品中无异物（头发、苍蝇、铁钉、塑料膜等）</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3</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 w:val="18"/>
                <w:szCs w:val="18"/>
              </w:rPr>
            </w:pPr>
          </w:p>
        </w:tc>
      </w:tr>
      <w:tr>
        <w:tblPrEx>
          <w:tblLayout w:type="fixed"/>
          <w:tblCellMar>
            <w:top w:w="0" w:type="dxa"/>
            <w:left w:w="10" w:type="dxa"/>
            <w:bottom w:w="0" w:type="dxa"/>
            <w:right w:w="10" w:type="dxa"/>
          </w:tblCellMar>
        </w:tblPrEx>
        <w:trPr>
          <w:trHeight w:val="603"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（2）操作安全</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机器设备安全：一旦开始运作，操作人员不得随便离开现场</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588" w:hRule="exact"/>
          <w:jc w:val="center"/>
        </w:trPr>
        <w:tc>
          <w:tcPr>
            <w:tcW w:w="631" w:type="dxa"/>
            <w:vMerge w:val="continue"/>
            <w:tcBorders>
              <w:left w:val="single" w:color="auto" w:sz="4" w:space="0"/>
            </w:tcBorders>
            <w:shd w:val="clear" w:color="auto" w:fill="FFFFFF"/>
            <w:vAlign w:val="bottom"/>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vAlign w:val="bottom"/>
          </w:tcPr>
          <w:p>
            <w:pPr>
              <w:spacing w:line="280" w:lineRule="exact"/>
              <w:rPr>
                <w:rFonts w:ascii="仿宋_GB2312" w:eastAsia="仿宋_GB2312" w:hAnsiTheme="minorEastAsia" w:cstheme="minorEastAsia"/>
                <w:color w:val="auto"/>
                <w:szCs w:val="21"/>
              </w:rPr>
            </w:pPr>
          </w:p>
        </w:tc>
        <w:tc>
          <w:tcPr>
            <w:tcW w:w="1448"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厨师、厨工使用各种刀具需严格加强管理。</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588"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vMerge w:val="continue"/>
            <w:tcBorders>
              <w:left w:val="single" w:color="auto" w:sz="4" w:space="0"/>
            </w:tcBorders>
            <w:shd w:val="clear" w:color="auto" w:fill="FFFFFF"/>
            <w:vAlign w:val="bottom"/>
          </w:tcPr>
          <w:p>
            <w:pPr>
              <w:spacing w:line="280" w:lineRule="exact"/>
              <w:rPr>
                <w:rFonts w:ascii="仿宋_GB2312" w:eastAsia="仿宋_GB2312" w:hAnsiTheme="minorEastAsia" w:cstheme="minorEastAsia"/>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hint="eastAsia"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煤气操作安全：规范使用燃气设施，定期检查燃气设备</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588"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hint="eastAsia"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安全检查：每天收档后逐一检査水、电、煤气阀门，关好门窗</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1178"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4912" w:type="dxa"/>
            <w:tcBorders>
              <w:top w:val="single" w:color="auto" w:sz="4" w:space="0"/>
              <w:left w:val="single" w:color="auto" w:sz="4" w:space="0"/>
            </w:tcBorders>
            <w:shd w:val="clear" w:color="auto" w:fill="FFFFFF"/>
            <w:vAlign w:val="center"/>
          </w:tcPr>
          <w:p>
            <w:pPr>
              <w:spacing w:line="280" w:lineRule="exact"/>
              <w:rPr>
                <w:rFonts w:hint="eastAsia"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定期检査消防器材并给以记录，（每年至少</w:t>
            </w:r>
            <w:r>
              <w:rPr>
                <w:rFonts w:hint="eastAsia" w:ascii="仿宋_GB2312" w:eastAsia="仿宋_GB2312" w:hAnsiTheme="minorEastAsia" w:cstheme="minorEastAsia"/>
                <w:color w:val="auto"/>
                <w:szCs w:val="21"/>
                <w:lang w:val="zh-CN"/>
              </w:rPr>
              <w:t>2</w:t>
            </w:r>
            <w:r>
              <w:rPr>
                <w:rFonts w:hint="eastAsia" w:ascii="仿宋_GB2312" w:eastAsia="仿宋_GB2312" w:hAnsiTheme="minorEastAsia" w:cstheme="minorEastAsia"/>
                <w:color w:val="auto"/>
                <w:szCs w:val="21"/>
              </w:rPr>
              <w:t>次）组织食堂人员进行消防灭火演练，确保每个食堂工作人员都能够熟练地使用灭火器。</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588" w:hRule="exac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9</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财产管</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理（4分）</w:t>
            </w:r>
          </w:p>
        </w:tc>
        <w:tc>
          <w:tcPr>
            <w:tcW w:w="1448"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（1）日常盘点</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建立台账，定期盘点，依照甲方规定执行盘点制度；</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I</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603"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（2）爱惜使用</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教导服务人员爱惜使用餐厅设施设备，对出现的问题及时处理；</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3</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588" w:hRule="exact"/>
          <w:jc w:val="center"/>
        </w:trPr>
        <w:tc>
          <w:tcPr>
            <w:tcW w:w="631"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10</w:t>
            </w:r>
          </w:p>
        </w:tc>
        <w:tc>
          <w:tcPr>
            <w:tcW w:w="792" w:type="dxa"/>
            <w:vMerge w:val="restart"/>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培训</w:t>
            </w:r>
          </w:p>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（2分）</w:t>
            </w:r>
          </w:p>
        </w:tc>
        <w:tc>
          <w:tcPr>
            <w:tcW w:w="144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（1</w:t>
            </w:r>
            <w:r>
              <w:rPr>
                <w:rFonts w:hint="eastAsia" w:ascii="仿宋_GB2312" w:eastAsia="仿宋_GB2312" w:hAnsiTheme="minorEastAsia" w:cstheme="minorEastAsia"/>
                <w:color w:val="auto"/>
                <w:szCs w:val="21"/>
              </w:rPr>
              <w:t>分）</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每月最少</w:t>
            </w:r>
            <w:r>
              <w:rPr>
                <w:rFonts w:hint="eastAsia" w:ascii="仿宋_GB2312" w:eastAsia="仿宋_GB2312" w:hAnsiTheme="minorEastAsia" w:cstheme="minorEastAsia"/>
                <w:color w:val="auto"/>
                <w:szCs w:val="21"/>
                <w:lang w:val="zh-CN"/>
              </w:rPr>
              <w:t>2</w:t>
            </w:r>
            <w:r>
              <w:rPr>
                <w:rFonts w:hint="eastAsia" w:ascii="仿宋_GB2312" w:eastAsia="仿宋_GB2312" w:hAnsiTheme="minorEastAsia" w:cstheme="minorEastAsia"/>
                <w:color w:val="auto"/>
                <w:szCs w:val="21"/>
              </w:rPr>
              <w:t>次培训（含操作、制度、安全）</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1</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503" w:hRule="exact"/>
          <w:jc w:val="center"/>
        </w:trPr>
        <w:tc>
          <w:tcPr>
            <w:tcW w:w="631"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792" w:type="dxa"/>
            <w:vMerge w:val="continue"/>
            <w:tcBorders>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144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（1分）</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培训要求培训大纲及签到表</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1</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588" w:hRule="exact"/>
          <w:jc w:val="center"/>
        </w:trPr>
        <w:tc>
          <w:tcPr>
            <w:tcW w:w="631"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11</w:t>
            </w:r>
          </w:p>
        </w:tc>
        <w:tc>
          <w:tcPr>
            <w:tcW w:w="792"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执行力 （2分）</w:t>
            </w:r>
          </w:p>
        </w:tc>
        <w:tc>
          <w:tcPr>
            <w:tcW w:w="144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（2分）</w:t>
            </w:r>
          </w:p>
        </w:tc>
        <w:tc>
          <w:tcPr>
            <w:tcW w:w="4912" w:type="dxa"/>
            <w:tcBorders>
              <w:top w:val="single" w:color="auto" w:sz="4" w:space="0"/>
              <w:left w:val="single" w:color="auto" w:sz="4" w:space="0"/>
            </w:tcBorders>
            <w:shd w:val="clear" w:color="auto" w:fill="FFFFFF"/>
            <w:vAlign w:val="center"/>
          </w:tcPr>
          <w:p>
            <w:pPr>
              <w:spacing w:line="280" w:lineRule="exact"/>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依据甲方相关制度和要求，积极配合管理并执行。</w:t>
            </w:r>
          </w:p>
        </w:tc>
        <w:tc>
          <w:tcPr>
            <w:tcW w:w="698" w:type="dxa"/>
            <w:tcBorders>
              <w:top w:val="single" w:color="auto" w:sz="4" w:space="0"/>
              <w:left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2</w:t>
            </w:r>
          </w:p>
        </w:tc>
        <w:tc>
          <w:tcPr>
            <w:tcW w:w="525" w:type="dxa"/>
            <w:tcBorders>
              <w:top w:val="single" w:color="auto" w:sz="4" w:space="0"/>
              <w:lef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r>
        <w:tblPrEx>
          <w:tblLayout w:type="fixed"/>
          <w:tblCellMar>
            <w:top w:w="0" w:type="dxa"/>
            <w:left w:w="10" w:type="dxa"/>
            <w:bottom w:w="0" w:type="dxa"/>
            <w:right w:w="10" w:type="dxa"/>
          </w:tblCellMar>
        </w:tblPrEx>
        <w:trPr>
          <w:trHeight w:val="701" w:hRule="exact"/>
          <w:jc w:val="center"/>
        </w:trPr>
        <w:tc>
          <w:tcPr>
            <w:tcW w:w="7783" w:type="dxa"/>
            <w:gridSpan w:val="4"/>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rPr>
              <w:t>总分</w:t>
            </w:r>
          </w:p>
        </w:tc>
        <w:tc>
          <w:tcPr>
            <w:tcW w:w="698"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仿宋_GB2312" w:eastAsia="仿宋_GB2312" w:hAnsiTheme="minorEastAsia" w:cstheme="minorEastAsia"/>
                <w:color w:val="auto"/>
                <w:szCs w:val="21"/>
              </w:rPr>
            </w:pPr>
            <w:r>
              <w:rPr>
                <w:rFonts w:hint="eastAsia" w:ascii="仿宋_GB2312" w:eastAsia="仿宋_GB2312" w:hAnsiTheme="minorEastAsia" w:cstheme="minorEastAsia"/>
                <w:color w:val="auto"/>
                <w:szCs w:val="21"/>
                <w:lang w:val="zh-CN"/>
              </w:rPr>
              <w:t>100</w:t>
            </w:r>
          </w:p>
        </w:tc>
        <w:tc>
          <w:tcPr>
            <w:tcW w:w="525" w:type="dxa"/>
            <w:tcBorders>
              <w:top w:val="single" w:color="auto" w:sz="4" w:space="0"/>
              <w:left w:val="single" w:color="auto" w:sz="4" w:space="0"/>
              <w:bottom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c>
          <w:tcPr>
            <w:tcW w:w="623" w:type="dxa"/>
            <w:tcBorders>
              <w:top w:val="single" w:color="auto" w:sz="4" w:space="0"/>
              <w:left w:val="single" w:color="auto" w:sz="4" w:space="0"/>
              <w:bottom w:val="single" w:color="auto" w:sz="4" w:space="0"/>
              <w:right w:val="single" w:color="auto" w:sz="4" w:space="0"/>
            </w:tcBorders>
            <w:shd w:val="clear" w:color="auto" w:fill="FFFFFF"/>
          </w:tcPr>
          <w:p>
            <w:pPr>
              <w:spacing w:line="280" w:lineRule="exact"/>
              <w:rPr>
                <w:rFonts w:ascii="仿宋_GB2312" w:eastAsia="仿宋_GB2312" w:hAnsiTheme="minorEastAsia" w:cstheme="minorEastAsia"/>
                <w:color w:val="auto"/>
                <w:szCs w:val="21"/>
              </w:rPr>
            </w:pPr>
          </w:p>
        </w:tc>
      </w:tr>
    </w:tbl>
    <w:p>
      <w:pPr>
        <w:widowControl/>
        <w:adjustRightInd w:val="0"/>
        <w:snapToGrid w:val="0"/>
        <w:jc w:val="left"/>
        <w:rPr>
          <w:rFonts w:hint="eastAsia"/>
          <w:color w:val="auto"/>
        </w:rPr>
      </w:pPr>
      <w:r>
        <w:rPr>
          <w:rFonts w:hint="eastAsia"/>
          <w:color w:val="auto"/>
        </w:rPr>
        <w:br w:type="page"/>
      </w:r>
    </w:p>
    <w:p>
      <w:pPr>
        <w:rPr>
          <w:rFonts w:hint="eastAsia" w:ascii="仿宋_GB2312" w:eastAsia="仿宋_GB2312" w:hAnsiTheme="minorEastAsia" w:cstheme="minorEastAsia"/>
          <w:b/>
          <w:bCs/>
          <w:color w:val="auto"/>
          <w:sz w:val="24"/>
          <w:lang w:val="en-US" w:eastAsia="zh-CN"/>
        </w:rPr>
      </w:pPr>
      <w:r>
        <w:rPr>
          <w:rFonts w:hint="eastAsia" w:ascii="仿宋_GB2312" w:eastAsia="仿宋_GB2312" w:hAnsiTheme="minorEastAsia" w:cstheme="minorEastAsia"/>
          <w:b/>
          <w:bCs/>
          <w:color w:val="auto"/>
          <w:sz w:val="24"/>
          <w:lang w:eastAsia="zh-CN"/>
        </w:rPr>
        <w:t>附件三：</w:t>
      </w:r>
    </w:p>
    <w:p>
      <w:pPr>
        <w:jc w:val="center"/>
        <w:rPr>
          <w:b/>
          <w:bCs/>
          <w:color w:val="auto"/>
          <w:sz w:val="24"/>
          <w:szCs w:val="24"/>
        </w:rPr>
      </w:pPr>
      <w:r>
        <w:rPr>
          <w:rFonts w:hint="eastAsia"/>
          <w:b/>
          <w:bCs/>
          <w:color w:val="auto"/>
          <w:sz w:val="24"/>
          <w:szCs w:val="24"/>
        </w:rPr>
        <w:t>餐厅满意度调查问卷</w:t>
      </w:r>
    </w:p>
    <w:p>
      <w:pPr>
        <w:spacing w:line="320" w:lineRule="exact"/>
        <w:rPr>
          <w:rFonts w:ascii="微软雅黑" w:hAnsi="微软雅黑" w:eastAsia="微软雅黑"/>
          <w:color w:val="auto"/>
          <w:sz w:val="18"/>
          <w:szCs w:val="24"/>
        </w:rPr>
      </w:pPr>
    </w:p>
    <w:p>
      <w:pPr>
        <w:spacing w:line="320" w:lineRule="exact"/>
        <w:jc w:val="left"/>
        <w:rPr>
          <w:rFonts w:ascii="微软雅黑" w:hAnsi="微软雅黑" w:eastAsia="微软雅黑"/>
          <w:color w:val="auto"/>
          <w:sz w:val="24"/>
          <w:szCs w:val="24"/>
        </w:rPr>
      </w:pPr>
      <w:r>
        <w:rPr>
          <w:rFonts w:hint="eastAsia" w:ascii="微软雅黑" w:hAnsi="微软雅黑" w:eastAsia="微软雅黑"/>
          <w:color w:val="auto"/>
          <w:sz w:val="24"/>
          <w:szCs w:val="24"/>
          <w:lang w:eastAsia="zh-CN"/>
        </w:rPr>
        <w:t>　　　　　　　　　　　　</w:t>
      </w:r>
      <w:r>
        <w:rPr>
          <w:rFonts w:hint="eastAsia" w:ascii="微软雅黑" w:hAnsi="微软雅黑" w:eastAsia="微软雅黑"/>
          <w:color w:val="auto"/>
          <w:sz w:val="24"/>
          <w:szCs w:val="24"/>
        </w:rPr>
        <w:t xml:space="preserve"> 部门</w:t>
      </w:r>
      <w:r>
        <w:rPr>
          <w:rFonts w:hint="eastAsia" w:ascii="微软雅黑" w:hAnsi="微软雅黑" w:eastAsia="微软雅黑"/>
          <w:color w:val="auto"/>
          <w:sz w:val="24"/>
          <w:szCs w:val="24"/>
          <w:u w:val="single"/>
        </w:rPr>
        <w:t xml:space="preserve">          </w:t>
      </w:r>
      <w:r>
        <w:rPr>
          <w:rFonts w:hint="eastAsia" w:ascii="微软雅黑" w:hAnsi="微软雅黑" w:eastAsia="微软雅黑"/>
          <w:color w:val="auto"/>
          <w:sz w:val="24"/>
          <w:szCs w:val="24"/>
        </w:rPr>
        <w:t xml:space="preserve">   日期</w:t>
      </w:r>
      <w:r>
        <w:rPr>
          <w:rFonts w:hint="eastAsia" w:ascii="微软雅黑" w:hAnsi="微软雅黑" w:eastAsia="微软雅黑"/>
          <w:color w:val="auto"/>
          <w:sz w:val="24"/>
          <w:szCs w:val="24"/>
          <w:u w:val="single"/>
        </w:rPr>
        <w:t xml:space="preserve">          </w:t>
      </w:r>
    </w:p>
    <w:p>
      <w:pPr>
        <w:rPr>
          <w:rFonts w:ascii="微软雅黑" w:hAnsi="微软雅黑" w:eastAsia="微软雅黑"/>
          <w:color w:val="auto"/>
          <w:sz w:val="20"/>
          <w:szCs w:val="24"/>
        </w:rPr>
      </w:pPr>
      <w:r>
        <w:rPr>
          <w:rFonts w:hint="eastAsia" w:ascii="微软雅黑" w:hAnsi="微软雅黑" w:eastAsia="微软雅黑"/>
          <w:color w:val="auto"/>
          <w:sz w:val="20"/>
          <w:szCs w:val="24"/>
        </w:rPr>
        <w:t>调查须知：请您抽出1分钟时间，根据自身的用餐感受进行评分。我们将根据您的反馈，作相应改善。</w:t>
      </w:r>
    </w:p>
    <w:p>
      <w:pPr>
        <w:spacing w:line="240" w:lineRule="exact"/>
        <w:rPr>
          <w:rFonts w:ascii="微软雅黑" w:hAnsi="微软雅黑" w:eastAsia="微软雅黑"/>
          <w:color w:val="auto"/>
          <w:sz w:val="20"/>
          <w:szCs w:val="24"/>
        </w:rPr>
      </w:pPr>
      <w:r>
        <w:rPr>
          <w:rFonts w:hint="eastAsia" w:ascii="微软雅黑" w:hAnsi="微软雅黑" w:eastAsia="微软雅黑"/>
          <w:color w:val="auto"/>
          <w:sz w:val="20"/>
          <w:szCs w:val="24"/>
        </w:rPr>
        <w:t>1-2分表示非常不满，3-4分表示不满，5-6分表示一般，7-8分表示满意，9-10分表示非常满意</w:t>
      </w:r>
    </w:p>
    <w:p>
      <w:pPr>
        <w:spacing w:line="240" w:lineRule="exact"/>
        <w:rPr>
          <w:rFonts w:ascii="微软雅黑" w:hAnsi="微软雅黑" w:eastAsia="微软雅黑"/>
          <w:color w:val="auto"/>
          <w:sz w:val="20"/>
          <w:szCs w:val="24"/>
        </w:rPr>
      </w:pPr>
    </w:p>
    <w:p>
      <w:pPr>
        <w:pStyle w:val="27"/>
        <w:numPr>
          <w:ilvl w:val="0"/>
          <w:numId w:val="4"/>
        </w:numPr>
        <w:spacing w:line="240" w:lineRule="exact"/>
        <w:ind w:firstLineChars="0"/>
        <w:rPr>
          <w:rFonts w:ascii="微软雅黑" w:hAnsi="微软雅黑" w:eastAsia="微软雅黑"/>
          <w:b/>
          <w:color w:val="auto"/>
          <w:szCs w:val="18"/>
        </w:rPr>
      </w:pPr>
      <w:r>
        <w:rPr>
          <w:rFonts w:hint="eastAsia" w:ascii="微软雅黑" w:hAnsi="微软雅黑" w:eastAsia="微软雅黑"/>
          <w:b/>
          <w:color w:val="auto"/>
          <w:szCs w:val="18"/>
        </w:rPr>
        <w:t>请对菜品的满意度进行评分。</w:t>
      </w:r>
    </w:p>
    <w:tbl>
      <w:tblPr>
        <w:tblStyle w:val="13"/>
        <w:tblpPr w:leftFromText="180" w:rightFromText="180" w:vertAnchor="text" w:horzAnchor="page" w:tblpX="2278" w:tblpY="115"/>
        <w:tblW w:w="6000" w:type="dxa"/>
        <w:tblInd w:w="0" w:type="dxa"/>
        <w:tblLayout w:type="fixed"/>
        <w:tblCellMar>
          <w:top w:w="0" w:type="dxa"/>
          <w:left w:w="108" w:type="dxa"/>
          <w:bottom w:w="0" w:type="dxa"/>
          <w:right w:w="108" w:type="dxa"/>
        </w:tblCellMar>
      </w:tblPr>
      <w:tblGrid>
        <w:gridCol w:w="600"/>
        <w:gridCol w:w="600"/>
        <w:gridCol w:w="600"/>
        <w:gridCol w:w="600"/>
        <w:gridCol w:w="600"/>
        <w:gridCol w:w="600"/>
        <w:gridCol w:w="600"/>
        <w:gridCol w:w="600"/>
        <w:gridCol w:w="600"/>
        <w:gridCol w:w="600"/>
      </w:tblGrid>
      <w:tr>
        <w:tblPrEx>
          <w:tblLayout w:type="fixed"/>
          <w:tblCellMar>
            <w:top w:w="0" w:type="dxa"/>
            <w:left w:w="108" w:type="dxa"/>
            <w:bottom w:w="0" w:type="dxa"/>
            <w:right w:w="108" w:type="dxa"/>
          </w:tblCellMar>
        </w:tblPrEx>
        <w:trPr>
          <w:trHeight w:val="81"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10</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9</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8</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7</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6</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5</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4</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3</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2</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w:t>
            </w:r>
          </w:p>
        </w:tc>
      </w:tr>
    </w:tbl>
    <w:p>
      <w:pPr>
        <w:rPr>
          <w:rFonts w:ascii="微软雅黑" w:hAnsi="微软雅黑" w:eastAsia="微软雅黑"/>
          <w:color w:val="auto"/>
          <w:szCs w:val="18"/>
        </w:rPr>
      </w:pPr>
      <w:r>
        <w:rPr>
          <w:rFonts w:ascii="微软雅黑" w:hAnsi="微软雅黑" w:eastAsia="微软雅黑"/>
          <w:color w:val="auto"/>
          <w:szCs w:val="18"/>
        </w:rPr>
        <mc:AlternateContent>
          <mc:Choice Requires="wps">
            <w:drawing>
              <wp:anchor distT="0" distB="0" distL="114300" distR="114300" simplePos="0" relativeHeight="251661312" behindDoc="0" locked="0" layoutInCell="1" allowOverlap="1">
                <wp:simplePos x="0" y="0"/>
                <wp:positionH relativeFrom="column">
                  <wp:posOffset>-285115</wp:posOffset>
                </wp:positionH>
                <wp:positionV relativeFrom="paragraph">
                  <wp:posOffset>74295</wp:posOffset>
                </wp:positionV>
                <wp:extent cx="742950" cy="314325"/>
                <wp:effectExtent l="0" t="0" r="0" b="952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45pt;margin-top:5.85pt;height:24.75pt;width:58.5pt;z-index:251661312;mso-width-relative:page;mso-height-relative:page;" fillcolor="#FFFFFF" filled="t" stroked="f" coordsize="21600,21600" o:gfxdata="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VWxyQ1gAA&#10;AAgBAAAPAAAAAAAAAAEAIAAAACIAAABkcnMvZG93bnJldi54bWxQSwECFAAUAAAACACHTuJAzXZM&#10;3SACAAARBAAADgAAAAAAAAABACAAAAAlAQAAZHJzL2Uyb0RvYy54bWxQSwUGAAAAAAYABgBZAQAA&#10;twU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r>
        <w:rPr>
          <w:rFonts w:ascii="微软雅黑" w:hAnsi="微软雅黑" w:eastAsia="微软雅黑"/>
          <w:color w:val="auto"/>
          <w:szCs w:val="18"/>
        </w:rPr>
        <mc:AlternateContent>
          <mc:Choice Requires="wps">
            <w:drawing>
              <wp:anchor distT="0" distB="0" distL="114300" distR="114300" simplePos="0" relativeHeight="251659264" behindDoc="0" locked="0" layoutInCell="1" allowOverlap="1">
                <wp:simplePos x="0" y="0"/>
                <wp:positionH relativeFrom="column">
                  <wp:posOffset>-4676140</wp:posOffset>
                </wp:positionH>
                <wp:positionV relativeFrom="paragraph">
                  <wp:posOffset>71755</wp:posOffset>
                </wp:positionV>
                <wp:extent cx="742950" cy="314325"/>
                <wp:effectExtent l="0" t="0" r="0" b="9525"/>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8.2pt;margin-top:5.65pt;height:24.75pt;width:58.5pt;z-index:251659264;mso-width-relative:page;mso-height-relative:page;" fillcolor="#FFFFFF" filled="t" stroked="f" coordsize="21600,21600" o:gfxdata="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VBA&#10;EtgAAAALAQAADwAAAAAAAAABACAAAAAiAAAAZHJzL2Rvd25yZXYueG1sUEsBAhQAFAAAAAgAh07i&#10;QPDRqqciAgAAEwQAAA4AAAAAAAAAAQAgAAAAJwEAAGRycy9lMm9Eb2MueG1sUEsFBgAAAAAGAAYA&#10;WQEAALsFA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p>
    <w:p>
      <w:pPr>
        <w:pStyle w:val="2"/>
        <w:rPr>
          <w:color w:val="auto"/>
        </w:rPr>
      </w:pPr>
    </w:p>
    <w:p>
      <w:pPr>
        <w:pStyle w:val="27"/>
        <w:numPr>
          <w:ilvl w:val="0"/>
          <w:numId w:val="4"/>
        </w:numPr>
        <w:spacing w:line="240" w:lineRule="exact"/>
        <w:ind w:firstLineChars="0"/>
        <w:rPr>
          <w:rFonts w:ascii="微软雅黑" w:hAnsi="微软雅黑" w:eastAsia="微软雅黑"/>
          <w:b/>
          <w:color w:val="auto"/>
          <w:szCs w:val="18"/>
        </w:rPr>
      </w:pPr>
      <w:r>
        <w:rPr>
          <w:rFonts w:hint="eastAsia" w:ascii="微软雅黑" w:hAnsi="微软雅黑" w:eastAsia="微软雅黑"/>
          <w:b/>
          <w:color w:val="auto"/>
          <w:szCs w:val="18"/>
        </w:rPr>
        <w:t>请对米饭的满意度进行评分。</w:t>
      </w:r>
    </w:p>
    <w:tbl>
      <w:tblPr>
        <w:tblStyle w:val="13"/>
        <w:tblpPr w:leftFromText="180" w:rightFromText="180" w:vertAnchor="text" w:horzAnchor="page" w:tblpX="2278" w:tblpY="115"/>
        <w:tblW w:w="6000" w:type="dxa"/>
        <w:tblInd w:w="0" w:type="dxa"/>
        <w:tblLayout w:type="fixed"/>
        <w:tblCellMar>
          <w:top w:w="0" w:type="dxa"/>
          <w:left w:w="108" w:type="dxa"/>
          <w:bottom w:w="0" w:type="dxa"/>
          <w:right w:w="108" w:type="dxa"/>
        </w:tblCellMar>
      </w:tblPr>
      <w:tblGrid>
        <w:gridCol w:w="600"/>
        <w:gridCol w:w="600"/>
        <w:gridCol w:w="600"/>
        <w:gridCol w:w="600"/>
        <w:gridCol w:w="600"/>
        <w:gridCol w:w="600"/>
        <w:gridCol w:w="600"/>
        <w:gridCol w:w="600"/>
        <w:gridCol w:w="600"/>
        <w:gridCol w:w="600"/>
      </w:tblGrid>
      <w:tr>
        <w:tblPrEx>
          <w:tblLayout w:type="fixed"/>
          <w:tblCellMar>
            <w:top w:w="0" w:type="dxa"/>
            <w:left w:w="108" w:type="dxa"/>
            <w:bottom w:w="0" w:type="dxa"/>
            <w:right w:w="108" w:type="dxa"/>
          </w:tblCellMar>
        </w:tblPrEx>
        <w:trPr>
          <w:trHeight w:val="81"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10</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9</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8</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7</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6</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5</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4</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3</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2</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w:t>
            </w:r>
          </w:p>
        </w:tc>
      </w:tr>
    </w:tbl>
    <w:p>
      <w:pPr>
        <w:rPr>
          <w:rFonts w:ascii="微软雅黑" w:hAnsi="微软雅黑" w:eastAsia="微软雅黑"/>
          <w:color w:val="auto"/>
          <w:szCs w:val="18"/>
        </w:rPr>
      </w:pPr>
      <w:r>
        <w:rPr>
          <w:rFonts w:ascii="微软雅黑" w:hAnsi="微软雅黑" w:eastAsia="微软雅黑"/>
          <w:color w:val="auto"/>
          <w:szCs w:val="18"/>
        </w:rPr>
        <mc:AlternateContent>
          <mc:Choice Requires="wps">
            <w:drawing>
              <wp:anchor distT="0" distB="0" distL="114300" distR="114300" simplePos="0" relativeHeight="251693056" behindDoc="0" locked="0" layoutInCell="1" allowOverlap="1">
                <wp:simplePos x="0" y="0"/>
                <wp:positionH relativeFrom="column">
                  <wp:posOffset>-275590</wp:posOffset>
                </wp:positionH>
                <wp:positionV relativeFrom="paragraph">
                  <wp:posOffset>97155</wp:posOffset>
                </wp:positionV>
                <wp:extent cx="742950" cy="314325"/>
                <wp:effectExtent l="0" t="0" r="0" b="9525"/>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7pt;margin-top:7.65pt;height:24.75pt;width:58.5pt;z-index:251693056;mso-width-relative:page;mso-height-relative:page;" fillcolor="#FFFFFF" filled="t" stroked="f" coordsize="21600,21600" o:gfxdata="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x/QptYA&#10;AAAIAQAADwAAAAAAAAABACAAAAAiAAAAZHJzL2Rvd25yZXYueG1sUEsBAhQAFAAAAAgAh07iQC8x&#10;7hQhAgAAEgQAAA4AAAAAAAAAAQAgAAAAJQEAAGRycy9lMm9Eb2MueG1sUEsFBgAAAAAGAAYAWQEA&#10;ALgFA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r>
        <w:rPr>
          <w:rFonts w:ascii="微软雅黑" w:hAnsi="微软雅黑" w:eastAsia="微软雅黑"/>
          <w:color w:val="auto"/>
          <w:szCs w:val="18"/>
        </w:rPr>
        <mc:AlternateContent>
          <mc:Choice Requires="wps">
            <w:drawing>
              <wp:anchor distT="0" distB="0" distL="114300" distR="114300" simplePos="0" relativeHeight="251663360" behindDoc="0" locked="0" layoutInCell="1" allowOverlap="1">
                <wp:simplePos x="0" y="0"/>
                <wp:positionH relativeFrom="column">
                  <wp:posOffset>-4676140</wp:posOffset>
                </wp:positionH>
                <wp:positionV relativeFrom="paragraph">
                  <wp:posOffset>71755</wp:posOffset>
                </wp:positionV>
                <wp:extent cx="742950" cy="314325"/>
                <wp:effectExtent l="0" t="0" r="0" b="9525"/>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8.2pt;margin-top:5.65pt;height:24.75pt;width:58.5pt;z-index:251663360;mso-width-relative:page;mso-height-relative:page;" fillcolor="#FFFFFF" filled="t" stroked="f" coordsize="21600,21600" o:gfxdata="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UEAS&#10;2AAAAAsBAAAPAAAAAAAAAAEAIAAAACIAAABkcnMvZG93bnJldi54bWxQSwECFAAUAAAACACHTuJA&#10;AJoW1yECAAARBAAADgAAAAAAAAABACAAAAAnAQAAZHJzL2Uyb0RvYy54bWxQSwUGAAAAAAYABgBZ&#10;AQAAugU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p>
    <w:p>
      <w:pPr>
        <w:rPr>
          <w:rFonts w:ascii="微软雅黑" w:hAnsi="微软雅黑" w:eastAsia="微软雅黑"/>
          <w:b/>
          <w:color w:val="auto"/>
          <w:szCs w:val="18"/>
        </w:rPr>
      </w:pPr>
    </w:p>
    <w:p>
      <w:pPr>
        <w:pStyle w:val="27"/>
        <w:numPr>
          <w:ilvl w:val="0"/>
          <w:numId w:val="4"/>
        </w:numPr>
        <w:spacing w:line="240" w:lineRule="exact"/>
        <w:ind w:firstLineChars="0"/>
        <w:rPr>
          <w:rFonts w:ascii="微软雅黑" w:hAnsi="微软雅黑" w:eastAsia="微软雅黑"/>
          <w:b/>
          <w:color w:val="auto"/>
          <w:szCs w:val="18"/>
        </w:rPr>
      </w:pPr>
      <w:r>
        <w:rPr>
          <w:rFonts w:hint="eastAsia" w:ascii="微软雅黑" w:hAnsi="微软雅黑" w:eastAsia="微软雅黑"/>
          <w:b/>
          <w:color w:val="auto"/>
          <w:szCs w:val="18"/>
        </w:rPr>
        <w:t>请对汤品的满意度进行评分。</w:t>
      </w:r>
    </w:p>
    <w:tbl>
      <w:tblPr>
        <w:tblStyle w:val="13"/>
        <w:tblpPr w:leftFromText="180" w:rightFromText="180" w:vertAnchor="text" w:horzAnchor="page" w:tblpX="2278" w:tblpY="115"/>
        <w:tblW w:w="6000" w:type="dxa"/>
        <w:tblInd w:w="0" w:type="dxa"/>
        <w:tblLayout w:type="fixed"/>
        <w:tblCellMar>
          <w:top w:w="0" w:type="dxa"/>
          <w:left w:w="108" w:type="dxa"/>
          <w:bottom w:w="0" w:type="dxa"/>
          <w:right w:w="108" w:type="dxa"/>
        </w:tblCellMar>
      </w:tblPr>
      <w:tblGrid>
        <w:gridCol w:w="600"/>
        <w:gridCol w:w="600"/>
        <w:gridCol w:w="600"/>
        <w:gridCol w:w="600"/>
        <w:gridCol w:w="600"/>
        <w:gridCol w:w="600"/>
        <w:gridCol w:w="600"/>
        <w:gridCol w:w="600"/>
        <w:gridCol w:w="600"/>
        <w:gridCol w:w="600"/>
      </w:tblGrid>
      <w:tr>
        <w:tblPrEx>
          <w:tblLayout w:type="fixed"/>
          <w:tblCellMar>
            <w:top w:w="0" w:type="dxa"/>
            <w:left w:w="108" w:type="dxa"/>
            <w:bottom w:w="0" w:type="dxa"/>
            <w:right w:w="108" w:type="dxa"/>
          </w:tblCellMar>
        </w:tblPrEx>
        <w:trPr>
          <w:trHeight w:val="81"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10</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9</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8</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7</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6</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5</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4</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3</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2</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w:t>
            </w:r>
          </w:p>
        </w:tc>
      </w:tr>
    </w:tbl>
    <w:p>
      <w:pPr>
        <w:rPr>
          <w:rFonts w:ascii="微软雅黑" w:hAnsi="微软雅黑" w:eastAsia="微软雅黑"/>
          <w:color w:val="auto"/>
          <w:szCs w:val="18"/>
        </w:rPr>
      </w:pPr>
      <w:r>
        <w:rPr>
          <w:rFonts w:ascii="微软雅黑" w:hAnsi="微软雅黑" w:eastAsia="微软雅黑"/>
          <w:color w:val="auto"/>
          <w:szCs w:val="18"/>
        </w:rPr>
        <mc:AlternateContent>
          <mc:Choice Requires="wps">
            <w:drawing>
              <wp:anchor distT="0" distB="0" distL="114300" distR="114300" simplePos="0" relativeHeight="251701248" behindDoc="0" locked="0" layoutInCell="1" allowOverlap="1">
                <wp:simplePos x="0" y="0"/>
                <wp:positionH relativeFrom="column">
                  <wp:posOffset>-285115</wp:posOffset>
                </wp:positionH>
                <wp:positionV relativeFrom="paragraph">
                  <wp:posOffset>85725</wp:posOffset>
                </wp:positionV>
                <wp:extent cx="742950" cy="314325"/>
                <wp:effectExtent l="0" t="0" r="0" b="9525"/>
                <wp:wrapNone/>
                <wp:docPr id="2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45pt;margin-top:6.75pt;height:24.75pt;width:58.5pt;z-index:251701248;mso-width-relative:page;mso-height-relative:page;" fillcolor="#FFFFFF" filled="t" stroked="f" coordsize="21600,21600" o:gfxdata="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Ktu5vX&#10;AAAACAEAAA8AAAAAAAAAAQAgAAAAIgAAAGRycy9kb3ducmV2LnhtbFBLAQIUABQAAAAIAIdO4kCc&#10;A4JQIQIAABIEAAAOAAAAAAAAAAEAIAAAACYBAABkcnMvZTJvRG9jLnhtbFBLBQYAAAAABgAGAFkB&#10;AAC5BQ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r>
        <w:rPr>
          <w:rFonts w:ascii="微软雅黑" w:hAnsi="微软雅黑" w:eastAsia="微软雅黑"/>
          <w:color w:val="auto"/>
          <w:szCs w:val="18"/>
        </w:rPr>
        <mc:AlternateContent>
          <mc:Choice Requires="wps">
            <w:drawing>
              <wp:anchor distT="0" distB="0" distL="114300" distR="114300" simplePos="0" relativeHeight="251669504" behindDoc="0" locked="0" layoutInCell="1" allowOverlap="1">
                <wp:simplePos x="0" y="0"/>
                <wp:positionH relativeFrom="column">
                  <wp:posOffset>-4676140</wp:posOffset>
                </wp:positionH>
                <wp:positionV relativeFrom="paragraph">
                  <wp:posOffset>71755</wp:posOffset>
                </wp:positionV>
                <wp:extent cx="742950" cy="314325"/>
                <wp:effectExtent l="0" t="0" r="0" b="9525"/>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8.2pt;margin-top:5.65pt;height:24.75pt;width:58.5pt;z-index:251669504;mso-width-relative:page;mso-height-relative:page;" fillcolor="#FFFFFF" filled="t" stroked="f" coordsize="21600,21600" o:gfxdata="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1QQBLY&#10;AAAACwEAAA8AAAAAAAAAAQAgAAAAIgAAAGRycy9kb3ducmV2LnhtbFBLAQIUABQAAAAIAIdO4kDs&#10;9M/PIAIAABEEAAAOAAAAAAAAAAEAIAAAACcBAABkcnMvZTJvRG9jLnhtbFBLBQYAAAAABgAGAFkB&#10;AAC5BQ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p>
    <w:p>
      <w:pPr>
        <w:rPr>
          <w:rFonts w:ascii="微软雅黑" w:hAnsi="微软雅黑" w:eastAsia="微软雅黑"/>
          <w:b/>
          <w:color w:val="auto"/>
          <w:szCs w:val="18"/>
        </w:rPr>
      </w:pPr>
    </w:p>
    <w:p>
      <w:pPr>
        <w:pStyle w:val="27"/>
        <w:numPr>
          <w:ilvl w:val="0"/>
          <w:numId w:val="4"/>
        </w:numPr>
        <w:spacing w:line="240" w:lineRule="exact"/>
        <w:ind w:firstLineChars="0"/>
        <w:rPr>
          <w:rFonts w:ascii="微软雅黑" w:hAnsi="微软雅黑" w:eastAsia="微软雅黑"/>
          <w:b/>
          <w:color w:val="auto"/>
          <w:szCs w:val="18"/>
        </w:rPr>
      </w:pPr>
      <w:r>
        <w:rPr>
          <w:rFonts w:hint="eastAsia" w:ascii="微软雅黑" w:hAnsi="微软雅黑" w:eastAsia="微软雅黑"/>
          <w:b/>
          <w:color w:val="auto"/>
          <w:szCs w:val="18"/>
        </w:rPr>
        <w:t>请对早餐的满意度进行评分。</w:t>
      </w:r>
    </w:p>
    <w:tbl>
      <w:tblPr>
        <w:tblStyle w:val="13"/>
        <w:tblpPr w:leftFromText="180" w:rightFromText="180" w:vertAnchor="text" w:horzAnchor="page" w:tblpX="2278" w:tblpY="115"/>
        <w:tblW w:w="6000" w:type="dxa"/>
        <w:tblInd w:w="0" w:type="dxa"/>
        <w:tblLayout w:type="fixed"/>
        <w:tblCellMar>
          <w:top w:w="0" w:type="dxa"/>
          <w:left w:w="108" w:type="dxa"/>
          <w:bottom w:w="0" w:type="dxa"/>
          <w:right w:w="108" w:type="dxa"/>
        </w:tblCellMar>
      </w:tblPr>
      <w:tblGrid>
        <w:gridCol w:w="600"/>
        <w:gridCol w:w="600"/>
        <w:gridCol w:w="600"/>
        <w:gridCol w:w="600"/>
        <w:gridCol w:w="600"/>
        <w:gridCol w:w="600"/>
        <w:gridCol w:w="600"/>
        <w:gridCol w:w="600"/>
        <w:gridCol w:w="600"/>
        <w:gridCol w:w="600"/>
      </w:tblGrid>
      <w:tr>
        <w:tblPrEx>
          <w:tblLayout w:type="fixed"/>
          <w:tblCellMar>
            <w:top w:w="0" w:type="dxa"/>
            <w:left w:w="108" w:type="dxa"/>
            <w:bottom w:w="0" w:type="dxa"/>
            <w:right w:w="108" w:type="dxa"/>
          </w:tblCellMar>
        </w:tblPrEx>
        <w:trPr>
          <w:trHeight w:val="81"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10</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9</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8</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7</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6</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5</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4</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3</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2</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w:t>
            </w:r>
          </w:p>
        </w:tc>
      </w:tr>
    </w:tbl>
    <w:p>
      <w:pPr>
        <w:rPr>
          <w:rFonts w:ascii="微软雅黑" w:hAnsi="微软雅黑" w:eastAsia="微软雅黑"/>
          <w:color w:val="auto"/>
          <w:szCs w:val="18"/>
        </w:rPr>
      </w:pPr>
      <w:r>
        <w:rPr>
          <w:rFonts w:ascii="微软雅黑" w:hAnsi="微软雅黑" w:eastAsia="微软雅黑"/>
          <w:color w:val="auto"/>
          <w:szCs w:val="18"/>
        </w:rPr>
        <mc:AlternateContent>
          <mc:Choice Requires="wps">
            <w:drawing>
              <wp:anchor distT="0" distB="0" distL="114300" distR="114300" simplePos="0" relativeHeight="251703296" behindDoc="0" locked="0" layoutInCell="1" allowOverlap="1">
                <wp:simplePos x="0" y="0"/>
                <wp:positionH relativeFrom="column">
                  <wp:posOffset>-285115</wp:posOffset>
                </wp:positionH>
                <wp:positionV relativeFrom="paragraph">
                  <wp:posOffset>70485</wp:posOffset>
                </wp:positionV>
                <wp:extent cx="742950" cy="314325"/>
                <wp:effectExtent l="0" t="0" r="0" b="9525"/>
                <wp:wrapNone/>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45pt;margin-top:5.55pt;height:24.75pt;width:58.5pt;z-index:251703296;mso-width-relative:page;mso-height-relative:page;" fillcolor="#FFFFFF" filled="t" stroked="f" coordsize="21600,21600" o:gfxdata="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IXxNDW&#10;AAAACAEAAA8AAAAAAAAAAQAgAAAAIgAAAGRycy9kb3ducmV2LnhtbFBLAQIUABQAAAAIAIdO4kAn&#10;WLRWIgIAABIEAAAOAAAAAAAAAAEAIAAAACUBAABkcnMvZTJvRG9jLnhtbFBLBQYAAAAABgAGAFkB&#10;AAC5BQ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r>
        <w:rPr>
          <w:rFonts w:ascii="微软雅黑" w:hAnsi="微软雅黑" w:eastAsia="微软雅黑"/>
          <w:color w:val="auto"/>
          <w:szCs w:val="18"/>
        </w:rPr>
        <mc:AlternateContent>
          <mc:Choice Requires="wps">
            <w:drawing>
              <wp:anchor distT="0" distB="0" distL="114300" distR="114300" simplePos="0" relativeHeight="251672576" behindDoc="0" locked="0" layoutInCell="1" allowOverlap="1">
                <wp:simplePos x="0" y="0"/>
                <wp:positionH relativeFrom="column">
                  <wp:posOffset>-4676140</wp:posOffset>
                </wp:positionH>
                <wp:positionV relativeFrom="paragraph">
                  <wp:posOffset>71755</wp:posOffset>
                </wp:positionV>
                <wp:extent cx="742950" cy="314325"/>
                <wp:effectExtent l="0" t="0" r="0" b="9525"/>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8.2pt;margin-top:5.65pt;height:24.75pt;width:58.5pt;z-index:251672576;mso-width-relative:page;mso-height-relative:page;" fillcolor="#FFFFFF" filled="t" stroked="f" coordsize="21600,21600" o:gfxdata="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UEAS&#10;2AAAAAsBAAAPAAAAAAAAAAEAIAAAACIAAABkcnMvZG93bnJldi54bWxQSwECFAAUAAAACACHTuJA&#10;DrNtBiECAAASBAAADgAAAAAAAAABACAAAAAnAQAAZHJzL2Uyb0RvYy54bWxQSwUGAAAAAAYABgBZ&#10;AQAAugU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p>
    <w:p>
      <w:pPr>
        <w:rPr>
          <w:rFonts w:ascii="微软雅黑" w:hAnsi="微软雅黑" w:eastAsia="微软雅黑"/>
          <w:b/>
          <w:color w:val="auto"/>
          <w:szCs w:val="18"/>
        </w:rPr>
      </w:pPr>
    </w:p>
    <w:p>
      <w:pPr>
        <w:pStyle w:val="27"/>
        <w:numPr>
          <w:ilvl w:val="0"/>
          <w:numId w:val="4"/>
        </w:numPr>
        <w:spacing w:line="240" w:lineRule="exact"/>
        <w:ind w:firstLineChars="0"/>
        <w:rPr>
          <w:rFonts w:ascii="微软雅黑" w:hAnsi="微软雅黑" w:eastAsia="微软雅黑"/>
          <w:b/>
          <w:color w:val="auto"/>
          <w:szCs w:val="18"/>
        </w:rPr>
      </w:pPr>
      <w:r>
        <w:rPr>
          <w:rFonts w:hint="eastAsia" w:ascii="微软雅黑" w:hAnsi="微软雅黑" w:eastAsia="微软雅黑"/>
          <w:b/>
          <w:color w:val="auto"/>
          <w:szCs w:val="18"/>
        </w:rPr>
        <w:t>您对超市进行评分。</w:t>
      </w:r>
    </w:p>
    <w:tbl>
      <w:tblPr>
        <w:tblStyle w:val="13"/>
        <w:tblpPr w:leftFromText="180" w:rightFromText="180" w:vertAnchor="text" w:horzAnchor="page" w:tblpX="2278" w:tblpY="115"/>
        <w:tblW w:w="6000" w:type="dxa"/>
        <w:tblInd w:w="0" w:type="dxa"/>
        <w:tblLayout w:type="fixed"/>
        <w:tblCellMar>
          <w:top w:w="0" w:type="dxa"/>
          <w:left w:w="108" w:type="dxa"/>
          <w:bottom w:w="0" w:type="dxa"/>
          <w:right w:w="108" w:type="dxa"/>
        </w:tblCellMar>
      </w:tblPr>
      <w:tblGrid>
        <w:gridCol w:w="600"/>
        <w:gridCol w:w="600"/>
        <w:gridCol w:w="600"/>
        <w:gridCol w:w="600"/>
        <w:gridCol w:w="600"/>
        <w:gridCol w:w="600"/>
        <w:gridCol w:w="600"/>
        <w:gridCol w:w="600"/>
        <w:gridCol w:w="600"/>
        <w:gridCol w:w="600"/>
      </w:tblGrid>
      <w:tr>
        <w:tblPrEx>
          <w:tblLayout w:type="fixed"/>
          <w:tblCellMar>
            <w:top w:w="0" w:type="dxa"/>
            <w:left w:w="108" w:type="dxa"/>
            <w:bottom w:w="0" w:type="dxa"/>
            <w:right w:w="108" w:type="dxa"/>
          </w:tblCellMar>
        </w:tblPrEx>
        <w:trPr>
          <w:trHeight w:val="81"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10</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9</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8</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7</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6</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5</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4</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3</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2</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w:t>
            </w:r>
          </w:p>
        </w:tc>
      </w:tr>
    </w:tbl>
    <w:p>
      <w:pPr>
        <w:rPr>
          <w:rFonts w:ascii="微软雅黑" w:hAnsi="微软雅黑" w:eastAsia="微软雅黑"/>
          <w:b/>
          <w:color w:val="auto"/>
          <w:szCs w:val="18"/>
        </w:rPr>
      </w:pPr>
      <w:r>
        <w:rPr>
          <w:rFonts w:ascii="微软雅黑" w:hAnsi="微软雅黑" w:eastAsia="微软雅黑"/>
          <w:color w:val="auto"/>
          <w:szCs w:val="18"/>
        </w:rPr>
        <mc:AlternateContent>
          <mc:Choice Requires="wps">
            <w:drawing>
              <wp:anchor distT="0" distB="0" distL="114300" distR="114300" simplePos="0" relativeHeight="251711488" behindDoc="0" locked="0" layoutInCell="1" allowOverlap="1">
                <wp:simplePos x="0" y="0"/>
                <wp:positionH relativeFrom="column">
                  <wp:posOffset>-275590</wp:posOffset>
                </wp:positionH>
                <wp:positionV relativeFrom="paragraph">
                  <wp:posOffset>68580</wp:posOffset>
                </wp:positionV>
                <wp:extent cx="742950" cy="314325"/>
                <wp:effectExtent l="0" t="0" r="0" b="9525"/>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7pt;margin-top:5.4pt;height:24.75pt;width:58.5pt;z-index:251711488;mso-width-relative:page;mso-height-relative:page;" fillcolor="#FFFFFF" filled="t" stroked="f" coordsize="21600,21600" o:gfxdata="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h8fK7W&#10;AAAACAEAAA8AAAAAAAAAAQAgAAAAIgAAAGRycy9kb3ducmV2LnhtbFBLAQIUABQAAAAIAIdO4kAN&#10;EqZsIgIAABIEAAAOAAAAAAAAAAEAIAAAACUBAABkcnMvZTJvRG9jLnhtbFBLBQYAAAAABgAGAFkB&#10;AAC5BQ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r>
        <w:rPr>
          <w:rFonts w:ascii="微软雅黑" w:hAnsi="微软雅黑" w:eastAsia="微软雅黑"/>
          <w:color w:val="auto"/>
          <w:szCs w:val="18"/>
        </w:rPr>
        <mc:AlternateContent>
          <mc:Choice Requires="wps">
            <w:drawing>
              <wp:anchor distT="0" distB="0" distL="114300" distR="114300" simplePos="0" relativeHeight="251678720" behindDoc="0" locked="0" layoutInCell="1" allowOverlap="1">
                <wp:simplePos x="0" y="0"/>
                <wp:positionH relativeFrom="column">
                  <wp:posOffset>-4676140</wp:posOffset>
                </wp:positionH>
                <wp:positionV relativeFrom="paragraph">
                  <wp:posOffset>71755</wp:posOffset>
                </wp:positionV>
                <wp:extent cx="742950" cy="314325"/>
                <wp:effectExtent l="0" t="0" r="0" b="9525"/>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8.2pt;margin-top:5.65pt;height:24.75pt;width:58.5pt;z-index:251678720;mso-width-relative:page;mso-height-relative:page;" fillcolor="#FFFFFF" filled="t" stroked="f" coordsize="21600,21600" o:gfxdata="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UEAS&#10;2AAAAAsBAAAPAAAAAAAAAAEAIAAAACIAAABkcnMvZG93bnJldi54bWxQSwECFAAUAAAACACHTuJA&#10;lZT1uCECAAASBAAADgAAAAAAAAABACAAAAAnAQAAZHJzL2Uyb0RvYy54bWxQSwUGAAAAAAYABgBZ&#10;AQAAugU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p>
    <w:p>
      <w:pPr>
        <w:spacing w:line="240" w:lineRule="exact"/>
        <w:rPr>
          <w:rFonts w:ascii="微软雅黑" w:hAnsi="微软雅黑" w:eastAsia="微软雅黑"/>
          <w:color w:val="auto"/>
          <w:szCs w:val="18"/>
        </w:rPr>
      </w:pPr>
    </w:p>
    <w:p>
      <w:pPr>
        <w:pStyle w:val="27"/>
        <w:numPr>
          <w:ilvl w:val="0"/>
          <w:numId w:val="4"/>
        </w:numPr>
        <w:spacing w:line="240" w:lineRule="exact"/>
        <w:ind w:firstLineChars="0"/>
        <w:rPr>
          <w:rFonts w:ascii="微软雅黑" w:hAnsi="微软雅黑" w:eastAsia="微软雅黑"/>
          <w:b/>
          <w:color w:val="auto"/>
          <w:szCs w:val="18"/>
        </w:rPr>
      </w:pPr>
      <w:r>
        <w:rPr>
          <w:rFonts w:hint="eastAsia" w:ascii="微软雅黑" w:hAnsi="微软雅黑" w:eastAsia="微软雅黑"/>
          <w:b/>
          <w:color w:val="auto"/>
          <w:szCs w:val="18"/>
        </w:rPr>
        <w:t>您对咖啡吧进行评分。</w:t>
      </w:r>
    </w:p>
    <w:tbl>
      <w:tblPr>
        <w:tblStyle w:val="13"/>
        <w:tblpPr w:leftFromText="180" w:rightFromText="180" w:vertAnchor="text" w:horzAnchor="page" w:tblpX="2278" w:tblpY="115"/>
        <w:tblW w:w="6000" w:type="dxa"/>
        <w:tblInd w:w="0" w:type="dxa"/>
        <w:tblLayout w:type="fixed"/>
        <w:tblCellMar>
          <w:top w:w="0" w:type="dxa"/>
          <w:left w:w="108" w:type="dxa"/>
          <w:bottom w:w="0" w:type="dxa"/>
          <w:right w:w="108" w:type="dxa"/>
        </w:tblCellMar>
      </w:tblPr>
      <w:tblGrid>
        <w:gridCol w:w="600"/>
        <w:gridCol w:w="600"/>
        <w:gridCol w:w="600"/>
        <w:gridCol w:w="600"/>
        <w:gridCol w:w="600"/>
        <w:gridCol w:w="600"/>
        <w:gridCol w:w="600"/>
        <w:gridCol w:w="600"/>
        <w:gridCol w:w="600"/>
        <w:gridCol w:w="600"/>
      </w:tblGrid>
      <w:tr>
        <w:tblPrEx>
          <w:tblLayout w:type="fixed"/>
          <w:tblCellMar>
            <w:top w:w="0" w:type="dxa"/>
            <w:left w:w="108" w:type="dxa"/>
            <w:bottom w:w="0" w:type="dxa"/>
            <w:right w:w="108" w:type="dxa"/>
          </w:tblCellMar>
        </w:tblPrEx>
        <w:trPr>
          <w:trHeight w:val="81"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10</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9</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8</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7</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6</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5</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4</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3</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2</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w:t>
            </w:r>
          </w:p>
        </w:tc>
      </w:tr>
    </w:tbl>
    <w:p>
      <w:pPr>
        <w:rPr>
          <w:rFonts w:ascii="微软雅黑" w:hAnsi="微软雅黑" w:eastAsia="微软雅黑"/>
          <w:color w:val="auto"/>
          <w:szCs w:val="18"/>
        </w:rPr>
      </w:pPr>
      <w:r>
        <w:rPr>
          <w:rFonts w:ascii="微软雅黑" w:hAnsi="微软雅黑" w:eastAsia="微软雅黑"/>
          <w:color w:val="auto"/>
          <w:szCs w:val="18"/>
        </w:rPr>
        <mc:AlternateContent>
          <mc:Choice Requires="wps">
            <w:drawing>
              <wp:anchor distT="0" distB="0" distL="114300" distR="114300" simplePos="0" relativeHeight="251713536" behindDoc="0" locked="0" layoutInCell="1" allowOverlap="1">
                <wp:simplePos x="0" y="0"/>
                <wp:positionH relativeFrom="column">
                  <wp:posOffset>-285115</wp:posOffset>
                </wp:positionH>
                <wp:positionV relativeFrom="paragraph">
                  <wp:posOffset>81915</wp:posOffset>
                </wp:positionV>
                <wp:extent cx="742950" cy="314325"/>
                <wp:effectExtent l="0" t="0" r="0" b="9525"/>
                <wp:wrapNone/>
                <wp:docPr id="28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45pt;margin-top:6.45pt;height:24.75pt;width:58.5pt;z-index:251713536;mso-width-relative:page;mso-height-relative:page;" fillcolor="#FFFFFF" filled="t" stroked="f" coordsize="21600,21600" o:gfxdata="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EvRvA&#10;1gAAAAgBAAAPAAAAAAAAAAEAIAAAACIAAABkcnMvZG93bnJldi54bWxQSwECFAAUAAAACACHTuJA&#10;WRTVlyMCAAATBAAADgAAAAAAAAABACAAAAAlAQAAZHJzL2Uyb0RvYy54bWxQSwUGAAAAAAYABgBZ&#10;AQAAugU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r>
        <w:rPr>
          <w:rFonts w:ascii="微软雅黑" w:hAnsi="微软雅黑" w:eastAsia="微软雅黑"/>
          <w:color w:val="auto"/>
          <w:szCs w:val="18"/>
        </w:rPr>
        <mc:AlternateContent>
          <mc:Choice Requires="wps">
            <w:drawing>
              <wp:anchor distT="0" distB="0" distL="114300" distR="114300" simplePos="0" relativeHeight="251681792" behindDoc="0" locked="0" layoutInCell="1" allowOverlap="1">
                <wp:simplePos x="0" y="0"/>
                <wp:positionH relativeFrom="column">
                  <wp:posOffset>-4676140</wp:posOffset>
                </wp:positionH>
                <wp:positionV relativeFrom="paragraph">
                  <wp:posOffset>71755</wp:posOffset>
                </wp:positionV>
                <wp:extent cx="742950" cy="314325"/>
                <wp:effectExtent l="0" t="0" r="0" b="9525"/>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8.2pt;margin-top:5.65pt;height:24.75pt;width:58.5pt;z-index:251681792;mso-width-relative:page;mso-height-relative:page;" fillcolor="#FFFFFF" filled="t" stroked="f" coordsize="21600,21600" o:gfxdata="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UEAS&#10;2AAAAAsBAAAPAAAAAAAAAAEAIAAAACIAAABkcnMvZG93bnJldi54bWxQSwECFAAUAAAACACHTuJA&#10;eAQBCiECAAASBAAADgAAAAAAAAABACAAAAAnAQAAZHJzL2Uyb0RvYy54bWxQSwUGAAAAAAYABgBZ&#10;AQAAugU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p>
    <w:p>
      <w:pPr>
        <w:spacing w:line="240" w:lineRule="exact"/>
        <w:rPr>
          <w:rFonts w:ascii="微软雅黑" w:hAnsi="微软雅黑" w:eastAsia="微软雅黑"/>
          <w:color w:val="auto"/>
          <w:szCs w:val="18"/>
        </w:rPr>
      </w:pPr>
    </w:p>
    <w:p>
      <w:pPr>
        <w:pStyle w:val="27"/>
        <w:numPr>
          <w:ilvl w:val="0"/>
          <w:numId w:val="4"/>
        </w:numPr>
        <w:spacing w:line="240" w:lineRule="exact"/>
        <w:ind w:firstLineChars="0"/>
        <w:rPr>
          <w:rFonts w:ascii="微软雅黑" w:hAnsi="微软雅黑" w:eastAsia="微软雅黑"/>
          <w:b/>
          <w:color w:val="auto"/>
          <w:szCs w:val="18"/>
        </w:rPr>
      </w:pPr>
      <w:r>
        <w:rPr>
          <w:rFonts w:hint="eastAsia" w:ascii="微软雅黑" w:hAnsi="微软雅黑" w:eastAsia="微软雅黑"/>
          <w:b/>
          <w:color w:val="auto"/>
          <w:szCs w:val="18"/>
        </w:rPr>
        <w:t>您对餐厅工作人员的服务进行评分。</w:t>
      </w:r>
    </w:p>
    <w:tbl>
      <w:tblPr>
        <w:tblStyle w:val="13"/>
        <w:tblpPr w:leftFromText="180" w:rightFromText="180" w:vertAnchor="text" w:horzAnchor="page" w:tblpX="2278" w:tblpY="115"/>
        <w:tblW w:w="6000" w:type="dxa"/>
        <w:tblInd w:w="0" w:type="dxa"/>
        <w:tblLayout w:type="fixed"/>
        <w:tblCellMar>
          <w:top w:w="0" w:type="dxa"/>
          <w:left w:w="108" w:type="dxa"/>
          <w:bottom w:w="0" w:type="dxa"/>
          <w:right w:w="108" w:type="dxa"/>
        </w:tblCellMar>
      </w:tblPr>
      <w:tblGrid>
        <w:gridCol w:w="600"/>
        <w:gridCol w:w="600"/>
        <w:gridCol w:w="600"/>
        <w:gridCol w:w="600"/>
        <w:gridCol w:w="600"/>
        <w:gridCol w:w="600"/>
        <w:gridCol w:w="600"/>
        <w:gridCol w:w="600"/>
        <w:gridCol w:w="600"/>
        <w:gridCol w:w="600"/>
      </w:tblGrid>
      <w:tr>
        <w:tblPrEx>
          <w:tblLayout w:type="fixed"/>
          <w:tblCellMar>
            <w:top w:w="0" w:type="dxa"/>
            <w:left w:w="108" w:type="dxa"/>
            <w:bottom w:w="0" w:type="dxa"/>
            <w:right w:w="108" w:type="dxa"/>
          </w:tblCellMar>
        </w:tblPrEx>
        <w:trPr>
          <w:trHeight w:val="81"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10</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9</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8</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7</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6</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5</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4</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3</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2</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w:t>
            </w:r>
          </w:p>
        </w:tc>
      </w:tr>
    </w:tbl>
    <w:p>
      <w:pPr>
        <w:rPr>
          <w:rFonts w:ascii="微软雅黑" w:hAnsi="微软雅黑" w:eastAsia="微软雅黑"/>
          <w:color w:val="auto"/>
          <w:szCs w:val="18"/>
        </w:rPr>
      </w:pPr>
      <w:r>
        <w:rPr>
          <w:rFonts w:ascii="微软雅黑" w:hAnsi="微软雅黑" w:eastAsia="微软雅黑"/>
          <w:color w:val="auto"/>
          <w:szCs w:val="18"/>
        </w:rPr>
        <mc:AlternateContent>
          <mc:Choice Requires="wps">
            <w:drawing>
              <wp:anchor distT="0" distB="0" distL="114300" distR="114300" simplePos="0" relativeHeight="251715584" behindDoc="0" locked="0" layoutInCell="1" allowOverlap="1">
                <wp:simplePos x="0" y="0"/>
                <wp:positionH relativeFrom="column">
                  <wp:posOffset>-275590</wp:posOffset>
                </wp:positionH>
                <wp:positionV relativeFrom="paragraph">
                  <wp:posOffset>76200</wp:posOffset>
                </wp:positionV>
                <wp:extent cx="742950" cy="314325"/>
                <wp:effectExtent l="0" t="0" r="0" b="9525"/>
                <wp:wrapNone/>
                <wp:docPr id="28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7pt;margin-top:6pt;height:24.75pt;width:58.5pt;z-index:251715584;mso-width-relative:page;mso-height-relative:page;" fillcolor="#FFFFFF" filled="t" stroked="f" coordsize="21600,21600" o:gfxdata="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jQhJt&#10;1gAAAAgBAAAPAAAAAAAAAAEAIAAAACIAAABkcnMvZG93bnJldi54bWxQSwECFAAUAAAACACHTuJA&#10;D98XIyMCAAATBAAADgAAAAAAAAABACAAAAAlAQAAZHJzL2Uyb0RvYy54bWxQSwUGAAAAAAYABgBZ&#10;AQAAugU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r>
        <w:rPr>
          <w:rFonts w:ascii="微软雅黑" w:hAnsi="微软雅黑" w:eastAsia="微软雅黑"/>
          <w:color w:val="auto"/>
          <w:szCs w:val="18"/>
        </w:rPr>
        <mc:AlternateContent>
          <mc:Choice Requires="wps">
            <w:drawing>
              <wp:anchor distT="0" distB="0" distL="114300" distR="114300" simplePos="0" relativeHeight="251684864" behindDoc="0" locked="0" layoutInCell="1" allowOverlap="1">
                <wp:simplePos x="0" y="0"/>
                <wp:positionH relativeFrom="column">
                  <wp:posOffset>-4676140</wp:posOffset>
                </wp:positionH>
                <wp:positionV relativeFrom="paragraph">
                  <wp:posOffset>71755</wp:posOffset>
                </wp:positionV>
                <wp:extent cx="742950" cy="314325"/>
                <wp:effectExtent l="0" t="0" r="0" b="9525"/>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8.2pt;margin-top:5.65pt;height:24.75pt;width:58.5pt;z-index:251684864;mso-width-relative:page;mso-height-relative:page;" fillcolor="#FFFFFF" filled="t" stroked="f" coordsize="21600,21600" o:gfxdata="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UEAS&#10;2AAAAAsBAAAPAAAAAAAAAAEAIAAAACIAAABkcnMvZG93bnJldi54bWxQSwECFAAUAAAACACHTuJA&#10;efosoCECAAASBAAADgAAAAAAAAABACAAAAAnAQAAZHJzL2Uyb0RvYy54bWxQSwUGAAAAAAYABgBZ&#10;AQAAugU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p>
    <w:p>
      <w:pPr>
        <w:rPr>
          <w:rFonts w:ascii="微软雅黑" w:hAnsi="微软雅黑" w:eastAsia="微软雅黑"/>
          <w:b/>
          <w:color w:val="auto"/>
          <w:szCs w:val="18"/>
        </w:rPr>
      </w:pPr>
    </w:p>
    <w:p>
      <w:pPr>
        <w:spacing w:line="240" w:lineRule="exact"/>
        <w:rPr>
          <w:rFonts w:ascii="微软雅黑" w:hAnsi="微软雅黑" w:eastAsia="微软雅黑"/>
          <w:b/>
          <w:color w:val="auto"/>
          <w:szCs w:val="18"/>
        </w:rPr>
      </w:pPr>
      <w:r>
        <w:rPr>
          <w:rFonts w:hint="eastAsia" w:ascii="微软雅黑" w:hAnsi="微软雅黑" w:eastAsia="微软雅黑"/>
          <w:b/>
          <w:color w:val="auto"/>
          <w:szCs w:val="18"/>
        </w:rPr>
        <w:t>8、您对餐厅的卫生情况进行评分。</w:t>
      </w:r>
    </w:p>
    <w:tbl>
      <w:tblPr>
        <w:tblStyle w:val="13"/>
        <w:tblpPr w:leftFromText="180" w:rightFromText="180" w:vertAnchor="text" w:horzAnchor="page" w:tblpX="2278" w:tblpY="115"/>
        <w:tblW w:w="6000" w:type="dxa"/>
        <w:tblInd w:w="0" w:type="dxa"/>
        <w:tblLayout w:type="fixed"/>
        <w:tblCellMar>
          <w:top w:w="0" w:type="dxa"/>
          <w:left w:w="108" w:type="dxa"/>
          <w:bottom w:w="0" w:type="dxa"/>
          <w:right w:w="108" w:type="dxa"/>
        </w:tblCellMar>
      </w:tblPr>
      <w:tblGrid>
        <w:gridCol w:w="600"/>
        <w:gridCol w:w="600"/>
        <w:gridCol w:w="600"/>
        <w:gridCol w:w="600"/>
        <w:gridCol w:w="600"/>
        <w:gridCol w:w="600"/>
        <w:gridCol w:w="600"/>
        <w:gridCol w:w="600"/>
        <w:gridCol w:w="600"/>
        <w:gridCol w:w="600"/>
      </w:tblGrid>
      <w:tr>
        <w:tblPrEx>
          <w:tblLayout w:type="fixed"/>
          <w:tblCellMar>
            <w:top w:w="0" w:type="dxa"/>
            <w:left w:w="108" w:type="dxa"/>
            <w:bottom w:w="0" w:type="dxa"/>
            <w:right w:w="108" w:type="dxa"/>
          </w:tblCellMar>
        </w:tblPrEx>
        <w:trPr>
          <w:trHeight w:val="81"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10</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9</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8</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7</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6</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5</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4</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3</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2</w:t>
            </w:r>
          </w:p>
        </w:tc>
        <w:tc>
          <w:tcPr>
            <w:tcW w:w="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auto"/>
                <w:kern w:val="0"/>
                <w:szCs w:val="18"/>
              </w:rPr>
            </w:pPr>
            <w:r>
              <w:rPr>
                <w:rFonts w:hint="eastAsia" w:ascii="微软雅黑" w:hAnsi="微软雅黑" w:eastAsia="微软雅黑" w:cs="宋体"/>
                <w:color w:val="auto"/>
                <w:kern w:val="0"/>
                <w:szCs w:val="18"/>
              </w:rPr>
              <w:t>1</w:t>
            </w:r>
          </w:p>
        </w:tc>
      </w:tr>
    </w:tbl>
    <w:p>
      <w:pPr>
        <w:rPr>
          <w:rFonts w:ascii="微软雅黑" w:hAnsi="微软雅黑" w:eastAsia="微软雅黑"/>
          <w:color w:val="auto"/>
          <w:szCs w:val="18"/>
        </w:rPr>
      </w:pPr>
      <w:r>
        <w:rPr>
          <w:rFonts w:ascii="微软雅黑" w:hAnsi="微软雅黑" w:eastAsia="微软雅黑"/>
          <w:color w:val="auto"/>
          <w:szCs w:val="18"/>
        </w:rPr>
        <mc:AlternateContent>
          <mc:Choice Requires="wps">
            <w:drawing>
              <wp:anchor distT="0" distB="0" distL="114300" distR="114300" simplePos="0" relativeHeight="251717632" behindDoc="0" locked="0" layoutInCell="1" allowOverlap="1">
                <wp:simplePos x="0" y="0"/>
                <wp:positionH relativeFrom="column">
                  <wp:posOffset>-275590</wp:posOffset>
                </wp:positionH>
                <wp:positionV relativeFrom="paragraph">
                  <wp:posOffset>70485</wp:posOffset>
                </wp:positionV>
                <wp:extent cx="742950" cy="314325"/>
                <wp:effectExtent l="0" t="0" r="0" b="9525"/>
                <wp:wrapNone/>
                <wp:docPr id="29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7pt;margin-top:5.55pt;height:24.75pt;width:58.5pt;z-index:251717632;mso-width-relative:page;mso-height-relative:page;" fillcolor="#FFFFFF" filled="t" stroked="f" coordsize="21600,21600" o:gfxdata="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qTXQDW&#10;AAAACAEAAA8AAAAAAAAAAQAgAAAAIgAAAGRycy9kb3ducmV2LnhtbFBLAQIUABQAAAAIAIdO4kAk&#10;ayizIgIAABMEAAAOAAAAAAAAAAEAIAAAACUBAABkcnMvZTJvRG9jLnhtbFBLBQYAAAAABgAGAFkB&#10;AAC5BQ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r>
        <w:rPr>
          <w:rFonts w:ascii="微软雅黑" w:hAnsi="微软雅黑" w:eastAsia="微软雅黑"/>
          <w:color w:val="auto"/>
          <w:szCs w:val="18"/>
        </w:rPr>
        <mc:AlternateContent>
          <mc:Choice Requires="wps">
            <w:drawing>
              <wp:anchor distT="0" distB="0" distL="114300" distR="114300" simplePos="0" relativeHeight="251687936" behindDoc="0" locked="0" layoutInCell="1" allowOverlap="1">
                <wp:simplePos x="0" y="0"/>
                <wp:positionH relativeFrom="column">
                  <wp:posOffset>-4676140</wp:posOffset>
                </wp:positionH>
                <wp:positionV relativeFrom="paragraph">
                  <wp:posOffset>71755</wp:posOffset>
                </wp:positionV>
                <wp:extent cx="742950" cy="314325"/>
                <wp:effectExtent l="0" t="0" r="0" b="9525"/>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noFill/>
                          <a:miter lim="800000"/>
                        </a:ln>
                        <a:effectLst/>
                      </wps:spPr>
                      <wps:txbx>
                        <w:txbxContent>
                          <w:p>
                            <w:pPr>
                              <w:spacing w:line="200" w:lineRule="exact"/>
                              <w:rPr>
                                <w:rFonts w:ascii="黑体" w:hAnsi="黑体" w:eastAsia="黑体"/>
                                <w:szCs w:val="18"/>
                              </w:rPr>
                            </w:pPr>
                            <w:r>
                              <w:rPr>
                                <w:rFonts w:hint="eastAsia" w:ascii="黑体" w:hAnsi="黑体" w:eastAsia="黑体"/>
                                <w:szCs w:val="18"/>
                              </w:rPr>
                              <w:t>非常满意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8.2pt;margin-top:5.65pt;height:24.75pt;width:58.5pt;z-index:251687936;mso-width-relative:page;mso-height-relative:page;" fillcolor="#FFFFFF" filled="t" stroked="f" coordsize="21600,21600" o:gfxdata="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VBA&#10;EtgAAAALAQAADwAAAAAAAAABACAAAAAiAAAAZHJzL2Rvd25yZXYueG1sUEsBAhQAFAAAAAgAh07i&#10;QLx/LOgiAgAAEgQAAA4AAAAAAAAAAQAgAAAAJwEAAGRycy9lMm9Eb2MueG1sUEsFBgAAAAAGAAYA&#10;WQEAALsFAAAAAA==&#10;">
                <v:fill on="t" focussize="0,0"/>
                <v:stroke on="f" miterlimit="8" joinstyle="miter"/>
                <v:imagedata o:title=""/>
                <o:lock v:ext="edit" aspectratio="f"/>
                <v:textbox>
                  <w:txbxContent>
                    <w:p>
                      <w:pPr>
                        <w:spacing w:line="200" w:lineRule="exact"/>
                        <w:rPr>
                          <w:rFonts w:ascii="黑体" w:hAnsi="黑体" w:eastAsia="黑体"/>
                          <w:szCs w:val="18"/>
                        </w:rPr>
                      </w:pPr>
                      <w:r>
                        <w:rPr>
                          <w:rFonts w:hint="eastAsia" w:ascii="黑体" w:hAnsi="黑体" w:eastAsia="黑体"/>
                          <w:szCs w:val="18"/>
                        </w:rPr>
                        <w:t>非常满意</w:t>
                      </w:r>
                    </w:p>
                  </w:txbxContent>
                </v:textbox>
              </v:shape>
            </w:pict>
          </mc:Fallback>
        </mc:AlternateContent>
      </w:r>
    </w:p>
    <w:p>
      <w:pPr>
        <w:pStyle w:val="2"/>
        <w:rPr>
          <w:color w:val="auto"/>
        </w:rPr>
      </w:pPr>
    </w:p>
    <w:p>
      <w:pPr>
        <w:rPr>
          <w:rFonts w:hint="eastAsia" w:ascii="微软雅黑" w:hAnsi="微软雅黑" w:eastAsia="微软雅黑"/>
          <w:b/>
          <w:color w:val="auto"/>
          <w:szCs w:val="18"/>
        </w:rPr>
      </w:pPr>
      <w:r>
        <w:rPr>
          <w:rFonts w:hint="eastAsia" w:ascii="微软雅黑" w:hAnsi="微软雅黑" w:eastAsia="微软雅黑"/>
          <w:b/>
          <w:color w:val="auto"/>
          <w:szCs w:val="18"/>
        </w:rPr>
        <w:t>9、您对餐厅的建议及意见：</w:t>
      </w:r>
    </w:p>
    <w:p>
      <w:pPr>
        <w:rPr>
          <w:rFonts w:hint="eastAsia" w:ascii="微软雅黑" w:hAnsi="微软雅黑" w:eastAsia="微软雅黑"/>
          <w:b/>
          <w:color w:val="auto"/>
          <w:szCs w:val="18"/>
        </w:rPr>
      </w:pPr>
      <w:r>
        <w:rPr>
          <w:rFonts w:hint="eastAsia" w:ascii="微软雅黑" w:hAnsi="微软雅黑" w:eastAsia="微软雅黑"/>
          <w:b/>
          <w:color w:val="auto"/>
          <w:szCs w:val="18"/>
        </w:rPr>
        <w:br w:type="page"/>
      </w:r>
    </w:p>
    <w:p>
      <w:pPr>
        <w:rPr>
          <w:rFonts w:hint="eastAsia" w:ascii="仿宋_GB2312" w:eastAsia="仿宋_GB2312" w:hAnsiTheme="minorEastAsia" w:cstheme="minorEastAsia"/>
          <w:b/>
          <w:bCs/>
          <w:color w:val="auto"/>
          <w:sz w:val="24"/>
          <w:lang w:eastAsia="zh-CN"/>
        </w:rPr>
      </w:pPr>
      <w:r>
        <w:rPr>
          <w:rFonts w:hint="eastAsia" w:ascii="仿宋_GB2312" w:eastAsia="仿宋_GB2312" w:hAnsiTheme="minorEastAsia" w:cstheme="minorEastAsia"/>
          <w:b/>
          <w:bCs/>
          <w:color w:val="auto"/>
          <w:sz w:val="24"/>
          <w:lang w:eastAsia="zh-CN"/>
        </w:rPr>
        <w:t>附件四：</w:t>
      </w:r>
      <w:bookmarkStart w:id="0" w:name="_Toc27122"/>
    </w:p>
    <w:p>
      <w:pPr>
        <w:pStyle w:val="2"/>
        <w:rPr>
          <w:rFonts w:hint="eastAsia" w:ascii="宋体" w:hAnsi="宋体" w:eastAsia="宋体" w:cs="宋体"/>
          <w:b/>
          <w:bCs/>
          <w:lang w:eastAsia="zh-CN"/>
        </w:rPr>
      </w:pPr>
      <w:r>
        <w:rPr>
          <w:rFonts w:hint="eastAsia" w:ascii="宋体" w:hAnsi="宋体" w:eastAsia="宋体" w:cs="宋体"/>
          <w:b/>
          <w:bCs/>
          <w:color w:val="auto"/>
          <w:sz w:val="24"/>
          <w:lang w:eastAsia="zh-CN"/>
        </w:rPr>
        <w:t>餐厅改造设备清单价格为：</w:t>
      </w:r>
      <w:r>
        <w:rPr>
          <w:rFonts w:hint="eastAsia" w:ascii="宋体" w:hAnsi="宋体" w:eastAsia="宋体" w:cs="宋体"/>
          <w:b/>
          <w:bCs/>
          <w:i w:val="0"/>
          <w:color w:val="000000"/>
          <w:kern w:val="0"/>
          <w:sz w:val="22"/>
          <w:szCs w:val="22"/>
          <w:u w:val="none"/>
          <w:lang w:val="en-US" w:eastAsia="zh-CN" w:bidi="ar"/>
        </w:rPr>
        <w:t>275078.43元。</w:t>
      </w:r>
    </w:p>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餐厅改造设备</w:t>
      </w:r>
      <w:bookmarkEnd w:id="0"/>
      <w:r>
        <w:rPr>
          <w:rFonts w:hint="eastAsia" w:ascii="宋体" w:hAnsi="宋体" w:cs="宋体"/>
          <w:b/>
          <w:bCs/>
          <w:color w:val="auto"/>
          <w:sz w:val="28"/>
          <w:szCs w:val="28"/>
          <w:lang w:eastAsia="zh-CN"/>
        </w:rPr>
        <w:t>清单</w:t>
      </w:r>
    </w:p>
    <w:tbl>
      <w:tblPr>
        <w:tblStyle w:val="13"/>
        <w:tblW w:w="9073" w:type="dxa"/>
        <w:jc w:val="center"/>
        <w:tblInd w:w="0" w:type="dxa"/>
        <w:tblLayout w:type="fixed"/>
        <w:tblCellMar>
          <w:top w:w="0" w:type="dxa"/>
          <w:left w:w="108" w:type="dxa"/>
          <w:bottom w:w="0" w:type="dxa"/>
          <w:right w:w="108" w:type="dxa"/>
        </w:tblCellMar>
      </w:tblPr>
      <w:tblGrid>
        <w:gridCol w:w="724"/>
        <w:gridCol w:w="1667"/>
        <w:gridCol w:w="865"/>
        <w:gridCol w:w="2551"/>
        <w:gridCol w:w="1701"/>
        <w:gridCol w:w="1565"/>
      </w:tblGrid>
      <w:tr>
        <w:tblPrEx>
          <w:tblLayout w:type="fixed"/>
          <w:tblCellMar>
            <w:top w:w="0" w:type="dxa"/>
            <w:left w:w="108" w:type="dxa"/>
            <w:bottom w:w="0" w:type="dxa"/>
            <w:right w:w="108" w:type="dxa"/>
          </w:tblCellMar>
        </w:tblPrEx>
        <w:trPr>
          <w:trHeight w:val="483"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16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产品名称</w:t>
            </w:r>
          </w:p>
        </w:tc>
        <w:tc>
          <w:tcPr>
            <w:tcW w:w="865" w:type="dxa"/>
            <w:tcBorders>
              <w:top w:val="single" w:color="auto" w:sz="4" w:space="0"/>
              <w:left w:val="nil"/>
              <w:bottom w:val="single" w:color="auto" w:sz="4" w:space="0"/>
              <w:right w:val="single" w:color="auto" w:sz="4" w:space="0"/>
            </w:tcBorders>
            <w:vAlign w:val="center"/>
          </w:tcPr>
          <w:p>
            <w:pPr>
              <w:widowControl/>
              <w:adjustRightInd w:val="0"/>
              <w:snapToGrid w:val="0"/>
              <w:ind w:left="-107" w:leftChars="-51" w:right="-109" w:rightChars="-52"/>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数量单位</w:t>
            </w:r>
          </w:p>
        </w:tc>
        <w:tc>
          <w:tcPr>
            <w:tcW w:w="4252"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规格及技术参数</w:t>
            </w:r>
          </w:p>
        </w:tc>
        <w:tc>
          <w:tcPr>
            <w:tcW w:w="156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报价（元）</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炒炉炉心</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8套</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采用一体化节能燃气炉头；</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2"/>
                <w:szCs w:val="22"/>
                <w:u w:val="none"/>
                <w:lang w:val="en-US" w:eastAsia="zh-CN" w:bidi="ar"/>
              </w:rPr>
              <w:t>28971.36</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nil"/>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67"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蒸柜炉心</w:t>
            </w:r>
          </w:p>
        </w:tc>
        <w:tc>
          <w:tcPr>
            <w:tcW w:w="865"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4252" w:type="dxa"/>
            <w:gridSpan w:val="2"/>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采用一体化节能燃气炉头；</w:t>
            </w:r>
          </w:p>
        </w:tc>
        <w:tc>
          <w:tcPr>
            <w:tcW w:w="15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3932.28</w:t>
            </w:r>
          </w:p>
        </w:tc>
      </w:tr>
      <w:tr>
        <w:tblPrEx>
          <w:tblLayout w:type="fixed"/>
          <w:tblCellMar>
            <w:top w:w="0" w:type="dxa"/>
            <w:left w:w="108" w:type="dxa"/>
            <w:bottom w:w="0" w:type="dxa"/>
            <w:right w:w="108" w:type="dxa"/>
          </w:tblCellMar>
        </w:tblPrEx>
        <w:trPr>
          <w:trHeight w:val="2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蒸饭车炉心</w:t>
            </w:r>
          </w:p>
        </w:tc>
        <w:tc>
          <w:tcPr>
            <w:tcW w:w="8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42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采用一体化节能燃气炉头；</w:t>
            </w:r>
          </w:p>
        </w:tc>
        <w:tc>
          <w:tcPr>
            <w:tcW w:w="15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3932.28</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维修配件</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1项</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燃气接头/燃气专用管</w:t>
            </w:r>
          </w:p>
        </w:tc>
        <w:tc>
          <w:tcPr>
            <w:tcW w:w="15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8888.22</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更换抽油烟</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风机</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2台</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1、KW/380V；</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2全封闭形式，具有良好的保护作用；</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3、运转平稳、噪声低、振动小；</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spacing w:val="-8"/>
                <w:kern w:val="0"/>
                <w:sz w:val="24"/>
                <w:szCs w:val="24"/>
                <w:lang w:val="en-US" w:eastAsia="zh-CN"/>
              </w:rPr>
            </w:pPr>
            <w:r>
              <w:rPr>
                <w:rFonts w:hint="eastAsia" w:ascii="宋体" w:hAnsi="宋体" w:eastAsia="宋体" w:cs="宋体"/>
                <w:i w:val="0"/>
                <w:color w:val="000000"/>
                <w:kern w:val="0"/>
                <w:sz w:val="22"/>
                <w:szCs w:val="22"/>
                <w:u w:val="none"/>
                <w:lang w:val="en-US" w:eastAsia="zh-CN" w:bidi="ar"/>
              </w:rPr>
              <w:t>32670</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清洗原有烟罩</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1项</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两个厨房</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9504</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加装厨房烟罩灭火系统</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4套</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保护长度：10米内</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感温片数量：不少于6个</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喷嘴数量：不少于16个</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熔断温度：不超过200℃</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材质：304不锈钢</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99990</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安装防火阀</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4套</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常开型，温度超过150度时自动熔断关闭。与烟管配套。</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8268.48</w:t>
            </w:r>
          </w:p>
        </w:tc>
      </w:tr>
      <w:tr>
        <w:tblPrEx>
          <w:tblLayout w:type="fixed"/>
          <w:tblCellMar>
            <w:top w:w="0" w:type="dxa"/>
            <w:left w:w="108" w:type="dxa"/>
            <w:bottom w:w="0" w:type="dxa"/>
            <w:right w:w="108" w:type="dxa"/>
          </w:tblCellMar>
        </w:tblPrEx>
        <w:trPr>
          <w:trHeight w:val="2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洗菜盆下水器更换</w:t>
            </w:r>
          </w:p>
        </w:tc>
        <w:tc>
          <w:tcPr>
            <w:tcW w:w="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20套</w:t>
            </w:r>
          </w:p>
        </w:tc>
        <w:tc>
          <w:tcPr>
            <w:tcW w:w="42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配套产品</w:t>
            </w:r>
          </w:p>
        </w:tc>
        <w:tc>
          <w:tcPr>
            <w:tcW w:w="1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3682.8</w:t>
            </w:r>
          </w:p>
        </w:tc>
      </w:tr>
      <w:tr>
        <w:tblPrEx>
          <w:tblLayout w:type="fixed"/>
          <w:tblCellMar>
            <w:top w:w="0" w:type="dxa"/>
            <w:left w:w="108" w:type="dxa"/>
            <w:bottom w:w="0" w:type="dxa"/>
            <w:right w:w="108" w:type="dxa"/>
          </w:tblCellMar>
        </w:tblPrEx>
        <w:trPr>
          <w:trHeight w:val="2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6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垃圾</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托运</w:t>
            </w:r>
          </w:p>
        </w:tc>
        <w:tc>
          <w:tcPr>
            <w:tcW w:w="8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1项</w:t>
            </w:r>
          </w:p>
        </w:tc>
        <w:tc>
          <w:tcPr>
            <w:tcW w:w="42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color w:val="000000"/>
                <w:kern w:val="0"/>
                <w:sz w:val="24"/>
                <w:szCs w:val="24"/>
              </w:rPr>
              <w:t>托运2个厨房改造所产生的垃圾废物</w:t>
            </w:r>
          </w:p>
        </w:tc>
        <w:tc>
          <w:tcPr>
            <w:tcW w:w="15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2296.8</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收银机</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1台</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含扫码枪整套设备</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2"/>
                <w:szCs w:val="22"/>
                <w:u w:val="none"/>
                <w:lang w:val="en-US" w:eastAsia="zh-CN" w:bidi="ar"/>
              </w:rPr>
              <w:t>1544.4</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收银台</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1台</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2"/>
                <w:szCs w:val="22"/>
                <w:u w:val="none"/>
                <w:lang w:val="en-US" w:eastAsia="zh-CN" w:bidi="ar"/>
              </w:rPr>
              <w:t>3960</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收银椅</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1张</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2"/>
                <w:szCs w:val="22"/>
                <w:u w:val="none"/>
                <w:lang w:val="en-US" w:eastAsia="zh-CN" w:bidi="ar"/>
              </w:rPr>
              <w:t>198</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电脑</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1项</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充卡使用</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2"/>
                <w:szCs w:val="22"/>
                <w:u w:val="none"/>
                <w:lang w:val="en-US" w:eastAsia="zh-CN" w:bidi="ar"/>
              </w:rPr>
              <w:t>3880.8</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风莫机</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1台</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长度及安装高度与门适配</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2"/>
                <w:szCs w:val="22"/>
                <w:u w:val="none"/>
                <w:lang w:val="en-US" w:eastAsia="zh-CN" w:bidi="ar"/>
              </w:rPr>
              <w:t>4288.68</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靠墙货架</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7" w:leftChars="-51" w:right="-107" w:rightChars="-51"/>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10组</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含灯箱、底柜、封条等</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2"/>
                <w:szCs w:val="22"/>
                <w:u w:val="none"/>
                <w:lang w:val="en-US" w:eastAsia="zh-CN" w:bidi="ar"/>
              </w:rPr>
              <w:t>7128</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中导货架</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2组</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含挂钩</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2"/>
                <w:szCs w:val="22"/>
                <w:u w:val="none"/>
                <w:lang w:val="en-US" w:eastAsia="zh-CN" w:bidi="ar"/>
              </w:rPr>
              <w:t>1247.4</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中导端口</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2组</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适配</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801.9</w:t>
            </w:r>
          </w:p>
        </w:tc>
      </w:tr>
      <w:tr>
        <w:tblPrEx>
          <w:tblLayout w:type="fixed"/>
          <w:tblCellMar>
            <w:top w:w="0" w:type="dxa"/>
            <w:left w:w="108" w:type="dxa"/>
            <w:bottom w:w="0" w:type="dxa"/>
            <w:right w:w="108" w:type="dxa"/>
          </w:tblCellMar>
        </w:tblPrEx>
        <w:trPr>
          <w:trHeight w:val="2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6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双头咖啡机</w:t>
            </w:r>
          </w:p>
        </w:tc>
        <w:tc>
          <w:tcPr>
            <w:tcW w:w="8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1台</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一次制作双杯咖啡；</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滤芯冲煮器自动调节；</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配备高效磨豆器；</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咖啡粉制作咖啡功能；</w:t>
            </w:r>
          </w:p>
          <w:p>
            <w:pPr>
              <w:keepNext w:val="0"/>
              <w:keepLines w:val="0"/>
              <w:pageBreakBefore w:val="0"/>
              <w:widowControl/>
              <w:kinsoku/>
              <w:wordWrap/>
              <w:overflowPunct/>
              <w:topLinePunct w:val="0"/>
              <w:autoSpaceDE/>
              <w:autoSpaceDN/>
              <w:bidi w:val="0"/>
              <w:adjustRightInd w:val="0"/>
              <w:snapToGrid w:val="0"/>
              <w:spacing w:line="320" w:lineRule="exact"/>
              <w:ind w:right="-250" w:rightChars="-119"/>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润湿/清洗/除垢功能；</w:t>
            </w:r>
          </w:p>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可调节高度的咖啡喷嘴；</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可外接自动奶沫/热水；</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可设置自动关机时间；</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设置冲煮水量、水温；</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蒸汽/热水功能；</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水硬度设置；</w:t>
            </w:r>
          </w:p>
          <w:p>
            <w:pPr>
              <w:keepNext w:val="0"/>
              <w:keepLines w:val="0"/>
              <w:pageBreakBefore w:val="0"/>
              <w:widowControl/>
              <w:kinsoku/>
              <w:wordWrap/>
              <w:overflowPunct/>
              <w:topLinePunct w:val="0"/>
              <w:autoSpaceDE/>
              <w:autoSpaceDN/>
              <w:bidi w:val="0"/>
              <w:adjustRightInd w:val="0"/>
              <w:snapToGrid w:val="0"/>
              <w:spacing w:line="320" w:lineRule="exact"/>
              <w:ind w:right="-248" w:rightChars="-118"/>
              <w:jc w:val="left"/>
              <w:textAlignment w:val="auto"/>
              <w:outlineLvl w:val="9"/>
              <w:rPr>
                <w:rFonts w:hint="eastAsia" w:ascii="宋体" w:hAnsi="宋体" w:eastAsia="宋体" w:cs="宋体"/>
                <w:spacing w:val="-14"/>
                <w:kern w:val="0"/>
                <w:sz w:val="24"/>
                <w:szCs w:val="24"/>
              </w:rPr>
            </w:pPr>
            <w:r>
              <w:rPr>
                <w:rFonts w:hint="eastAsia" w:ascii="宋体" w:hAnsi="宋体" w:eastAsia="宋体" w:cs="宋体"/>
                <w:spacing w:val="-14"/>
                <w:kern w:val="0"/>
                <w:sz w:val="24"/>
                <w:szCs w:val="24"/>
              </w:rPr>
              <w:t>更换滤芯自动提示；</w:t>
            </w:r>
          </w:p>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保养自动提示；</w:t>
            </w:r>
          </w:p>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保温加热功能；</w:t>
            </w:r>
          </w:p>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配备高效水泵；</w:t>
            </w:r>
          </w:p>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简明文本显示；</w:t>
            </w:r>
          </w:p>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咖啡浓度调节；</w:t>
            </w:r>
          </w:p>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冲煮水量调节；</w:t>
            </w:r>
          </w:p>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咖啡粉添加通道；</w:t>
            </w:r>
          </w:p>
          <w:p>
            <w:pPr>
              <w:keepNext w:val="0"/>
              <w:keepLines w:val="0"/>
              <w:pageBreakBefore w:val="0"/>
              <w:widowControl/>
              <w:kinsoku/>
              <w:wordWrap/>
              <w:overflowPunct/>
              <w:topLinePunct w:val="0"/>
              <w:autoSpaceDE/>
              <w:autoSpaceDN/>
              <w:bidi w:val="0"/>
              <w:adjustRightInd w:val="0"/>
              <w:snapToGrid w:val="0"/>
              <w:spacing w:line="320" w:lineRule="exact"/>
              <w:ind w:right="-105" w:rightChars="-50"/>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零耗能电源开关；</w:t>
            </w:r>
          </w:p>
          <w:p>
            <w:pPr>
              <w:keepNext w:val="0"/>
              <w:keepLines w:val="0"/>
              <w:pageBreakBefore w:val="0"/>
              <w:widowControl/>
              <w:kinsoku/>
              <w:wordWrap/>
              <w:overflowPunct/>
              <w:topLinePunct w:val="0"/>
              <w:autoSpaceDE/>
              <w:autoSpaceDN/>
              <w:bidi w:val="0"/>
              <w:adjustRightInd w:val="0"/>
              <w:snapToGrid w:val="0"/>
              <w:spacing w:line="320" w:lineRule="exact"/>
              <w:ind w:right="-248" w:rightChars="-118"/>
              <w:jc w:val="left"/>
              <w:textAlignment w:val="auto"/>
              <w:outlineLvl w:val="9"/>
              <w:rPr>
                <w:rFonts w:hint="eastAsia" w:ascii="宋体" w:hAnsi="宋体" w:eastAsia="宋体" w:cs="宋体"/>
                <w:spacing w:val="-10"/>
                <w:kern w:val="0"/>
                <w:sz w:val="24"/>
                <w:szCs w:val="24"/>
              </w:rPr>
            </w:pPr>
            <w:r>
              <w:rPr>
                <w:rFonts w:hint="eastAsia" w:ascii="宋体" w:hAnsi="宋体" w:eastAsia="宋体" w:cs="宋体"/>
                <w:spacing w:val="-10"/>
                <w:kern w:val="0"/>
                <w:sz w:val="24"/>
                <w:szCs w:val="24"/>
              </w:rPr>
              <w:t>咖啡豆槽自动监控；</w:t>
            </w:r>
          </w:p>
        </w:tc>
        <w:tc>
          <w:tcPr>
            <w:tcW w:w="15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35640</w:t>
            </w:r>
          </w:p>
        </w:tc>
      </w:tr>
      <w:tr>
        <w:tblPrEx>
          <w:tblLayout w:type="fixed"/>
          <w:tblCellMar>
            <w:top w:w="0" w:type="dxa"/>
            <w:left w:w="108" w:type="dxa"/>
            <w:bottom w:w="0" w:type="dxa"/>
            <w:right w:w="108" w:type="dxa"/>
          </w:tblCellMar>
        </w:tblPrEx>
        <w:trPr>
          <w:trHeight w:val="2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6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三缸冷热饮料机</w:t>
            </w:r>
          </w:p>
        </w:tc>
        <w:tc>
          <w:tcPr>
            <w:tcW w:w="8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1台</w:t>
            </w:r>
          </w:p>
        </w:tc>
        <w:tc>
          <w:tcPr>
            <w:tcW w:w="42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食品级材质饮料桶，安全卫生</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不锈钢出水嘴和推把，经久耐用</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容量：12L*3</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color w:val="000000"/>
                <w:kern w:val="0"/>
                <w:sz w:val="24"/>
                <w:szCs w:val="24"/>
              </w:rPr>
              <w:t>725*400*685</w:t>
            </w:r>
          </w:p>
        </w:tc>
        <w:tc>
          <w:tcPr>
            <w:tcW w:w="15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2806.65</w:t>
            </w:r>
          </w:p>
        </w:tc>
      </w:tr>
      <w:tr>
        <w:tblPrEx>
          <w:tblLayout w:type="fixed"/>
          <w:tblCellMar>
            <w:top w:w="0" w:type="dxa"/>
            <w:left w:w="108" w:type="dxa"/>
            <w:bottom w:w="0" w:type="dxa"/>
            <w:right w:w="108" w:type="dxa"/>
          </w:tblCellMar>
        </w:tblPrEx>
        <w:trPr>
          <w:trHeight w:val="20"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制冰机大型</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1台</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全自动制冰，无需操作</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散热功能良好</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产量：每日28kg-36kg</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储冰量：12kg</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9592.11</w:t>
            </w:r>
          </w:p>
        </w:tc>
      </w:tr>
      <w:tr>
        <w:tblPrEx>
          <w:tblLayout w:type="fixed"/>
          <w:tblCellMar>
            <w:top w:w="0" w:type="dxa"/>
            <w:left w:w="108" w:type="dxa"/>
            <w:bottom w:w="0" w:type="dxa"/>
            <w:right w:w="108" w:type="dxa"/>
          </w:tblCellMar>
        </w:tblPrEx>
        <w:trPr>
          <w:trHeight w:val="1044" w:hRule="atLeast"/>
          <w:jc w:val="center"/>
        </w:trPr>
        <w:tc>
          <w:tcPr>
            <w:tcW w:w="72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16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过滤器</w:t>
            </w:r>
          </w:p>
        </w:tc>
        <w:tc>
          <w:tcPr>
            <w:tcW w:w="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1台</w:t>
            </w:r>
          </w:p>
        </w:tc>
        <w:tc>
          <w:tcPr>
            <w:tcW w:w="425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MC净水机可去除水中绝大部分的细菌重金属等对人体有害的物质，使水质达到饮用标准，供给家人饮用和烹饪，即开即</w:t>
            </w:r>
          </w:p>
        </w:tc>
        <w:tc>
          <w:tcPr>
            <w:tcW w:w="156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1854.27</w:t>
            </w:r>
          </w:p>
        </w:tc>
      </w:tr>
      <w:tr>
        <w:tblPrEx>
          <w:tblLayout w:type="fixed"/>
          <w:tblCellMar>
            <w:top w:w="0" w:type="dxa"/>
            <w:left w:w="108" w:type="dxa"/>
            <w:bottom w:w="0" w:type="dxa"/>
            <w:right w:w="108" w:type="dxa"/>
          </w:tblCellMar>
        </w:tblPrEx>
        <w:trPr>
          <w:trHeight w:val="527" w:hRule="atLeast"/>
          <w:jc w:val="center"/>
        </w:trPr>
        <w:tc>
          <w:tcPr>
            <w:tcW w:w="7508"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1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2"/>
                <w:szCs w:val="22"/>
                <w:u w:val="none"/>
                <w:lang w:val="en-US" w:eastAsia="zh-CN" w:bidi="ar"/>
              </w:rPr>
              <w:t>275078.43</w:t>
            </w:r>
          </w:p>
        </w:tc>
      </w:tr>
    </w:tbl>
    <w:p>
      <w:pPr>
        <w:pStyle w:val="2"/>
        <w:rPr>
          <w:rFonts w:hint="eastAsia"/>
          <w:color w:val="auto"/>
          <w:lang w:val="en-US" w:eastAsia="zh-CN"/>
        </w:rPr>
      </w:pPr>
    </w:p>
    <w:p>
      <w:pPr>
        <w:pStyle w:val="2"/>
        <w:rPr>
          <w:rFonts w:hint="eastAsia"/>
          <w:color w:val="auto"/>
        </w:rPr>
      </w:pPr>
      <w:r>
        <w:rPr>
          <w:rFonts w:hint="eastAsia"/>
          <w:color w:val="auto"/>
        </w:rPr>
        <w:br w:type="page"/>
      </w:r>
    </w:p>
    <w:p>
      <w:pPr>
        <w:rPr>
          <w:rFonts w:hint="eastAsia" w:ascii="仿宋_GB2312" w:eastAsia="仿宋_GB2312" w:hAnsiTheme="minorEastAsia" w:cstheme="minorEastAsia"/>
          <w:b/>
          <w:bCs/>
          <w:color w:val="auto"/>
          <w:sz w:val="24"/>
          <w:lang w:eastAsia="zh-CN"/>
        </w:rPr>
      </w:pPr>
      <w:r>
        <w:rPr>
          <w:rFonts w:hint="eastAsia" w:ascii="仿宋_GB2312" w:eastAsia="仿宋_GB2312" w:hAnsiTheme="minorEastAsia" w:cstheme="minorEastAsia"/>
          <w:b/>
          <w:bCs/>
          <w:color w:val="auto"/>
          <w:sz w:val="24"/>
          <w:lang w:eastAsia="zh-CN"/>
        </w:rPr>
        <w:t>附件五：</w:t>
      </w:r>
    </w:p>
    <w:p>
      <w:pPr>
        <w:adjustRightInd w:val="0"/>
        <w:snapToGrid w:val="0"/>
        <w:spacing w:line="360" w:lineRule="auto"/>
        <w:jc w:val="center"/>
        <w:rPr>
          <w:rFonts w:hint="eastAsia" w:ascii="仿宋_GB2312" w:hAnsi="宋体" w:eastAsia="仿宋_GB2312" w:cs="宋体"/>
          <w:b/>
          <w:bCs/>
          <w:color w:val="auto"/>
          <w:sz w:val="28"/>
          <w:szCs w:val="28"/>
        </w:rPr>
      </w:pPr>
      <w:r>
        <w:rPr>
          <w:rFonts w:hint="eastAsia" w:ascii="仿宋_GB2312" w:hAnsi="宋体" w:eastAsia="仿宋_GB2312" w:cs="宋体"/>
          <w:b/>
          <w:bCs/>
          <w:color w:val="auto"/>
          <w:sz w:val="28"/>
          <w:szCs w:val="28"/>
        </w:rPr>
        <w:t>标价工程量清单</w:t>
      </w:r>
    </w:p>
    <w:p>
      <w:pPr>
        <w:adjustRightInd w:val="0"/>
        <w:snapToGrid w:val="0"/>
        <w:spacing w:line="360" w:lineRule="auto"/>
        <w:jc w:val="left"/>
        <w:rPr>
          <w:rFonts w:hint="eastAsia" w:eastAsia="仿宋_GB2312"/>
          <w:b/>
          <w:bCs/>
          <w:sz w:val="28"/>
          <w:szCs w:val="36"/>
          <w:lang w:val="en-US" w:eastAsia="zh-CN"/>
        </w:rPr>
      </w:pPr>
      <w:r>
        <w:rPr>
          <w:rFonts w:hint="eastAsia" w:eastAsia="仿宋_GB2312"/>
          <w:b/>
          <w:bCs/>
          <w:sz w:val="28"/>
          <w:szCs w:val="36"/>
          <w:lang w:eastAsia="zh-CN"/>
        </w:rPr>
        <w:t>工程量清单报价按以下清单价格的</w:t>
      </w:r>
      <w:r>
        <w:rPr>
          <w:rFonts w:hint="eastAsia" w:eastAsia="仿宋_GB2312"/>
          <w:b/>
          <w:bCs/>
          <w:sz w:val="28"/>
          <w:szCs w:val="36"/>
          <w:lang w:val="en-US" w:eastAsia="zh-CN"/>
        </w:rPr>
        <w:t>99%计算：713310.57*99%=706177.46元</w:t>
      </w:r>
    </w:p>
    <w:tbl>
      <w:tblPr>
        <w:tblStyle w:val="13"/>
        <w:tblW w:w="9498" w:type="dxa"/>
        <w:jc w:val="center"/>
        <w:tblInd w:w="6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0"/>
        <w:gridCol w:w="2133"/>
        <w:gridCol w:w="3895"/>
        <w:gridCol w:w="729"/>
        <w:gridCol w:w="1132"/>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2" w:hRule="atLeast"/>
          <w:jc w:val="center"/>
        </w:trPr>
        <w:tc>
          <w:tcPr>
            <w:tcW w:w="9498" w:type="dxa"/>
            <w:gridSpan w:val="6"/>
            <w:shd w:val="clear" w:color="FFFFFF" w:fill="FFFFFF"/>
            <w:vAlign w:val="top"/>
          </w:tcPr>
          <w:p>
            <w:pPr>
              <w:keepNext w:val="0"/>
              <w:keepLines w:val="0"/>
              <w:widowControl/>
              <w:suppressLineNumbers w:val="0"/>
              <w:jc w:val="center"/>
              <w:textAlignment w:val="top"/>
              <w:rPr>
                <w:rFonts w:hint="eastAsia" w:ascii="宋体" w:hAnsi="宋体" w:eastAsia="宋体" w:cs="宋体"/>
                <w:i w:val="0"/>
                <w:color w:val="auto"/>
                <w:sz w:val="28"/>
                <w:szCs w:val="28"/>
                <w:u w:val="none"/>
              </w:rPr>
            </w:pPr>
            <w:r>
              <w:rPr>
                <w:rFonts w:hint="eastAsia" w:ascii="宋体" w:hAnsi="宋体" w:eastAsia="宋体" w:cs="宋体"/>
                <w:b/>
                <w:i w:val="0"/>
                <w:color w:val="auto"/>
                <w:kern w:val="0"/>
                <w:sz w:val="36"/>
                <w:szCs w:val="36"/>
                <w:u w:val="none"/>
                <w:lang w:val="en-US" w:eastAsia="zh-CN" w:bidi="ar"/>
              </w:rPr>
              <w:t>D3 单位工程费用计算表（一般计税法）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9498" w:type="dxa"/>
            <w:gridSpan w:val="6"/>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工程名称：湘江新区食堂整修工程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700"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2133"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工程内容</w:t>
            </w:r>
          </w:p>
        </w:tc>
        <w:tc>
          <w:tcPr>
            <w:tcW w:w="3895"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计费基础说明 </w:t>
            </w:r>
          </w:p>
        </w:tc>
        <w:tc>
          <w:tcPr>
            <w:tcW w:w="72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费率(%)</w:t>
            </w:r>
          </w:p>
        </w:tc>
        <w:tc>
          <w:tcPr>
            <w:tcW w:w="113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金额(元)</w:t>
            </w:r>
          </w:p>
        </w:tc>
        <w:tc>
          <w:tcPr>
            <w:tcW w:w="909"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直接费用</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1.1+1.2+1.3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529452.5</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139622.73</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其中：取费人工费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106268.17</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材料费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387604.89</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机械费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2224.87</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1.3.1</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其中：取费机械费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2127.16</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费用和利润</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2.1+2.2+2.3+2.4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110864.5</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管理费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26.48</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28139.81</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利润</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28.88</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30690.25</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总价措施项目费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16105.72</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2.3.1</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其中：安全文明施工费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14.27</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15164.47</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2.4.1+2.4.2+2.4.3+2.4.4+2.4.5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35928.72</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2.4.1</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工程排污费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1+2.1+2.2+2.3　</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2417.55</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2.4.2</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职工教育和工会经费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4886.8</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2.4.3</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住房公积金</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8377.36</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2.4.4</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安全生产责任险</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1+2.1+2.2+2.3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1208.78</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2.4.5</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社会保险费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1+2.1+2.2+2.3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3.15</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19038.23</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建安费用</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640317</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销项税额</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3×税率</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70434.87</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附加税费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（3+4）×费率</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0.36</w:t>
            </w: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2558.71</w:t>
            </w: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2" w:hRule="atLeast"/>
          <w:jc w:val="center"/>
        </w:trPr>
        <w:tc>
          <w:tcPr>
            <w:tcW w:w="70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其他项目费</w:t>
            </w:r>
          </w:p>
        </w:tc>
        <w:tc>
          <w:tcPr>
            <w:tcW w:w="3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center"/>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c>
          <w:tcPr>
            <w:tcW w:w="90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jc w:val="center"/>
        </w:trPr>
        <w:tc>
          <w:tcPr>
            <w:tcW w:w="2833" w:type="dxa"/>
            <w:gridSpan w:val="2"/>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建安工程造价</w:t>
            </w:r>
          </w:p>
        </w:tc>
        <w:tc>
          <w:tcPr>
            <w:tcW w:w="389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3+4+5+6</w:t>
            </w:r>
          </w:p>
        </w:tc>
        <w:tc>
          <w:tcPr>
            <w:tcW w:w="72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left"/>
              <w:outlineLvl w:val="9"/>
              <w:rPr>
                <w:rFonts w:hint="eastAsia" w:ascii="宋体" w:hAnsi="宋体" w:eastAsia="宋体" w:cs="宋体"/>
                <w:i w:val="0"/>
                <w:color w:val="auto"/>
                <w:sz w:val="18"/>
                <w:szCs w:val="18"/>
                <w:u w:val="none"/>
              </w:rPr>
            </w:pPr>
          </w:p>
        </w:tc>
        <w:tc>
          <w:tcPr>
            <w:tcW w:w="113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righ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713,310.57</w:t>
            </w:r>
          </w:p>
        </w:tc>
        <w:tc>
          <w:tcPr>
            <w:tcW w:w="909"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spacing w:line="280" w:lineRule="atLeast"/>
              <w:jc w:val="righ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jc w:val="center"/>
        </w:trPr>
        <w:tc>
          <w:tcPr>
            <w:tcW w:w="9498" w:type="dxa"/>
            <w:gridSpan w:val="6"/>
            <w:shd w:val="clear" w:color="FFFFFF" w:fill="FFFFFF"/>
            <w:vAlign w:val="top"/>
          </w:tcPr>
          <w:p>
            <w:pPr>
              <w:keepNext w:val="0"/>
              <w:keepLines w:val="0"/>
              <w:pageBreakBefore w:val="0"/>
              <w:widowControl/>
              <w:suppressLineNumbers w:val="0"/>
              <w:kinsoku/>
              <w:wordWrap/>
              <w:overflowPunct/>
              <w:topLinePunct w:val="0"/>
              <w:autoSpaceDE/>
              <w:autoSpaceDN/>
              <w:bidi w:val="0"/>
              <w:adjustRightInd/>
              <w:snapToGrid/>
              <w:spacing w:line="280" w:lineRule="atLeast"/>
              <w:jc w:val="left"/>
              <w:textAlignment w:val="top"/>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注：1.采用一般计税法时，材料、机械台班单价均执行除税单价。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2.建安费用=直接费用+费用和利润。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3.按附录F其他项目计价表列项计算汇总本项 (详F.1)。其中，材料（工程设备）暂估价进入直接费用与综合单价，此处不重复汇总。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4. 社会保险费包括养老保险费、失业保险费、医疗保险费、生育保险费和工伤保险费。</w:t>
            </w:r>
          </w:p>
        </w:tc>
      </w:tr>
    </w:tbl>
    <w:p>
      <w:pPr>
        <w:adjustRightInd w:val="0"/>
        <w:snapToGrid w:val="0"/>
        <w:spacing w:line="360" w:lineRule="auto"/>
        <w:rPr>
          <w:rFonts w:hint="eastAsia" w:ascii="宋体" w:hAnsi="宋体" w:eastAsia="宋体" w:cs="宋体"/>
          <w:color w:val="auto"/>
          <w:sz w:val="24"/>
          <w:szCs w:val="21"/>
        </w:rPr>
      </w:pPr>
      <w:r>
        <w:rPr>
          <w:rFonts w:hint="eastAsia" w:ascii="宋体" w:hAnsi="宋体" w:eastAsia="宋体" w:cs="宋体"/>
          <w:color w:val="auto"/>
          <w:sz w:val="24"/>
          <w:szCs w:val="21"/>
        </w:rPr>
        <w:br w:type="page"/>
      </w:r>
    </w:p>
    <w:tbl>
      <w:tblPr>
        <w:tblStyle w:val="13"/>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3"/>
        <w:gridCol w:w="983"/>
        <w:gridCol w:w="1189"/>
        <w:gridCol w:w="530"/>
        <w:gridCol w:w="659"/>
        <w:gridCol w:w="1048"/>
        <w:gridCol w:w="1625"/>
        <w:gridCol w:w="863"/>
        <w:gridCol w:w="923"/>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5" w:hRule="atLeast"/>
        </w:trPr>
        <w:tc>
          <w:tcPr>
            <w:tcW w:w="9100" w:type="dxa"/>
            <w:gridSpan w:val="10"/>
            <w:shd w:val="clear" w:color="FFFFFF" w:fill="FFFFFF"/>
            <w:vAlign w:val="center"/>
          </w:tcPr>
          <w:p>
            <w:pPr>
              <w:keepNext w:val="0"/>
              <w:keepLines w:val="0"/>
              <w:widowControl/>
              <w:suppressLineNumbers w:val="0"/>
              <w:jc w:val="center"/>
              <w:textAlignment w:val="top"/>
              <w:rPr>
                <w:rFonts w:hint="eastAsia" w:ascii="宋体" w:hAnsi="宋体" w:eastAsia="宋体" w:cs="宋体"/>
                <w:i w:val="0"/>
                <w:color w:val="auto"/>
                <w:sz w:val="28"/>
                <w:szCs w:val="28"/>
                <w:u w:val="none"/>
              </w:rPr>
            </w:pPr>
            <w:r>
              <w:rPr>
                <w:rFonts w:hint="eastAsia" w:ascii="宋体" w:hAnsi="宋体" w:eastAsia="宋体" w:cs="宋体"/>
                <w:b/>
                <w:i w:val="0"/>
                <w:color w:val="auto"/>
                <w:kern w:val="0"/>
                <w:sz w:val="36"/>
                <w:szCs w:val="36"/>
                <w:u w:val="none"/>
                <w:lang w:val="en-US" w:eastAsia="zh-CN" w:bidi="ar"/>
              </w:rPr>
              <w:t xml:space="preserve">E.1 单位工程工程量清单与造价表 </w:t>
            </w:r>
            <w:r>
              <w:rPr>
                <w:rFonts w:hint="eastAsia" w:ascii="宋体" w:hAnsi="宋体" w:eastAsia="宋体" w:cs="宋体"/>
                <w:b/>
                <w:i w:val="0"/>
                <w:color w:val="auto"/>
                <w:kern w:val="0"/>
                <w:sz w:val="36"/>
                <w:szCs w:val="36"/>
                <w:u w:val="none"/>
                <w:lang w:val="en-US" w:eastAsia="zh-CN" w:bidi="ar"/>
              </w:rPr>
              <w:br w:type="textWrapping"/>
            </w:r>
            <w:r>
              <w:rPr>
                <w:rFonts w:hint="eastAsia" w:ascii="宋体" w:hAnsi="宋体" w:eastAsia="宋体" w:cs="宋体"/>
                <w:b/>
                <w:i w:val="0"/>
                <w:color w:val="auto"/>
                <w:kern w:val="0"/>
                <w:sz w:val="36"/>
                <w:szCs w:val="36"/>
                <w:u w:val="none"/>
                <w:lang w:val="en-US" w:eastAsia="zh-CN" w:bidi="ar"/>
              </w:rPr>
              <w:t>（一般计税法）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1" w:hRule="atLeast"/>
        </w:trPr>
        <w:tc>
          <w:tcPr>
            <w:tcW w:w="9100" w:type="dxa"/>
            <w:gridSpan w:val="10"/>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工程名称：湘江新区食堂整修工程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9" w:hRule="atLeast"/>
        </w:trPr>
        <w:tc>
          <w:tcPr>
            <w:tcW w:w="433"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983"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项目编码</w:t>
            </w:r>
          </w:p>
        </w:tc>
        <w:tc>
          <w:tcPr>
            <w:tcW w:w="118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项目名称</w:t>
            </w:r>
          </w:p>
        </w:tc>
        <w:tc>
          <w:tcPr>
            <w:tcW w:w="53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计量单位</w:t>
            </w:r>
          </w:p>
        </w:tc>
        <w:tc>
          <w:tcPr>
            <w:tcW w:w="65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工程量</w:t>
            </w:r>
          </w:p>
        </w:tc>
        <w:tc>
          <w:tcPr>
            <w:tcW w:w="5306" w:type="dxa"/>
            <w:gridSpan w:val="5"/>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0" w:hRule="atLeast"/>
        </w:trPr>
        <w:tc>
          <w:tcPr>
            <w:tcW w:w="433"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98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18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53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65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综合单价</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合价</w:t>
            </w:r>
          </w:p>
        </w:tc>
        <w:tc>
          <w:tcPr>
            <w:tcW w:w="2633" w:type="dxa"/>
            <w:gridSpan w:val="3"/>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  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9" w:hRule="atLeast"/>
        </w:trPr>
        <w:tc>
          <w:tcPr>
            <w:tcW w:w="433"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98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18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53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65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625"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建安造价</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销项税额</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附加税费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6"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拆除工程（8号栋）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11408.61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10241.16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1126.53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装修拆除</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11408.61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11408.61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10241.16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1126.53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8号栋拆除</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11408.61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11408.61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10241.16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1126.53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餐线、厨房、卫生间整修（8号栋）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82891.6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74409.25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8185.02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收集间隔墙</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1549.99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1391.37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153.05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借A4-36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砼小型空心砌块 墙</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10m3</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4616.13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923.23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828.75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91.16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B2-17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一般抹灰 墙面、墙裙抹水泥砂浆 内砖墙</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3133.8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626.76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562.62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61.89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餐线制作</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732.86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11725.69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10525.8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1157.84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B2-208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龙骨基层 铝合金龙骨 中距500mm以内 单向</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5102.58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816.41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732.87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80.62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夹板、卷材基层 细木工板基层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7855.41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1256.87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1128.25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124.11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B2-224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面层 不锈钢面板 墙面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43615.71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6978.51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6264.4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689.08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B2-259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不锈钢柱嵌防弹玻璃</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0.048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55706.3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2673.9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2400.28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264.03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餐线大理石台面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752.23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12035.61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10804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1188.44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B6-141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厨房矮橱 大理石台面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0.112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107460.81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12035.61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10804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1188.44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餐线吊顶</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151.17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8042.23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7219.26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794.12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B3-45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装配式U型轻钢天棚龙骨(不上人型) 面层规格 600*600mm以上 平面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0.532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5076.39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2700.64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2424.28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266.67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B3-135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铝板天棚 600*600</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0.532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10040.58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5341.59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4794.98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527.45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墙砖铺贴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172.81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1728.11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1551.27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170.64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B2-116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水泥砂浆粘贴 墙面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17281.09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1728.11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1551.27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170.64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地砖铺贴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B1-58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陶瓷地面砖 楼地面 每块面积在1600cm2以内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14827.73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地面防水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133.55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1335.55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1198.88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131.88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借A8-102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涂膜防水 厚2mm聚氨酯 涂刷二遍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13355.45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1335.55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1198.88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131.88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收集间不锈钢收集架</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668.21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2004.62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1799.49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197.94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B6-126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货架7</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66820.8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2004.62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1799.49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197.94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厨房地沟</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286.41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15179.61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13626.27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1498.89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不锈钢沟盖板</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265.08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14049.34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12611.66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1387.28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排水沟清理</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21.33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1130.27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1014.61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111.61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卫生间硅钙板吊顶</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118.26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591.29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530.78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58.39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B3-39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装配式U型轻钢天棚龙骨(不上人型) 面层规格 300*300mm 平面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5673.14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283.66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254.63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28.01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B3-95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石膏板天棚基层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3229.04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161.45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144.93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15.94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B5-197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刷乳胶漆 抹灰面 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2178.07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97.76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10.75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B5-250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抹灰面 106涂料 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745.59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37.28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33.46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餐厅顶面银镜造型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B3-39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装配式U型轻钢天棚龙骨(不上人型) 面层规格 300*300mm 平面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5673.14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夹板、卷材基层 细木工板基层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7855.41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面层 镜面玻璃 墙面 在胶合板上粘贴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11996.26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漏水处理</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743.8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11156.94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10015.25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1101.68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漏水处理</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743.8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11156.94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10015.25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1101.68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天花乳胶漆</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29.24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17541.96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15746.88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1732.16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B5-197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刷乳胶漆 抹灰面 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2178.07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13068.4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11731.11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1290.42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B5-250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抹灰面 106涂料 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745.59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4473.56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4015.78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441.74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6"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厅外整修（8号栋）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168358.44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151130.2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16624.32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厅外钢架雨棚</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1309.12</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98184.15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88136.9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9695.06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B3-264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夹层玻璃 采光天棚 钢骨架</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130912.2</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98184.15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88136.9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9695.06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厅外阶梯贴防滑砖</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7413.87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6655.2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732.07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B1-58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陶瓷地面砖 楼地面 每块面积在1600cm2以内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14827.73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7413.87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6655.2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732.07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厅外阶梯旁绿化基础制作</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254.15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7624.61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6844.38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752.88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B2-17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一般抹灰 墙面、墙裙抹水泥砂浆 内砖墙</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3133.8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1880.28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1687.87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185.67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借A4-24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页岩多孔砖 零星砌体</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10m3</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0.9</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6382.59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5744.33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5156.51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567.22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厅外阶梯旁绿化植被</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5749.03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5749.03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5160.73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厅外阶梯旁绿化植被</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5749.03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5749.03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5160.73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厅外水沟</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519.24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20769.42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18644.07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2050.85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B2-17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一般抹灰 墙面、墙裙抹水泥砂浆 内砖墙</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3133.8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2507.04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2250.49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247.55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不锈钢沟盖板</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265.08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10603.27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9518.23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1047.01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借A4-24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页岩多孔砖 零星砌体</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10m3</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6382.59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7659.11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6875.35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756.29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室外防滑砖铺贴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3706.93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3327.6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366.04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B1-58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陶瓷地面砖 楼地面 每块面积在1600cm2以内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14827.73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3706.93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3327.6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366.04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室外门口地面回填</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49.61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992.11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890.59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97.96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找平层 细石混凝土 30mm</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2713.6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542.72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487.18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53.59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找平层 水泥砂浆 混凝土或硬基层上 20mm</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2246.94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449.39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403.4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44.37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厅外门口门头基础制作</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6730.84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6730.84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6042.07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664.63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B6-4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招牌、灯箱基层 平面招牌 钢结构 复杂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25402.96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5080.59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4560.69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501.68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B6-16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灯箱面层 金属板</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8251.23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1650.25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1481.38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162.95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隔油池拆除重做</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17187.47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17187.47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15428.66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1697.15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隔油池</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17187.47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17187.47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15428.66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1697.15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6"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门窗工程（8号栋）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15337.7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13768.19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1514.5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厨房木双开门更换成不锈钢双开门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张</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2366.58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4733.17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4248.82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467.37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B4-92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防盗装饰门窗安装 不锈钢格栅门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59164.56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4733.17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4248.82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467.37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厨房木单开门更换成不锈钢单开门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张</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1183.29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4733.17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4248.82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467.37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B4-92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防盗装饰门窗安装 不锈钢格栅门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59164.56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4733.17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4248.82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467.37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厨房单开铝合金门更换门锁</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把</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193.66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173.84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19.12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B4-137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五金安装 球形执手锁</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把</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193.66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173.84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19.12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入户门更换（3米宽/张）</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樘</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2838.86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5677.72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5096.71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560.64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B4-42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铝合金门窗制作、安装 单扇地弹门 无上亮</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0.144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39428.6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5677.72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5096.71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560.64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6"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水电安装工程（8号栋）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60678.35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54469.1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5991.6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水电更改</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28260.52</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28260.52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25368.6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2790.55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水电更改</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28260.52</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28260.52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25368.6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2790.55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餐厅顶面照明灯更换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73.73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16219.67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14559.9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1601.59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借C2-1569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点光源艺术装饰灯具 吸顶式 示意图号 178</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737.26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16219.67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14559.9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1601.59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楼梯间顶面照明灯更换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150.51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752.54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675.53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74.31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借C2-1400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圆球吸顶灯 灯罩直径250mm以内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1505.09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752.54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675.53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74.31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其他部位顶面照明灯更换（除厨房）</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150.51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3010.17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2702.14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297.24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借C2-1400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圆球吸顶灯 灯罩直径250mm以内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1505.09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3010.17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2702.14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297.24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卫生间小便斗更换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1295.31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1295.31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1162.76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借C8-1078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感应冲洗落地式小便器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10组</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12953.08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1295.31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1162.76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厨房部分插座面板更换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334.05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299.87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32.99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借C2-1675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单相明插座15A 5孔</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334.05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334.05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299.87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32.99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全厅新风系统增加</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2386.05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2386.05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2141.88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235.61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借C9-239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离心式通风机 12#</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397.67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2386.05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2141.88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235.61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铝扣板灯具安装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8420.04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7558.41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831.43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借C2-1405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方型吸顶灯 矩型罩</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2105.01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8420.04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7558.41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831.43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6"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拆除工程（6号栋）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15211.48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13654.88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1502.04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装修拆除</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15211.48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15211.48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13654.88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1502.04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6号栋拆除</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15211.48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15211.48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13654.88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1502.04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餐线、厨房、卫生间整修（6号栋）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49165.67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44134.52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4854.8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餐线制作</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732.86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5716.28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5131.33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564.45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B2-208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龙骨基层 铝合金龙骨 中距500mm以内 单向</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0.078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5102.58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357.27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夹板、卷材基层 细木工板基层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0.078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7855.41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612.72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550.02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B2-224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面层 不锈钢面板 墙面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0.078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43615.71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3402.03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3053.89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335.93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B2-259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不锈钢柱嵌防弹玻璃</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0.0234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55706.3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1303.53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1170.14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128.72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餐线大理石台面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752.23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5867.36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5266.95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579.36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B6-141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厨房矮橱 大理石台面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0.0546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107460.81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5867.36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5266.95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579.36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餐线吊顶</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151.17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3325.73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2985.41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328.4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B3-45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装配式U型轻钢天棚龙骨(不上人型) 面层规格 600*600mm以上 平面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5076.39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1116.81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1002.52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110.28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B3-135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铝板天棚 600*600</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10040.58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2208.93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1982.89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218.12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墙砖铺贴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172.81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3456.22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3102.54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341.28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B2-116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水泥砂浆粘贴 墙面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17281.09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3456.22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3102.54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341.28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地砖铺贴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B1-58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陶瓷地面砖 楼地面 每块面积在1600cm2以内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14827.73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地面防水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133.55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3338.86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2997.19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329.69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借A8-102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涂膜防水 厚2mm聚氨酯 涂刷二遍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13355.45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3338.86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2997.19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329.69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厨房地沟</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286.41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11456.31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10283.98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1131.24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不锈钢沟盖板</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265.08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10603.27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9518.23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1047.01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排水沟清理</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21.33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853.04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765.74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84.23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卫生间硅钙板吊顶</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118.26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591.29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530.78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58.39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B3-39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装配式U型轻钢天棚龙骨(不上人型) 面层规格 300*300mm 平面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5673.14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283.66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254.63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28.01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B3-95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石膏板天棚基层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3229.04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161.45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144.93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15.94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B5-197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刷乳胶漆 抹灰面 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2178.07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97.76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10.75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B5-250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抹灰面 106涂料 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745.59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37.28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33.46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餐厅顶面银镜造型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B3-39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装配式U型轻钢天棚龙骨(不上人型) 面层规格 300*300mm 平面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5673.14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夹板、卷材基层 细木工板基层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7855.41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面层 镜面玻璃 墙面 在胶合板上粘贴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11996.26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漏水处理</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743.8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3718.98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3338.42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367.23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漏水处理</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743.8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3718.98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3338.42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367.23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天花乳胶漆</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29.24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11694.64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10497.92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1154.77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B5-197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刷乳胶漆 抹灰面 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2178.07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8712.27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7820.74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860.28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B5-250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抹灰面 106涂料 二遍</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745.59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2982.37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2677.18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294.49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超市、咖啡吧、包厢整修（6号栋）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33595.13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30157.31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3317.3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改后超市咖啡吧顶面石膏板做造型顶</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B3-39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装配式U型轻钢天棚龙骨(不上人型) 面层规格 300*300mm 平面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5673.14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夹板、卷材基层 细木工板基层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7855.41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面层 镜面玻璃 墙面 在胶合板上粘贴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11996.26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改后超市玻璃隔墙</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435.45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14021.57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12586.74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1384.54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B2-260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铝合金玻璃隔断</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0.322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43545.26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14021.57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12586.74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1384.54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地面拆除部分贴砖</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7413.87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6655.2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732.07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B1-58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陶瓷地面砖 楼地面 每块面积在1600cm2以内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14827.73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7413.87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6655.2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732.07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改后咖啡吧操作台</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732.86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8794.27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7894.35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868.38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B2-208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龙骨基层 铝合金龙骨 中距500mm以内 单向</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5102.58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612.31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549.65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60.46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夹板、卷材基层 细木工板基层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7855.41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942.65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846.19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93.08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B2-224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面层 不锈钢面板 墙面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43615.71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5233.88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4698.3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516.81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B2-259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不锈钢柱嵌防弹玻璃</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0.036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55706.3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2005.43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1800.21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198.02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超市咖啡吧招牌制作</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3365.42</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3365.42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3021.03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332.31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B6-4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招牌、灯箱基层 平面招牌 钢结构 复杂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25402.96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2540.3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2280.35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250.84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B6-16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灯箱面层 金属板</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8251.23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825.12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740.69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81.48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6"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厅外整修（6号栋）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196785.28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176648.1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19431.29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厅外钢架雨棚</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1309.12</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117820.98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105764.28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11634.07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B3-264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夹层玻璃 采光天棚 钢骨架</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0.9</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130912.2</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117820.98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105764.28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11634.07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厅外阶梯贴防滑砖</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11862.18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10648.32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1171.32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B1-58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陶瓷地面砖 楼地面 每块面积在1600cm2以内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14827.73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11862.18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10648.32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1171.32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厅外阶梯旁绿化基础制作</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254.15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12707.69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11407.3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1254.8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B2-17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一般抹灰 墙面、墙裙抹水泥砂浆 内砖墙</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3133.8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3133.8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2813.12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309.44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借A4-24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页岩多孔砖 零星砌体</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10m3</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6382.59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9573.89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8594.19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945.36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厅外阶梯旁绿化植被</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5749.03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5749.03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5160.73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厅外阶梯旁绿化植被</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5749.03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5749.03</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5160.73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厅外水沟</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519.24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20769.42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18644.07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2050.85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B2-17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一般抹灰 墙面、墙裙抹水泥砂浆 内砖墙</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3133.8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2507.04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2250.49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247.55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不锈钢沟盖板</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265.08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10603.27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9518.23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1047.01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借A4-24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页岩多孔砖 零星砌体</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10m3</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6382.59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7659.11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6875.35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756.29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室外防滑砖铺贴</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2965.55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2662.08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292.83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B1-58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陶瓷地面砖 楼地面 每块面积在1600cm2以内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14827.73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2965.55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2662.08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292.83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室外门口地面回填</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49.61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992.11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890.59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97.96</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找平层 细石混凝土 30mm</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2713.6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542.72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487.18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53.59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找平层 水泥砂浆 混凝土或硬基层上 20mm</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2246.94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449.39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403.4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44.37</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厅外门口门头基础制作</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6730.84</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6730.84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6042.07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664.63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B6-4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招牌、灯箱基层 平面招牌 钢结构 复杂</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25402.96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5080.59</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4560.69</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501.68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B6-16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灯箱面层 金属板</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8251.23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1650.25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1481.38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162.95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隔油池拆除重做</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17187.47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17187.47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15428.66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1697.15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隔油池</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17187.47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17187.47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15428.66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1697.15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6"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门窗工程（6号栋）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10604.54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9519.37</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1047.13</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厨房木双开门更换成不锈钢双开门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张</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2366.58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2366.58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2124.41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233.68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B4-92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防盗装饰门窗安装 不锈钢格栅门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59164.56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2366.58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2124.41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233.68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厨房木单开门更换成不锈钢单开门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张</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1183.29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2366.58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2124.41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233.68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B4-92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防盗装饰门窗安装 不锈钢格栅门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59164.56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2366.58</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2124.41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233.68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厨房单开铝合金门更换门锁</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把</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193.66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173.84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19.12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B4-137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五金安装 球形执手锁</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把</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48.41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193.66</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173.84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19.12</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入户门更换（3米宽/张）</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樘</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2838.86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5677.72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5096.71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560.64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B4-42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铝合金门窗制作、安装 单扇地弹门 无上亮</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0.144</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39428.6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5677.72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5096.71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560.64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水电安装工程（6号栋）</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auto"/>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50659.24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45475.25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5002.28</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餐线内部顶面600*600铝扣板灯</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1684.01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1511.68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166.29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借C2-1405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方型吸顶灯 矩型罩</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2105.01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1684.01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1511.68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166.29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3"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餐厅顶面照明灯更换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73.73</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13270.64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11912.65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1310.39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8"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借C2-1569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点光源艺术装饰灯具 吸顶式 示意图号 178</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737.26</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13270.64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11912.65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1310.39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11.3</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楼梯间顶面照明灯更换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150.51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752.54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675.53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74.31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借C2-1400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圆球吸顶灯 灯罩直径250mm以内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1505.09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752.54</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675.53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74.31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其他部位顶面照明灯更换（除厨房）</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150.51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3010.17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2702.14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297.24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9"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借C2-1400</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圆球吸顶灯 灯罩直径250mm以内</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10套</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1505.09</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3010.17</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2702.14</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297.24</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卫生间小便斗更换</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1295.31</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1295.31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1162.76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借C8-1078</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感应冲洗落地式小便器</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10组</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12953.08</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1295.31</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1162.76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127.9</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水电更改</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28260.52</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28260.52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25368.6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2790.55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7"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补子目7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水电更改</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28260.52</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28260.52</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25368.6</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2790.55</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4"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全厅新风系统增加</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2386.05</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2386.05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2141.88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235.61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3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借C9-239</w:t>
            </w:r>
          </w:p>
        </w:tc>
        <w:tc>
          <w:tcPr>
            <w:tcW w:w="11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离心式通风机 12#</w:t>
            </w:r>
          </w:p>
        </w:tc>
        <w:tc>
          <w:tcPr>
            <w:tcW w:w="5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6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397.67</w:t>
            </w:r>
          </w:p>
        </w:tc>
        <w:tc>
          <w:tcPr>
            <w:tcW w:w="16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2386.05</w:t>
            </w:r>
          </w:p>
        </w:tc>
        <w:tc>
          <w:tcPr>
            <w:tcW w:w="8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2141.88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235.61</w:t>
            </w:r>
          </w:p>
        </w:tc>
        <w:tc>
          <w:tcPr>
            <w:tcW w:w="84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4842" w:type="dxa"/>
            <w:gridSpan w:val="6"/>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    计</w:t>
            </w:r>
          </w:p>
        </w:tc>
        <w:tc>
          <w:tcPr>
            <w:tcW w:w="1625"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694696.04</w:t>
            </w:r>
          </w:p>
        </w:tc>
        <w:tc>
          <w:tcPr>
            <w:tcW w:w="86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623607.32</w:t>
            </w:r>
          </w:p>
        </w:tc>
        <w:tc>
          <w:tcPr>
            <w:tcW w:w="92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68596.85</w:t>
            </w:r>
          </w:p>
        </w:tc>
        <w:tc>
          <w:tcPr>
            <w:tcW w:w="847"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9100" w:type="dxa"/>
            <w:gridSpan w:val="10"/>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注：本表用于分部分项工程和能计量的措施项目清单与计价。</w:t>
            </w:r>
          </w:p>
        </w:tc>
      </w:tr>
    </w:tbl>
    <w:p>
      <w:pPr>
        <w:adjustRightInd w:val="0"/>
        <w:snapToGrid w:val="0"/>
        <w:spacing w:line="360" w:lineRule="auto"/>
        <w:rPr>
          <w:rFonts w:hint="eastAsia" w:ascii="宋体" w:hAnsi="宋体" w:eastAsia="宋体" w:cs="宋体"/>
          <w:color w:val="auto"/>
          <w:sz w:val="24"/>
          <w:szCs w:val="21"/>
        </w:rPr>
      </w:pPr>
      <w:r>
        <w:rPr>
          <w:rFonts w:hint="eastAsia" w:ascii="宋体" w:hAnsi="宋体" w:eastAsia="宋体" w:cs="宋体"/>
          <w:color w:val="auto"/>
          <w:sz w:val="24"/>
          <w:szCs w:val="21"/>
          <w:lang w:val="en-US" w:eastAsia="zh-CN"/>
        </w:rPr>
        <w:t xml:space="preserve"> </w:t>
      </w:r>
      <w:r>
        <w:rPr>
          <w:rFonts w:hint="eastAsia" w:ascii="宋体" w:hAnsi="宋体" w:eastAsia="宋体" w:cs="宋体"/>
          <w:color w:val="auto"/>
          <w:sz w:val="24"/>
          <w:szCs w:val="21"/>
        </w:rPr>
        <w:br w:type="page"/>
      </w:r>
    </w:p>
    <w:tbl>
      <w:tblPr>
        <w:tblStyle w:val="13"/>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1"/>
        <w:gridCol w:w="844"/>
        <w:gridCol w:w="2477"/>
        <w:gridCol w:w="571"/>
        <w:gridCol w:w="844"/>
        <w:gridCol w:w="729"/>
        <w:gridCol w:w="573"/>
        <w:gridCol w:w="759"/>
        <w:gridCol w:w="843"/>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7" w:hRule="atLeast"/>
        </w:trPr>
        <w:tc>
          <w:tcPr>
            <w:tcW w:w="9120" w:type="dxa"/>
            <w:gridSpan w:val="10"/>
            <w:shd w:val="clear" w:color="FFFFFF" w:fill="FFFFFF"/>
            <w:vAlign w:val="center"/>
          </w:tcPr>
          <w:p>
            <w:pPr>
              <w:keepNext w:val="0"/>
              <w:keepLines w:val="0"/>
              <w:widowControl/>
              <w:suppressLineNumbers w:val="0"/>
              <w:jc w:val="left"/>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 xml:space="preserve">J.2 人工、所有材料(工程设备)、机械用量汇总与单价表 </w:t>
            </w:r>
            <w:r>
              <w:rPr>
                <w:rFonts w:hint="eastAsia" w:ascii="宋体" w:hAnsi="宋体" w:eastAsia="宋体" w:cs="宋体"/>
                <w:b/>
                <w:i w:val="0"/>
                <w:color w:val="auto"/>
                <w:kern w:val="0"/>
                <w:sz w:val="36"/>
                <w:szCs w:val="36"/>
                <w:u w:val="none"/>
                <w:lang w:val="en-US" w:eastAsia="zh-CN" w:bidi="ar"/>
              </w:rPr>
              <w:br w:type="textWrapping"/>
            </w:r>
            <w:r>
              <w:rPr>
                <w:rFonts w:hint="eastAsia" w:ascii="宋体" w:hAnsi="宋体" w:eastAsia="宋体" w:cs="宋体"/>
                <w:b/>
                <w:i w:val="0"/>
                <w:color w:val="auto"/>
                <w:kern w:val="0"/>
                <w:sz w:val="36"/>
                <w:szCs w:val="36"/>
                <w:u w:val="none"/>
                <w:lang w:val="en-US" w:eastAsia="zh-CN" w:bidi="ar"/>
              </w:rPr>
              <w:t xml:space="preserve">                  (一般计税法)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9" w:hRule="atLeast"/>
        </w:trPr>
        <w:tc>
          <w:tcPr>
            <w:tcW w:w="9120" w:type="dxa"/>
            <w:gridSpan w:val="10"/>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工程名称：湘江新区食堂整修工程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2" w:hRule="atLeast"/>
        </w:trPr>
        <w:tc>
          <w:tcPr>
            <w:tcW w:w="451"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84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编码</w:t>
            </w:r>
          </w:p>
        </w:tc>
        <w:tc>
          <w:tcPr>
            <w:tcW w:w="247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名称(材料、机械规格型号)</w:t>
            </w:r>
          </w:p>
        </w:tc>
        <w:tc>
          <w:tcPr>
            <w:tcW w:w="571"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w:t>
            </w:r>
          </w:p>
        </w:tc>
        <w:tc>
          <w:tcPr>
            <w:tcW w:w="844"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w:t>
            </w:r>
          </w:p>
        </w:tc>
        <w:tc>
          <w:tcPr>
            <w:tcW w:w="72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基期价(元)</w:t>
            </w:r>
          </w:p>
        </w:tc>
        <w:tc>
          <w:tcPr>
            <w:tcW w:w="1332"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市场价（元）</w:t>
            </w:r>
          </w:p>
        </w:tc>
        <w:tc>
          <w:tcPr>
            <w:tcW w:w="843"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合价（元）</w:t>
            </w:r>
          </w:p>
        </w:tc>
        <w:tc>
          <w:tcPr>
            <w:tcW w:w="1029" w:type="dxa"/>
            <w:vMerge w:val="restart"/>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2" w:hRule="atLeast"/>
        </w:trPr>
        <w:tc>
          <w:tcPr>
            <w:tcW w:w="451"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84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247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571"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844"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72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含税</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除税</w:t>
            </w:r>
          </w:p>
        </w:tc>
        <w:tc>
          <w:tcPr>
            <w:tcW w:w="84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18"/>
                <w:szCs w:val="18"/>
                <w:u w:val="none"/>
              </w:rPr>
            </w:pPr>
          </w:p>
        </w:tc>
        <w:tc>
          <w:tcPr>
            <w:tcW w:w="1029" w:type="dxa"/>
            <w:vMerge w:val="continue"/>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00001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综合人工（建筑）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工日</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106.485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9370.68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00001@1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综合人工（装饰）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工日</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510.1925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56121.18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00001@2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综合人工（装饰）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工日</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35.508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3905.88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00001@3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综合人工（安装）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工日</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110.284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9704.99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BCRG12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排水沟清理人工费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BCRG25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8号栋拆除人工费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BCRG26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6号栋拆除人工费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BCRG27</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不锈钢沟盖板人工费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5190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BCRG28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漏水处理人工费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BCRG29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厅外阶梯旁绿化植被人工费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BCRG31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水电更改人工费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BCRG32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隔油池人工费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010074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不锈钢槽钢 10*20*1mm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16.2636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112.87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010088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不锈钢焊丝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38.48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010367</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镀锌铁皮 0.552mm厚</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22.92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44.22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010375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镀锌铁皮 28#</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9.91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23.95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277.48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010672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角钢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010673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角钢 40*3</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592.7</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2679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010818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镜面不锈钢板 (8k)(成型)</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41.4027</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138.9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256.56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12420.81</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010872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螺栓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1.3547</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11.38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010893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螺栓 M12</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7.425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53.46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010935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膨胀螺栓 M6</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97.92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31.33</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010942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膨胀螺栓 M8*80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178.96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116.32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010946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膨胀螺栓 M8*55</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112.3716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44.95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010947</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膨胀螺栓 M8*65</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356.5728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160.46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011009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其他铁件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58.925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440.76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011025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伞型螺栓 M6~8*150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0.77</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0.77</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78.54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011293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胶合板 3mm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17.493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315.75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011311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不锈钢螺丝 4*12mm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691.5758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27.66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011322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电焊条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17.5106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122.57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011328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膨胀螺栓 M16</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213.0923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447.49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020173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橡胶垫片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020175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橡胶垫条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21.38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13200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030029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抽屉轨道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付</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33.19</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165.95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030035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磁性碰珠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39.829</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79.66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030044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地脚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178.2864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980.58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030078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钢钉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10.445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109.67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030086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合页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付</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39.829</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119.49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030105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拉手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73.0175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51.11</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030118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螺钉 M5*16</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113.0054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030148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木螺钉 φ2~4*6~65</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129.168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0.26</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0.26</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33.58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030172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球形执手锁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把</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030176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射钉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130.356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0.07</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0.07</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030178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射钉(枪钉)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盒</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2.4948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13.72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030184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铁钉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1.7816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030224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自攻螺丝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230</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040015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白水泥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20.87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040021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玻璃胶350g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支</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262.6456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12.83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3939.68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040031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粗净砂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17.2011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140.41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140.41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135.27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2415.21</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040087</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砾石 10mm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0.9938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152.01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152.01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146.45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151.07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040139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水泥 32.5级</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1959.12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764.06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040139@1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水泥32.5级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6561.7861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2559.1</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040183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砼小型空心砌块(综合)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230.91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中净砂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12.2821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128.51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128.51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123.81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1578.37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040238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标准砖 240*115*53mm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0.0808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252.94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252.94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216.32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20.44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040244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页岩多孔砖 190*190*90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42.1248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248.01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12216.19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050003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白枫木饰面板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12.7875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38.48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575.44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050019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大芯板 1.8cm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107.8103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47.72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6015.81</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050038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枫木线条 10*20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1.5264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050039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枫木线条 10*30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050040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枫木线条 10*50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9.699</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72.74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050052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胶合板 5mm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15.2145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24.37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433.61</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050053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胶合板 9mm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13.3612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19.48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19.48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16.66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260.28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050100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木材(一级红松)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0.002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962.11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050135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杉木锯材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1870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1870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1599.25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1458.6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050144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松木方 25*35</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48.4785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87.26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060026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瓷接头(双)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49.44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060034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大理石板 (综合)</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13.2447</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427.61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6622.35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060054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防弹玻璃 19mm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10.4608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290.77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3556.67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060084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夹层玻璃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833.83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160875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060115@1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钢化玻璃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38.962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171.04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7792.4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060116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平板玻璃 6mm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24.4138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23.95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683.59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060152@1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陶瓷地面砖 300*600mm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51.25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4510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060152@2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防滑砖 600*600mm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179.375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15785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060159@1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300*600mm墙面砖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30.45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47.04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1674.75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080050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铝板 600*600mm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78.96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69.38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69.38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59.33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5478.24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080082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铝合金龙骨 60*30*1.5mm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88.8628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541.17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080111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铝合金型材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341.2133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21.38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8530.33</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080139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轻钢龙骨不上人型(平面) 300*300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126.88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080142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轻钢龙骨不上人型(平面) 600*600以上</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76.328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1030.43</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080212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密封毛条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58.4496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0.21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14.61</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080229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石膏板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9.83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120.75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090003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不锈钢格栅门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393.4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11040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110002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107胶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95.175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190.35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110033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建筑油膏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852.39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110055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密封油膏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12.6922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72.85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110079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106涂料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388.648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310.92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110109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调和漆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21.879</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13.68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110120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防锈漆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37.26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110184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乳胶漆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238.562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51.31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14313.72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110211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油漆溶剂油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0.32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120109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聚四氟乙烯生料带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140017</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不锈钢管 φ25*0.8</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2.5758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6.57</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6.57</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140022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不锈钢管 φ76*2</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9.3427</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55.83</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55.83</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47.75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521.6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140340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塑料胀管 φ6~8</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89.32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180041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不锈钢冲洗管 DN15</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180042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进水口连接件 DN15</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27.14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180043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铜塑三通 PP-R25*20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5.26</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5.26</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10.63</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240045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塑料绝缘线 BV-1.5mm2</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49.474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49.97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240046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塑料绝缘线 BV-105℃-1.5mm2</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123.22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240050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塑料绝缘线 BV-2.5mm2</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12.36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260060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铜线端子 20A</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36.54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冲击钻头 φ6~12</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0.672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320016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冲击钻头 φ8</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15.39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367.2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320054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合金钢钻头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4.5681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91.36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320056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合金钢钻头 φ20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1.031</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68.42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82.48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320202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合金钢钻头 φ10</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2.2292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18.95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400001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聚氨脂甲料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37.674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17.77</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42.76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1883.7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400003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聚氨脂乙料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58.9435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16.75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34.21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2357.74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410097</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玻璃钢瓦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24.65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305.66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410188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吊筋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29.6976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133.64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410278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硅铜密封胶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75.43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37.04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410371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金属板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1643</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410410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拉杆螺栓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3.7612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22.57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410462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棉纱头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0.58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410522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其他材料费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34.662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0.86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34.66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410559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软填料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15.8572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122.89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410586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石碴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0.1085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72.39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72.39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61.91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7.85</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410593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石灰膏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0.9977</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327.04</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327.04</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279.69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326.29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410599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石料切割锯片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片</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410639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熟桐油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6.363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55.42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410649</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水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25.7116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112.62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410937</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型钢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1848.66</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8318.97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410954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加工铁件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kg</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8.3899</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62.76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BCCL10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排水沟清理材料费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BCCL20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不锈钢沟盖板材料费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173</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31140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BCCL21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漏水处理材料费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点</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BCCL22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厅外阶梯旁绿化植被材料费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BCCL23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水电更改材料费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BCCL24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隔油池材料费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5000</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ZC00021@1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成套插座 15A 5孔</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ZC00028@1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射灯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19392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ZC00028@2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吸顶灯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102.63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6060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ZC00028@3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扣板灯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48.48</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153.94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8726.4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ZC00598@1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新风机 12#</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85.52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ZC0378@1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落地式小便器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684.17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1616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ZC0495@1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感应式冲洗阀 DN15</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256.56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606</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J10-10</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电动空气压缩机 排气量0.3m3/min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1.7925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100.55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100.55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95.52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180.24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J12-133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石料切割机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3.3975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10.15</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36.29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J12-135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制作安装综合机械(适应于铝合金门窗制安)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0.4694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326.73</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326.73</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310.39</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153.37</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J6-16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灰浆搅拌机 200L</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92.19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92.19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87.58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140.13</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J6-16@1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灰浆搅拌机 200L</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2.367</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92.19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92.19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87.58</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218.21</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J6-6</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双锥反转出料混凝土搅拌机 350L</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142.55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142.55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135.42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17.11</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J7-105</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砂轮切割机 直径500mm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6.1199</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60.22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60.22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57.21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368.54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J7-114</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电锤 520W</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11.9772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8.99</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8.99</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107.68</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J7-12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木工圆锯机 φ500mm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30.95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30.95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29.4</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13.93</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J7-13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木工圆锯机 直径φ600mm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0.1449</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43.06</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43.06</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40.91</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6.24</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J7-18</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木工压刨床 单面600mm</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43.82</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43.82</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41.63</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19.72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149</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J7-21</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木工压刨床 刨削宽度 四面300mm </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0.605</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123.01</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123.01</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116.86</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74.42</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J9-2</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交流电弧焊机 32kV·A</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0.0852</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179.55</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179.55</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170.57</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15.3</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J9-3</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交流电弧焊机 42kV·A</w:t>
            </w:r>
          </w:p>
        </w:tc>
        <w:tc>
          <w:tcPr>
            <w:tcW w:w="5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台班</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7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225.18</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225.18</w:t>
            </w:r>
          </w:p>
        </w:tc>
        <w:tc>
          <w:tcPr>
            <w:tcW w:w="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213.92</w:t>
            </w:r>
          </w:p>
        </w:tc>
        <w:tc>
          <w:tcPr>
            <w:tcW w:w="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990.79</w:t>
            </w:r>
          </w:p>
        </w:tc>
        <w:tc>
          <w:tcPr>
            <w:tcW w:w="1029"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451" w:type="dxa"/>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3321"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合计</w:t>
            </w:r>
          </w:p>
        </w:tc>
        <w:tc>
          <w:tcPr>
            <w:tcW w:w="57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元</w:t>
            </w:r>
          </w:p>
        </w:tc>
        <w:tc>
          <w:tcPr>
            <w:tcW w:w="844"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72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57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75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auto"/>
                <w:sz w:val="18"/>
                <w:szCs w:val="18"/>
                <w:u w:val="none"/>
              </w:rPr>
            </w:pPr>
          </w:p>
        </w:tc>
        <w:tc>
          <w:tcPr>
            <w:tcW w:w="843"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573620.14</w:t>
            </w:r>
          </w:p>
        </w:tc>
        <w:tc>
          <w:tcPr>
            <w:tcW w:w="1029"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34" w:hRule="atLeast"/>
        </w:trPr>
        <w:tc>
          <w:tcPr>
            <w:tcW w:w="9120" w:type="dxa"/>
            <w:gridSpan w:val="10"/>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注：1. 招标控制价、投标报价、竣工结算通用表。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2. 单位工程、单项工程、建设项目通用表。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3. 采用一般计税法时，市场价含税、除税栏均需填写，采用简易计税法时，市场价填写含税栏。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4. 本表合价栏按市场含税价填报；合价=市场价（含税）×数量。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5. 发包人提供材料和工程设备及承包人提供材料和工程设备均按含税单价填报。</w:t>
            </w:r>
          </w:p>
        </w:tc>
      </w:tr>
    </w:tbl>
    <w:p>
      <w:pPr>
        <w:pStyle w:val="2"/>
        <w:rPr>
          <w:rFonts w:hint="eastAsia"/>
          <w:color w:val="auto"/>
          <w:lang w:eastAsia="zh-CN"/>
        </w:rPr>
      </w:pPr>
    </w:p>
    <w:p>
      <w:pPr>
        <w:pStyle w:val="2"/>
        <w:rPr>
          <w:rFonts w:hint="eastAsia"/>
          <w:color w:val="auto"/>
        </w:rPr>
      </w:pPr>
    </w:p>
    <w:sectPr>
      <w:footerReference r:id="rId3" w:type="default"/>
      <w:pgSz w:w="11906" w:h="16838"/>
      <w:pgMar w:top="1417" w:right="1417" w:bottom="1417" w:left="1417"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Segoe UI Symbol">
    <w:panose1 w:val="020B0502040204020203"/>
    <w:charset w:val="00"/>
    <w:family w:val="swiss"/>
    <w:pitch w:val="default"/>
    <w:sig w:usb0="8000006F" w:usb1="1200FBEF" w:usb2="0004C000" w:usb3="00000000" w:csb0="00000001" w:csb1="4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B81F"/>
    <w:multiLevelType w:val="singleLevel"/>
    <w:tmpl w:val="015CB81F"/>
    <w:lvl w:ilvl="0" w:tentative="0">
      <w:start w:val="5"/>
      <w:numFmt w:val="decimal"/>
      <w:suff w:val="nothing"/>
      <w:lvlText w:val="(%1&gt;"/>
      <w:lvlJc w:val="left"/>
    </w:lvl>
  </w:abstractNum>
  <w:abstractNum w:abstractNumId="1">
    <w:nsid w:val="2C37B024"/>
    <w:multiLevelType w:val="singleLevel"/>
    <w:tmpl w:val="2C37B024"/>
    <w:lvl w:ilvl="0" w:tentative="0">
      <w:start w:val="4"/>
      <w:numFmt w:val="chineseCounting"/>
      <w:suff w:val="space"/>
      <w:lvlText w:val="第%1条"/>
      <w:lvlJc w:val="left"/>
      <w:rPr>
        <w:rFonts w:hint="eastAsia"/>
      </w:rPr>
    </w:lvl>
  </w:abstractNum>
  <w:abstractNum w:abstractNumId="2">
    <w:nsid w:val="4CB47803"/>
    <w:multiLevelType w:val="multilevel"/>
    <w:tmpl w:val="4CB4780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4"/>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5AED0E7F"/>
    <w:multiLevelType w:val="multilevel"/>
    <w:tmpl w:val="5AED0E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5"/>
    <w:rsid w:val="00041B15"/>
    <w:rsid w:val="00346E58"/>
    <w:rsid w:val="00492E52"/>
    <w:rsid w:val="00526DC5"/>
    <w:rsid w:val="00617BE0"/>
    <w:rsid w:val="006D33BD"/>
    <w:rsid w:val="00733A5A"/>
    <w:rsid w:val="00786A29"/>
    <w:rsid w:val="007A7848"/>
    <w:rsid w:val="008973D0"/>
    <w:rsid w:val="008E045A"/>
    <w:rsid w:val="009974CD"/>
    <w:rsid w:val="00BD3E34"/>
    <w:rsid w:val="00C75D26"/>
    <w:rsid w:val="00CF47E0"/>
    <w:rsid w:val="00DB1799"/>
    <w:rsid w:val="00EE536D"/>
    <w:rsid w:val="00F36ECD"/>
    <w:rsid w:val="00FB1EE2"/>
    <w:rsid w:val="00FC4424"/>
    <w:rsid w:val="04B21B5F"/>
    <w:rsid w:val="077B4347"/>
    <w:rsid w:val="086176A9"/>
    <w:rsid w:val="08EB37E1"/>
    <w:rsid w:val="0D75548F"/>
    <w:rsid w:val="127075BE"/>
    <w:rsid w:val="12FB21F5"/>
    <w:rsid w:val="131D4CD7"/>
    <w:rsid w:val="13697CD3"/>
    <w:rsid w:val="14B414F0"/>
    <w:rsid w:val="16865205"/>
    <w:rsid w:val="193A3AFF"/>
    <w:rsid w:val="1B3A5BA5"/>
    <w:rsid w:val="1D2F3D60"/>
    <w:rsid w:val="211F1AC8"/>
    <w:rsid w:val="2D8F1FE7"/>
    <w:rsid w:val="313D0315"/>
    <w:rsid w:val="31585737"/>
    <w:rsid w:val="347721AF"/>
    <w:rsid w:val="383826F1"/>
    <w:rsid w:val="39034E6F"/>
    <w:rsid w:val="3A484716"/>
    <w:rsid w:val="3A6D3AF0"/>
    <w:rsid w:val="47225E0B"/>
    <w:rsid w:val="4863679B"/>
    <w:rsid w:val="4BA41E28"/>
    <w:rsid w:val="4DA82B78"/>
    <w:rsid w:val="562F76C9"/>
    <w:rsid w:val="60E671B7"/>
    <w:rsid w:val="65954C18"/>
    <w:rsid w:val="65B33A25"/>
    <w:rsid w:val="693A5712"/>
    <w:rsid w:val="69FE3016"/>
    <w:rsid w:val="6BCF6FD1"/>
    <w:rsid w:val="6BFE25B7"/>
    <w:rsid w:val="743575B5"/>
    <w:rsid w:val="77AB42D0"/>
    <w:rsid w:val="7CEB671D"/>
    <w:rsid w:val="7CF56CDF"/>
    <w:rsid w:val="7F580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semiHidden/>
    <w:unhideWhenUsed/>
    <w:qFormat/>
    <w:uiPriority w:val="9"/>
    <w:pPr>
      <w:keepNext/>
      <w:keepLines/>
      <w:numPr>
        <w:ilvl w:val="2"/>
        <w:numId w:val="1"/>
      </w:numPr>
      <w:outlineLvl w:val="2"/>
    </w:pPr>
    <w:rPr>
      <w:rFonts w:ascii="Arial" w:hAnsi="Arial" w:eastAsia="宋体" w:cs="Times New Roman"/>
      <w:b/>
      <w:sz w:val="28"/>
      <w:szCs w:val="20"/>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6"/>
    <w:unhideWhenUsed/>
    <w:qFormat/>
    <w:uiPriority w:val="0"/>
    <w:pPr>
      <w:ind w:firstLine="420" w:firstLineChars="100"/>
    </w:pPr>
  </w:style>
  <w:style w:type="paragraph" w:styleId="3">
    <w:name w:val="Body Text"/>
    <w:basedOn w:val="1"/>
    <w:link w:val="15"/>
    <w:unhideWhenUsed/>
    <w:qFormat/>
    <w:uiPriority w:val="0"/>
    <w:pPr>
      <w:spacing w:after="120"/>
    </w:pPr>
  </w:style>
  <w:style w:type="paragraph" w:styleId="5">
    <w:name w:val="annotation subject"/>
    <w:basedOn w:val="6"/>
    <w:next w:val="6"/>
    <w:link w:val="25"/>
    <w:semiHidden/>
    <w:unhideWhenUsed/>
    <w:qFormat/>
    <w:uiPriority w:val="99"/>
    <w:rPr>
      <w:b/>
      <w:bCs/>
    </w:rPr>
  </w:style>
  <w:style w:type="paragraph" w:styleId="6">
    <w:name w:val="annotation text"/>
    <w:basedOn w:val="1"/>
    <w:link w:val="24"/>
    <w:semiHidden/>
    <w:unhideWhenUsed/>
    <w:qFormat/>
    <w:uiPriority w:val="99"/>
    <w:pPr>
      <w:jc w:val="left"/>
    </w:pPr>
  </w:style>
  <w:style w:type="paragraph" w:styleId="7">
    <w:name w:val="Body Text Indent"/>
    <w:basedOn w:val="1"/>
    <w:link w:val="14"/>
    <w:qFormat/>
    <w:uiPriority w:val="99"/>
    <w:pPr>
      <w:spacing w:after="120"/>
      <w:ind w:left="420" w:leftChars="200"/>
    </w:pPr>
  </w:style>
  <w:style w:type="paragraph" w:styleId="8">
    <w:name w:val="Balloon Text"/>
    <w:basedOn w:val="1"/>
    <w:link w:val="26"/>
    <w:semiHidden/>
    <w:unhideWhenUsed/>
    <w:qFormat/>
    <w:uiPriority w:val="99"/>
    <w:rPr>
      <w:sz w:val="18"/>
      <w:szCs w:val="18"/>
    </w:rPr>
  </w:style>
  <w:style w:type="paragraph" w:styleId="9">
    <w:name w:val="footer"/>
    <w:basedOn w:val="1"/>
    <w:link w:val="17"/>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10">
    <w:name w:val="header"/>
    <w:basedOn w:val="1"/>
    <w:link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character" w:styleId="12">
    <w:name w:val="annotation reference"/>
    <w:basedOn w:val="11"/>
    <w:semiHidden/>
    <w:unhideWhenUsed/>
    <w:qFormat/>
    <w:uiPriority w:val="99"/>
    <w:rPr>
      <w:sz w:val="21"/>
      <w:szCs w:val="21"/>
    </w:rPr>
  </w:style>
  <w:style w:type="character" w:customStyle="1" w:styleId="14">
    <w:name w:val="正文文本缩进 Char"/>
    <w:basedOn w:val="11"/>
    <w:link w:val="7"/>
    <w:qFormat/>
    <w:uiPriority w:val="99"/>
    <w:rPr>
      <w:rFonts w:ascii="Calibri" w:hAnsi="Calibri" w:eastAsia="宋体" w:cs="Times New Roman"/>
      <w:szCs w:val="24"/>
    </w:rPr>
  </w:style>
  <w:style w:type="character" w:customStyle="1" w:styleId="15">
    <w:name w:val="正文文本 Char"/>
    <w:basedOn w:val="11"/>
    <w:link w:val="3"/>
    <w:semiHidden/>
    <w:qFormat/>
    <w:uiPriority w:val="99"/>
    <w:rPr>
      <w:rFonts w:ascii="Calibri" w:hAnsi="Calibri" w:eastAsia="宋体" w:cs="Times New Roman"/>
      <w:szCs w:val="24"/>
    </w:rPr>
  </w:style>
  <w:style w:type="character" w:customStyle="1" w:styleId="16">
    <w:name w:val="正文首行缩进 Char"/>
    <w:basedOn w:val="15"/>
    <w:link w:val="2"/>
    <w:semiHidden/>
    <w:qFormat/>
    <w:uiPriority w:val="99"/>
    <w:rPr>
      <w:rFonts w:ascii="Calibri" w:hAnsi="Calibri" w:eastAsia="宋体" w:cs="Times New Roman"/>
      <w:szCs w:val="24"/>
    </w:rPr>
  </w:style>
  <w:style w:type="character" w:customStyle="1" w:styleId="17">
    <w:name w:val="页脚 Char"/>
    <w:basedOn w:val="11"/>
    <w:link w:val="9"/>
    <w:qFormat/>
    <w:uiPriority w:val="0"/>
    <w:rPr>
      <w:sz w:val="18"/>
      <w:szCs w:val="24"/>
    </w:rPr>
  </w:style>
  <w:style w:type="character" w:customStyle="1" w:styleId="18">
    <w:name w:val="页眉 Char"/>
    <w:basedOn w:val="11"/>
    <w:link w:val="10"/>
    <w:qFormat/>
    <w:uiPriority w:val="0"/>
    <w:rPr>
      <w:sz w:val="18"/>
      <w:szCs w:val="24"/>
    </w:rPr>
  </w:style>
  <w:style w:type="paragraph" w:customStyle="1" w:styleId="19">
    <w:name w:val="Body text|21"/>
    <w:basedOn w:val="1"/>
    <w:link w:val="21"/>
    <w:qFormat/>
    <w:uiPriority w:val="0"/>
    <w:pPr>
      <w:shd w:val="clear" w:color="auto" w:fill="FFFFFF"/>
      <w:spacing w:before="180" w:after="180" w:line="170" w:lineRule="exact"/>
    </w:pPr>
    <w:rPr>
      <w:rFonts w:ascii="PMingLiU" w:hAnsi="PMingLiU" w:eastAsia="PMingLiU" w:cs="PMingLiU"/>
      <w:spacing w:val="10"/>
      <w:sz w:val="17"/>
      <w:szCs w:val="17"/>
    </w:rPr>
  </w:style>
  <w:style w:type="character" w:customStyle="1" w:styleId="20">
    <w:name w:val="Body text|2 + Spacing 2 pt"/>
    <w:basedOn w:val="21"/>
    <w:semiHidden/>
    <w:unhideWhenUsed/>
    <w:qFormat/>
    <w:uiPriority w:val="0"/>
    <w:rPr>
      <w:rFonts w:ascii="PMingLiU" w:hAnsi="PMingLiU" w:eastAsia="PMingLiU" w:cs="PMingLiU"/>
      <w:color w:val="000000"/>
      <w:spacing w:val="40"/>
      <w:w w:val="100"/>
      <w:position w:val="0"/>
      <w:sz w:val="17"/>
      <w:szCs w:val="17"/>
      <w:shd w:val="clear" w:color="auto" w:fill="FFFFFF"/>
      <w:lang w:val="zh-CN" w:eastAsia="zh-CN" w:bidi="zh-CN"/>
    </w:rPr>
  </w:style>
  <w:style w:type="character" w:customStyle="1" w:styleId="21">
    <w:name w:val="Body text|2_"/>
    <w:basedOn w:val="11"/>
    <w:link w:val="19"/>
    <w:qFormat/>
    <w:uiPriority w:val="0"/>
    <w:rPr>
      <w:rFonts w:ascii="PMingLiU" w:hAnsi="PMingLiU" w:eastAsia="PMingLiU" w:cs="PMingLiU"/>
      <w:spacing w:val="10"/>
      <w:sz w:val="17"/>
      <w:szCs w:val="17"/>
      <w:shd w:val="clear" w:color="auto" w:fill="FFFFFF"/>
    </w:rPr>
  </w:style>
  <w:style w:type="character" w:customStyle="1" w:styleId="22">
    <w:name w:val="Body text|2 + 9.5 pt"/>
    <w:basedOn w:val="21"/>
    <w:semiHidden/>
    <w:unhideWhenUsed/>
    <w:qFormat/>
    <w:uiPriority w:val="0"/>
    <w:rPr>
      <w:rFonts w:ascii="PMingLiU" w:hAnsi="PMingLiU" w:eastAsia="PMingLiU" w:cs="PMingLiU"/>
      <w:color w:val="000000"/>
      <w:spacing w:val="0"/>
      <w:w w:val="100"/>
      <w:position w:val="0"/>
      <w:sz w:val="19"/>
      <w:szCs w:val="19"/>
      <w:shd w:val="clear" w:color="auto" w:fill="FFFFFF"/>
      <w:lang w:val="en-US" w:eastAsia="en-US" w:bidi="en-US"/>
    </w:rPr>
  </w:style>
  <w:style w:type="paragraph" w:customStyle="1" w:styleId="23">
    <w:name w:val="列出段落1"/>
    <w:basedOn w:val="1"/>
    <w:qFormat/>
    <w:uiPriority w:val="34"/>
    <w:pPr>
      <w:ind w:firstLine="420" w:firstLineChars="200"/>
    </w:pPr>
    <w:rPr>
      <w:rFonts w:asciiTheme="minorHAnsi" w:hAnsiTheme="minorHAnsi" w:eastAsiaTheme="minorEastAsia" w:cstheme="minorBidi"/>
    </w:rPr>
  </w:style>
  <w:style w:type="character" w:customStyle="1" w:styleId="24">
    <w:name w:val="批注文字 Char"/>
    <w:basedOn w:val="11"/>
    <w:link w:val="6"/>
    <w:semiHidden/>
    <w:qFormat/>
    <w:uiPriority w:val="99"/>
    <w:rPr>
      <w:rFonts w:ascii="Calibri" w:hAnsi="Calibri" w:eastAsia="宋体" w:cs="Times New Roman"/>
      <w:szCs w:val="24"/>
    </w:rPr>
  </w:style>
  <w:style w:type="character" w:customStyle="1" w:styleId="25">
    <w:name w:val="批注主题 Char"/>
    <w:basedOn w:val="24"/>
    <w:link w:val="5"/>
    <w:semiHidden/>
    <w:qFormat/>
    <w:uiPriority w:val="99"/>
    <w:rPr>
      <w:rFonts w:ascii="Calibri" w:hAnsi="Calibri" w:eastAsia="宋体" w:cs="Times New Roman"/>
      <w:b/>
      <w:bCs/>
      <w:szCs w:val="24"/>
    </w:rPr>
  </w:style>
  <w:style w:type="character" w:customStyle="1" w:styleId="26">
    <w:name w:val="批注框文本 Char"/>
    <w:basedOn w:val="11"/>
    <w:link w:val="8"/>
    <w:semiHidden/>
    <w:qFormat/>
    <w:uiPriority w:val="99"/>
    <w:rPr>
      <w:rFonts w:ascii="Calibri" w:hAnsi="Calibri" w:eastAsia="宋体" w:cs="Times New Roman"/>
      <w:sz w:val="18"/>
      <w:szCs w:val="18"/>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1910</Words>
  <Characters>10890</Characters>
  <Lines>90</Lines>
  <Paragraphs>25</Paragraphs>
  <TotalTime>33</TotalTime>
  <ScaleCrop>false</ScaleCrop>
  <LinksUpToDate>false</LinksUpToDate>
  <CharactersWithSpaces>12775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2018-11-27T10:43:00Z</dcterms:created>
  <dc:creator>陈 毫</dc:creator>
  <cp:lastModifiedBy>吴卫书</cp:lastModifiedBy>
  <cp:lastPrinted>2018-11-29T08:01:00Z</cp:lastPrinted>
  <dcterms:modified xsi:type="dcterms:W3CDTF">2018-12-10T07:21:16Z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