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A91EC">
      <w:pPr>
        <w:pStyle w:val="4"/>
        <w:spacing w:before="59" w:line="219" w:lineRule="auto"/>
        <w:jc w:val="center"/>
        <w:outlineLvl w:val="0"/>
        <w:rPr>
          <w:rFonts w:hint="eastAsia" w:ascii="WPS灵秀黑" w:hAnsi="WPS灵秀黑" w:eastAsia="WPS灵秀黑" w:cs="WPS灵秀黑"/>
          <w:color w:val="auto"/>
          <w:sz w:val="44"/>
          <w:szCs w:val="44"/>
        </w:rPr>
      </w:pPr>
      <w:r>
        <w:rPr>
          <w:rFonts w:hint="eastAsia" w:ascii="新宋体" w:hAnsi="新宋体" w:eastAsia="新宋体" w:cs="新宋体"/>
          <w:b/>
          <w:bCs/>
          <w:color w:val="auto"/>
          <w:spacing w:val="1"/>
          <w:sz w:val="44"/>
          <w:szCs w:val="44"/>
        </w:rPr>
        <w:t>服务类项目政府采购合同协议书</w:t>
      </w:r>
    </w:p>
    <w:p w14:paraId="0B1F3CD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p>
    <w:p w14:paraId="17DEB6F8">
      <w:pPr>
        <w:widowControl/>
        <w:kinsoku w:val="0"/>
        <w:autoSpaceDE w:val="0"/>
        <w:autoSpaceDN w:val="0"/>
        <w:adjustRightInd w:val="0"/>
        <w:snapToGrid w:val="0"/>
        <w:spacing w:before="118" w:line="400" w:lineRule="exact"/>
        <w:ind w:firstLine="4620" w:firstLineChars="2100"/>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政府采购合同编号：KFCG-</w:t>
      </w:r>
      <w:r>
        <w:rPr>
          <w:rFonts w:hint="eastAsia" w:ascii="Times New Roman" w:hAnsi="Times New Roman" w:eastAsia="方正仿宋_GB2312" w:cs="Times New Roman"/>
          <w:spacing w:val="-10"/>
          <w:sz w:val="24"/>
        </w:rPr>
        <w:t>202506040004</w:t>
      </w:r>
      <w:r>
        <w:rPr>
          <w:rFonts w:ascii="Times New Roman" w:hAnsi="Times New Roman" w:eastAsia="方正仿宋_GB2312" w:cs="Times New Roman"/>
          <w:spacing w:val="-10"/>
          <w:sz w:val="24"/>
        </w:rPr>
        <w:t>-1</w:t>
      </w:r>
    </w:p>
    <w:p w14:paraId="1DFC497E">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甲方：长沙市开福区市容环境卫生维护中心</w:t>
      </w:r>
    </w:p>
    <w:p w14:paraId="066F8DEA">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 xml:space="preserve">乙方：湖南蓝桥人力资源集团有限公司  </w:t>
      </w:r>
    </w:p>
    <w:p w14:paraId="3B9C5E68">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p>
    <w:p w14:paraId="7E64FC50">
      <w:pPr>
        <w:widowControl/>
        <w:kinsoku w:val="0"/>
        <w:autoSpaceDE w:val="0"/>
        <w:autoSpaceDN w:val="0"/>
        <w:adjustRightInd w:val="0"/>
        <w:snapToGrid w:val="0"/>
        <w:spacing w:before="118" w:line="400" w:lineRule="exact"/>
        <w:ind w:firstLine="440" w:firstLineChars="200"/>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为了保护甲、乙双方合法权益，根据《中华人民共和国民法典》、 《中华人民共和国政府采购法》及其他有关法律、法规、规章，双方签订本合同协议 书。甲方与乙方应当根据合同的约定依法履行合同义务。政府采购合同的履行、违约责任和解决争议的方法等适用《中华人民共和国民法典》。</w:t>
      </w:r>
    </w:p>
    <w:p w14:paraId="6E87A8E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b/>
          <w:bCs/>
          <w:spacing w:val="-10"/>
          <w:sz w:val="24"/>
        </w:rPr>
      </w:pPr>
      <w:r>
        <w:rPr>
          <w:rFonts w:hint="eastAsia" w:ascii="Times New Roman" w:hAnsi="Times New Roman" w:eastAsia="方正仿宋_GB2312" w:cs="Times New Roman"/>
          <w:b/>
          <w:bCs/>
          <w:spacing w:val="-10"/>
          <w:sz w:val="24"/>
        </w:rPr>
        <w:t>1</w:t>
      </w:r>
      <w:r>
        <w:rPr>
          <w:rFonts w:ascii="Times New Roman" w:hAnsi="Times New Roman" w:eastAsia="方正仿宋_GB2312" w:cs="Times New Roman"/>
          <w:b/>
          <w:bCs/>
          <w:spacing w:val="-10"/>
          <w:sz w:val="24"/>
        </w:rPr>
        <w:t>、项目管理信息</w:t>
      </w:r>
    </w:p>
    <w:p w14:paraId="6A28E75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u w:val="single"/>
        </w:rPr>
      </w:pPr>
      <w:r>
        <w:rPr>
          <w:rFonts w:hint="eastAsia" w:ascii="Times New Roman" w:hAnsi="Times New Roman" w:eastAsia="方正仿宋_GB2312" w:cs="Times New Roman"/>
          <w:spacing w:val="-10"/>
          <w:sz w:val="24"/>
        </w:rPr>
        <w:t>采购方</w:t>
      </w:r>
      <w:r>
        <w:rPr>
          <w:rFonts w:ascii="Times New Roman" w:hAnsi="Times New Roman" w:eastAsia="方正仿宋_GB2312" w:cs="Times New Roman"/>
          <w:spacing w:val="-10"/>
          <w:sz w:val="24"/>
        </w:rPr>
        <w:t>式：</w:t>
      </w:r>
      <w:r>
        <w:rPr>
          <w:rFonts w:ascii="Times New Roman" w:hAnsi="Times New Roman" w:eastAsia="方正仿宋_GB2312" w:cs="Times New Roman"/>
          <w:spacing w:val="-10"/>
          <w:sz w:val="24"/>
          <w:u w:val="single"/>
        </w:rPr>
        <w:t xml:space="preserve">   公开招标   </w:t>
      </w:r>
    </w:p>
    <w:p w14:paraId="5BB3DDA0">
      <w:pPr>
        <w:widowControl/>
        <w:kinsoku w:val="0"/>
        <w:autoSpaceDE w:val="0"/>
        <w:autoSpaceDN w:val="0"/>
        <w:adjustRightInd w:val="0"/>
        <w:snapToGrid w:val="0"/>
        <w:spacing w:before="118" w:line="400" w:lineRule="exact"/>
        <w:textAlignment w:val="baseline"/>
        <w:rPr>
          <w:rFonts w:hint="eastAsia" w:ascii="Times New Roman" w:hAnsi="Times New Roman" w:eastAsia="方正仿宋_GB2312" w:cs="Times New Roman"/>
          <w:color w:val="FF0000"/>
          <w:spacing w:val="-10"/>
          <w:sz w:val="24"/>
        </w:rPr>
      </w:pPr>
      <w:r>
        <w:rPr>
          <w:rFonts w:ascii="Times New Roman" w:hAnsi="Times New Roman" w:eastAsia="方正仿宋_GB2312" w:cs="Times New Roman"/>
          <w:spacing w:val="-10"/>
          <w:sz w:val="24"/>
        </w:rPr>
        <w:t>项目名称：</w:t>
      </w:r>
      <w:r>
        <w:rPr>
          <w:rFonts w:hint="eastAsia" w:ascii="Times New Roman" w:hAnsi="Times New Roman" w:eastAsia="方正仿宋_GB2312" w:cs="Times New Roman"/>
          <w:color w:val="FF0000"/>
          <w:spacing w:val="-10"/>
          <w:sz w:val="24"/>
        </w:rPr>
        <w:t>环卫用工劳务派遣服务标段二（望麓园等4个环卫所）</w:t>
      </w:r>
    </w:p>
    <w:p w14:paraId="6F477812">
      <w:pPr>
        <w:widowControl/>
        <w:kinsoku w:val="0"/>
        <w:autoSpaceDE w:val="0"/>
        <w:autoSpaceDN w:val="0"/>
        <w:adjustRightInd w:val="0"/>
        <w:snapToGrid w:val="0"/>
        <w:spacing w:before="118" w:line="400" w:lineRule="exact"/>
        <w:textAlignment w:val="baseline"/>
        <w:rPr>
          <w:rFonts w:hint="default" w:ascii="Times New Roman" w:hAnsi="Times New Roman" w:eastAsia="方正仿宋_GB2312" w:cs="Times New Roman"/>
          <w:spacing w:val="-10"/>
          <w:sz w:val="24"/>
          <w:u w:val="single"/>
          <w:lang w:val="en-US" w:eastAsia="zh-CN"/>
        </w:rPr>
      </w:pPr>
      <w:r>
        <w:rPr>
          <w:rFonts w:ascii="Times New Roman" w:hAnsi="Times New Roman" w:eastAsia="方正仿宋_GB2312" w:cs="Times New Roman"/>
          <w:spacing w:val="-10"/>
          <w:sz w:val="24"/>
        </w:rPr>
        <w:t>采购计划编号：</w:t>
      </w:r>
      <w:r>
        <w:rPr>
          <w:rFonts w:ascii="Times New Roman" w:hAnsi="Times New Roman" w:eastAsia="方正仿宋_GB2312" w:cs="Times New Roman"/>
          <w:color w:val="FF0000"/>
          <w:spacing w:val="-10"/>
          <w:sz w:val="24"/>
          <w:u w:val="single"/>
        </w:rPr>
        <w:t>KFCG-202</w:t>
      </w:r>
      <w:r>
        <w:rPr>
          <w:rFonts w:hint="eastAsia" w:ascii="Times New Roman" w:hAnsi="Times New Roman" w:eastAsia="方正仿宋_GB2312" w:cs="Times New Roman"/>
          <w:color w:val="FF0000"/>
          <w:spacing w:val="-10"/>
          <w:sz w:val="24"/>
          <w:u w:val="single"/>
          <w:lang w:val="en-US" w:eastAsia="zh-CN"/>
        </w:rPr>
        <w:t>5</w:t>
      </w:r>
      <w:r>
        <w:rPr>
          <w:rFonts w:ascii="Times New Roman" w:hAnsi="Times New Roman" w:eastAsia="方正仿宋_GB2312" w:cs="Times New Roman"/>
          <w:color w:val="FF0000"/>
          <w:spacing w:val="-10"/>
          <w:sz w:val="24"/>
          <w:u w:val="single"/>
        </w:rPr>
        <w:t>060</w:t>
      </w:r>
      <w:r>
        <w:rPr>
          <w:rFonts w:hint="eastAsia" w:ascii="Times New Roman" w:hAnsi="Times New Roman" w:eastAsia="方正仿宋_GB2312" w:cs="Times New Roman"/>
          <w:color w:val="FF0000"/>
          <w:spacing w:val="-10"/>
          <w:sz w:val="24"/>
          <w:u w:val="single"/>
          <w:lang w:val="en-US" w:eastAsia="zh-CN"/>
        </w:rPr>
        <w:t>4</w:t>
      </w:r>
      <w:r>
        <w:rPr>
          <w:rFonts w:ascii="Times New Roman" w:hAnsi="Times New Roman" w:eastAsia="方正仿宋_GB2312" w:cs="Times New Roman"/>
          <w:color w:val="FF0000"/>
          <w:spacing w:val="-10"/>
          <w:sz w:val="24"/>
          <w:u w:val="single"/>
        </w:rPr>
        <w:t>00</w:t>
      </w:r>
      <w:r>
        <w:rPr>
          <w:rFonts w:hint="eastAsia" w:ascii="Times New Roman" w:hAnsi="Times New Roman" w:eastAsia="方正仿宋_GB2312" w:cs="Times New Roman"/>
          <w:color w:val="FF0000"/>
          <w:spacing w:val="-10"/>
          <w:sz w:val="24"/>
          <w:u w:val="single"/>
          <w:lang w:val="en-US" w:eastAsia="zh-CN"/>
        </w:rPr>
        <w:t>04</w:t>
      </w:r>
    </w:p>
    <w:p w14:paraId="292DAEE5">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hint="eastAsia" w:ascii="Times New Roman" w:hAnsi="Times New Roman" w:eastAsia="方正仿宋_GB2312" w:cs="Times New Roman"/>
          <w:b/>
          <w:bCs/>
          <w:spacing w:val="-10"/>
          <w:sz w:val="24"/>
        </w:rPr>
        <w:t>2</w:t>
      </w:r>
      <w:r>
        <w:rPr>
          <w:rFonts w:ascii="Times New Roman" w:hAnsi="Times New Roman" w:eastAsia="方正仿宋_GB2312" w:cs="Times New Roman"/>
          <w:b/>
          <w:bCs/>
          <w:spacing w:val="-10"/>
          <w:sz w:val="24"/>
        </w:rPr>
        <w:t>、同标的及金额明细</w:t>
      </w:r>
    </w:p>
    <w:tbl>
      <w:tblPr>
        <w:tblStyle w:val="8"/>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2585"/>
        <w:gridCol w:w="1122"/>
        <w:gridCol w:w="1004"/>
        <w:gridCol w:w="1369"/>
        <w:gridCol w:w="1662"/>
        <w:gridCol w:w="814"/>
      </w:tblGrid>
      <w:tr w14:paraId="43E97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4" w:type="dxa"/>
            <w:vAlign w:val="center"/>
          </w:tcPr>
          <w:p w14:paraId="18DB9EBA">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序号</w:t>
            </w:r>
          </w:p>
        </w:tc>
        <w:tc>
          <w:tcPr>
            <w:tcW w:w="2585" w:type="dxa"/>
            <w:vAlign w:val="center"/>
          </w:tcPr>
          <w:p w14:paraId="0666308B">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标的名称</w:t>
            </w:r>
          </w:p>
        </w:tc>
        <w:tc>
          <w:tcPr>
            <w:tcW w:w="1122" w:type="dxa"/>
            <w:vAlign w:val="center"/>
          </w:tcPr>
          <w:p w14:paraId="71094072">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型号规格</w:t>
            </w:r>
          </w:p>
        </w:tc>
        <w:tc>
          <w:tcPr>
            <w:tcW w:w="1004" w:type="dxa"/>
            <w:vAlign w:val="center"/>
          </w:tcPr>
          <w:p w14:paraId="0886A3F5">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数量/人</w:t>
            </w:r>
          </w:p>
        </w:tc>
        <w:tc>
          <w:tcPr>
            <w:tcW w:w="1369" w:type="dxa"/>
            <w:vAlign w:val="center"/>
          </w:tcPr>
          <w:p w14:paraId="064D64A6">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单价/元</w:t>
            </w:r>
          </w:p>
        </w:tc>
        <w:tc>
          <w:tcPr>
            <w:tcW w:w="1662" w:type="dxa"/>
            <w:vAlign w:val="center"/>
          </w:tcPr>
          <w:p w14:paraId="30B1F40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总价</w:t>
            </w:r>
            <w:r>
              <w:rPr>
                <w:rFonts w:hint="eastAsia" w:ascii="Times New Roman" w:hAnsi="Times New Roman" w:eastAsia="方正仿宋_GB2312" w:cs="Times New Roman"/>
                <w:spacing w:val="-10"/>
                <w:sz w:val="24"/>
              </w:rPr>
              <w:t>/元/年</w:t>
            </w:r>
          </w:p>
        </w:tc>
        <w:tc>
          <w:tcPr>
            <w:tcW w:w="814" w:type="dxa"/>
            <w:vAlign w:val="center"/>
          </w:tcPr>
          <w:p w14:paraId="1ECCC712">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备注</w:t>
            </w:r>
          </w:p>
        </w:tc>
      </w:tr>
      <w:tr w14:paraId="6C85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784" w:type="dxa"/>
            <w:vAlign w:val="center"/>
          </w:tcPr>
          <w:p w14:paraId="79ABF33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1</w:t>
            </w:r>
          </w:p>
        </w:tc>
        <w:tc>
          <w:tcPr>
            <w:tcW w:w="2585" w:type="dxa"/>
            <w:vAlign w:val="center"/>
          </w:tcPr>
          <w:p w14:paraId="6F5490BB">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hint="eastAsia" w:ascii="Times New Roman" w:hAnsi="Times New Roman" w:eastAsia="方正仿宋_GB2312" w:cs="Times New Roman"/>
                <w:color w:val="FF0000"/>
                <w:spacing w:val="-10"/>
                <w:sz w:val="24"/>
              </w:rPr>
              <w:t>环卫用工劳务派遣服务标段二（望麓园等4个环卫所）</w:t>
            </w:r>
          </w:p>
        </w:tc>
        <w:tc>
          <w:tcPr>
            <w:tcW w:w="1122" w:type="dxa"/>
            <w:vAlign w:val="center"/>
          </w:tcPr>
          <w:p w14:paraId="3BCA1370">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w:t>
            </w:r>
          </w:p>
        </w:tc>
        <w:tc>
          <w:tcPr>
            <w:tcW w:w="1004" w:type="dxa"/>
            <w:vAlign w:val="center"/>
          </w:tcPr>
          <w:p w14:paraId="1039C8C2">
            <w:pPr>
              <w:widowControl/>
              <w:kinsoku w:val="0"/>
              <w:autoSpaceDE w:val="0"/>
              <w:autoSpaceDN w:val="0"/>
              <w:adjustRightInd w:val="0"/>
              <w:snapToGrid w:val="0"/>
              <w:spacing w:before="118" w:line="400" w:lineRule="exact"/>
              <w:textAlignment w:val="baseline"/>
              <w:rPr>
                <w:rFonts w:hint="default" w:ascii="Times New Roman" w:hAnsi="Times New Roman" w:eastAsia="方正仿宋_GB2312" w:cs="Times New Roman"/>
                <w:spacing w:val="-10"/>
                <w:sz w:val="24"/>
                <w:lang w:val="en-US" w:eastAsia="zh-CN"/>
              </w:rPr>
            </w:pPr>
            <w:r>
              <w:rPr>
                <w:rFonts w:ascii="Times New Roman" w:hAnsi="Times New Roman" w:eastAsia="方正仿宋_GB2312" w:cs="Times New Roman"/>
                <w:spacing w:val="-10"/>
                <w:sz w:val="24"/>
              </w:rPr>
              <w:t>约</w:t>
            </w:r>
            <w:r>
              <w:rPr>
                <w:rFonts w:ascii="Times New Roman" w:hAnsi="Times New Roman" w:eastAsia="方正仿宋_GB2312" w:cs="Times New Roman"/>
                <w:color w:val="FF0000"/>
                <w:spacing w:val="-10"/>
                <w:sz w:val="24"/>
              </w:rPr>
              <w:t>8</w:t>
            </w:r>
            <w:r>
              <w:rPr>
                <w:rFonts w:hint="eastAsia" w:ascii="Times New Roman" w:hAnsi="Times New Roman" w:eastAsia="方正仿宋_GB2312" w:cs="Times New Roman"/>
                <w:color w:val="FF0000"/>
                <w:spacing w:val="-10"/>
                <w:sz w:val="24"/>
                <w:lang w:val="en-US" w:eastAsia="zh-CN"/>
              </w:rPr>
              <w:t>95</w:t>
            </w:r>
          </w:p>
        </w:tc>
        <w:tc>
          <w:tcPr>
            <w:tcW w:w="1369" w:type="dxa"/>
            <w:vAlign w:val="center"/>
          </w:tcPr>
          <w:p w14:paraId="3963E922">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1</w:t>
            </w:r>
            <w:r>
              <w:rPr>
                <w:rFonts w:hint="eastAsia" w:ascii="Times New Roman" w:hAnsi="Times New Roman" w:eastAsia="方正仿宋_GB2312" w:cs="Times New Roman"/>
                <w:spacing w:val="-10"/>
                <w:sz w:val="24"/>
                <w:lang w:val="en-US" w:eastAsia="zh-CN"/>
              </w:rPr>
              <w:t>06.2</w:t>
            </w:r>
          </w:p>
        </w:tc>
        <w:tc>
          <w:tcPr>
            <w:tcW w:w="1662" w:type="dxa"/>
            <w:vAlign w:val="center"/>
          </w:tcPr>
          <w:p w14:paraId="7DDD142C">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color w:val="FF0000"/>
                <w:spacing w:val="-10"/>
                <w:sz w:val="24"/>
              </w:rPr>
              <w:t>1</w:t>
            </w:r>
            <w:r>
              <w:rPr>
                <w:rFonts w:hint="eastAsia" w:ascii="Times New Roman" w:hAnsi="Times New Roman" w:eastAsia="方正仿宋_GB2312" w:cs="Times New Roman"/>
                <w:color w:val="FF0000"/>
                <w:spacing w:val="-10"/>
                <w:sz w:val="24"/>
                <w:lang w:val="en-US" w:eastAsia="zh-CN"/>
              </w:rPr>
              <w:t>140588.00</w:t>
            </w:r>
          </w:p>
        </w:tc>
        <w:tc>
          <w:tcPr>
            <w:tcW w:w="814" w:type="dxa"/>
            <w:vAlign w:val="center"/>
          </w:tcPr>
          <w:p w14:paraId="57183CBF">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p>
        </w:tc>
      </w:tr>
      <w:tr w14:paraId="399A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40" w:type="dxa"/>
            <w:gridSpan w:val="7"/>
            <w:vAlign w:val="center"/>
          </w:tcPr>
          <w:p w14:paraId="69B12E98">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color w:val="FF0000"/>
                <w:spacing w:val="-10"/>
                <w:sz w:val="24"/>
              </w:rPr>
            </w:pPr>
            <w:r>
              <w:rPr>
                <w:rFonts w:ascii="Times New Roman" w:hAnsi="Times New Roman" w:eastAsia="方正仿宋_GB2312" w:cs="Times New Roman"/>
                <w:spacing w:val="-10"/>
                <w:sz w:val="24"/>
              </w:rPr>
              <w:t>合计金额小写：</w:t>
            </w:r>
            <w:r>
              <w:rPr>
                <w:rFonts w:hint="eastAsia" w:ascii="Times New Roman" w:hAnsi="Times New Roman" w:eastAsia="方正仿宋_GB2312" w:cs="Times New Roman"/>
                <w:color w:val="FF0000"/>
                <w:spacing w:val="-10"/>
                <w:sz w:val="24"/>
                <w:lang w:val="en-US" w:eastAsia="zh-CN"/>
              </w:rPr>
              <w:t>1140588.00</w:t>
            </w:r>
            <w:r>
              <w:rPr>
                <w:rFonts w:ascii="Times New Roman" w:hAnsi="Times New Roman" w:eastAsia="方正仿宋_GB2312" w:cs="Times New Roman"/>
                <w:color w:val="FF0000"/>
                <w:spacing w:val="-10"/>
                <w:sz w:val="24"/>
              </w:rPr>
              <w:t>元</w:t>
            </w:r>
          </w:p>
          <w:p w14:paraId="77F7B6EE">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color w:val="FF0000"/>
                <w:spacing w:val="-10"/>
                <w:sz w:val="24"/>
              </w:rPr>
              <w:t>合计金额大写：</w:t>
            </w:r>
            <w:r>
              <w:rPr>
                <w:rFonts w:hint="eastAsia" w:ascii="Times New Roman" w:hAnsi="Times New Roman" w:eastAsia="方正仿宋_GB2312" w:cs="Times New Roman"/>
                <w:color w:val="FF0000"/>
                <w:spacing w:val="-10"/>
                <w:sz w:val="24"/>
                <w:lang w:val="en-US" w:eastAsia="zh-CN"/>
              </w:rPr>
              <w:t>壹佰壹拾肆万零伍佰捌拾捌元整</w:t>
            </w:r>
          </w:p>
        </w:tc>
      </w:tr>
    </w:tbl>
    <w:p w14:paraId="2F88480D">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b/>
          <w:bCs/>
          <w:spacing w:val="-10"/>
          <w:sz w:val="24"/>
        </w:rPr>
      </w:pPr>
      <w:r>
        <w:rPr>
          <w:rFonts w:hint="eastAsia" w:ascii="Times New Roman" w:hAnsi="Times New Roman" w:eastAsia="方正仿宋_GB2312" w:cs="Times New Roman"/>
          <w:b/>
          <w:bCs/>
          <w:spacing w:val="-10"/>
          <w:sz w:val="24"/>
        </w:rPr>
        <w:t>3</w:t>
      </w:r>
      <w:r>
        <w:rPr>
          <w:rFonts w:ascii="Times New Roman" w:hAnsi="Times New Roman" w:eastAsia="方正仿宋_GB2312" w:cs="Times New Roman"/>
          <w:b/>
          <w:bCs/>
          <w:spacing w:val="-10"/>
          <w:sz w:val="24"/>
        </w:rPr>
        <w:t>、履行期限及地点和方式</w:t>
      </w:r>
    </w:p>
    <w:p w14:paraId="7B155083">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3.1履行期限：</w:t>
      </w:r>
    </w:p>
    <w:p w14:paraId="12ACA09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202</w:t>
      </w:r>
      <w:r>
        <w:rPr>
          <w:rFonts w:hint="eastAsia" w:ascii="Times New Roman" w:hAnsi="Times New Roman" w:eastAsia="方正仿宋_GB2312" w:cs="Times New Roman"/>
          <w:spacing w:val="-10"/>
          <w:sz w:val="24"/>
          <w:lang w:val="en-US" w:eastAsia="zh-CN"/>
        </w:rPr>
        <w:t>5</w:t>
      </w:r>
      <w:r>
        <w:rPr>
          <w:rFonts w:ascii="Times New Roman" w:hAnsi="Times New Roman" w:eastAsia="方正仿宋_GB2312" w:cs="Times New Roman"/>
          <w:spacing w:val="-10"/>
          <w:sz w:val="24"/>
        </w:rPr>
        <w:t>-7-14 ——202</w:t>
      </w:r>
      <w:r>
        <w:rPr>
          <w:rFonts w:hint="eastAsia" w:ascii="Times New Roman" w:hAnsi="Times New Roman" w:eastAsia="方正仿宋_GB2312" w:cs="Times New Roman"/>
          <w:spacing w:val="-10"/>
          <w:sz w:val="24"/>
          <w:lang w:val="en-US" w:eastAsia="zh-CN"/>
        </w:rPr>
        <w:t>6</w:t>
      </w:r>
      <w:r>
        <w:rPr>
          <w:rFonts w:ascii="Times New Roman" w:hAnsi="Times New Roman" w:eastAsia="方正仿宋_GB2312" w:cs="Times New Roman"/>
          <w:spacing w:val="-10"/>
          <w:sz w:val="24"/>
        </w:rPr>
        <w:t>-7-13</w:t>
      </w:r>
    </w:p>
    <w:p w14:paraId="3E2159BA">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3.2 履行地点：甲方指定地点</w:t>
      </w:r>
    </w:p>
    <w:p w14:paraId="6DF15BE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3.3 履行方式：（合同的履行方式主要包括运输方式、交货方式等）：</w:t>
      </w:r>
    </w:p>
    <w:p w14:paraId="5A725CF6">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服务时间：一年</w:t>
      </w:r>
    </w:p>
    <w:p w14:paraId="6C2CCEFE">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服务方式:按甲方要求为其提供优质、高效的服务，直到服务期满</w:t>
      </w:r>
    </w:p>
    <w:p w14:paraId="10ECBC61">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履行方式:完全派遣</w:t>
      </w:r>
    </w:p>
    <w:p w14:paraId="1B64803F">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乙方承担派遣员工整套人力资源管理服务工作（包括但不限于劳务派遣人员的：招聘录用、劳动合同管理、入离职办理、人员培训、工资管理、保险缴纳和工伤工亡、劳动纠纷处理等)，并承担所有的用人风险责任（包括但不限于仲裁、诉讼、投诉、工伤、工亡、纠纷等事务的处理和经济赔偿）。</w:t>
      </w:r>
    </w:p>
    <w:p w14:paraId="7DB88D9F">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color w:val="0000FF"/>
          <w:spacing w:val="-10"/>
          <w:sz w:val="24"/>
        </w:rPr>
      </w:pPr>
      <w:r>
        <w:rPr>
          <w:rFonts w:ascii="Times New Roman" w:hAnsi="Times New Roman" w:eastAsia="方正仿宋_GB2312" w:cs="Times New Roman"/>
          <w:spacing w:val="-10"/>
          <w:sz w:val="24"/>
        </w:rPr>
        <w:t>服务范围：望麓园环卫所、四方坪环卫所、湘雅路环卫所、东风路环卫所</w:t>
      </w:r>
      <w:r>
        <w:rPr>
          <w:rFonts w:hint="eastAsia" w:ascii="Times New Roman" w:hAnsi="Times New Roman" w:eastAsia="方正仿宋_GB2312" w:cs="Times New Roman"/>
          <w:color w:val="0000FF"/>
          <w:spacing w:val="-10"/>
          <w:sz w:val="24"/>
        </w:rPr>
        <w:t>。</w:t>
      </w:r>
    </w:p>
    <w:p w14:paraId="68400835">
      <w:pPr>
        <w:numPr>
          <w:ilvl w:val="255"/>
          <w:numId w:val="0"/>
        </w:numPr>
        <w:spacing w:line="500" w:lineRule="exact"/>
        <w:rPr>
          <w:rFonts w:ascii="Times New Roman" w:hAnsi="Times New Roman" w:eastAsia="方正仿宋_GB2312" w:cs="Times New Roman"/>
          <w:b/>
          <w:bCs/>
          <w:sz w:val="28"/>
          <w:szCs w:val="28"/>
        </w:rPr>
      </w:pPr>
      <w:r>
        <w:rPr>
          <w:rFonts w:hint="eastAsia" w:ascii="Times New Roman" w:hAnsi="Times New Roman" w:eastAsia="方正仿宋_GB2312" w:cs="Times New Roman"/>
          <w:b/>
          <w:bCs/>
          <w:sz w:val="28"/>
          <w:szCs w:val="28"/>
        </w:rPr>
        <w:t>4</w:t>
      </w:r>
      <w:r>
        <w:rPr>
          <w:rFonts w:ascii="Times New Roman" w:hAnsi="Times New Roman" w:eastAsia="方正仿宋_GB2312" w:cs="Times New Roman"/>
          <w:b/>
          <w:bCs/>
          <w:sz w:val="28"/>
          <w:szCs w:val="28"/>
        </w:rPr>
        <w:t>、结算方式</w:t>
      </w:r>
    </w:p>
    <w:p w14:paraId="4A7AB445">
      <w:pPr>
        <w:widowControl/>
        <w:kinsoku w:val="0"/>
        <w:autoSpaceDE w:val="0"/>
        <w:autoSpaceDN w:val="0"/>
        <w:adjustRightInd w:val="0"/>
        <w:snapToGrid w:val="0"/>
        <w:spacing w:before="118" w:line="400" w:lineRule="exact"/>
        <w:textAlignment w:val="baseline"/>
        <w:rPr>
          <w:rFonts w:hint="eastAsia" w:ascii="Times New Roman" w:hAnsi="Times New Roman" w:eastAsia="方正仿宋_GB2312" w:cs="Times New Roman"/>
          <w:spacing w:val="-10"/>
          <w:sz w:val="24"/>
          <w:lang w:eastAsia="zh-CN"/>
        </w:rPr>
      </w:pPr>
      <w:r>
        <w:rPr>
          <w:rFonts w:ascii="Times New Roman" w:hAnsi="Times New Roman" w:eastAsia="方正仿宋_GB2312" w:cs="Times New Roman"/>
          <w:spacing w:val="-10"/>
          <w:sz w:val="24"/>
        </w:rPr>
        <w:t>4.1资金支付方式： 按</w:t>
      </w:r>
      <w:r>
        <w:rPr>
          <w:rFonts w:hint="eastAsia" w:ascii="Times New Roman" w:hAnsi="Times New Roman" w:eastAsia="方正仿宋_GB2312" w:cs="Times New Roman"/>
          <w:spacing w:val="-10"/>
          <w:sz w:val="24"/>
          <w:lang w:eastAsia="zh-CN"/>
        </w:rPr>
        <w:t>月支付，据</w:t>
      </w:r>
      <w:r>
        <w:rPr>
          <w:rFonts w:ascii="Times New Roman" w:hAnsi="Times New Roman" w:eastAsia="方正仿宋_GB2312" w:cs="Times New Roman"/>
          <w:spacing w:val="-10"/>
          <w:sz w:val="24"/>
        </w:rPr>
        <w:t>实结算</w:t>
      </w:r>
    </w:p>
    <w:p w14:paraId="0CBA3578">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4.2 付款人：长沙市开福区市容环境卫生维护中心</w:t>
      </w:r>
    </w:p>
    <w:p w14:paraId="4287DE33">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4.3付款方式：根据《长沙市开福区市容环境卫生维护中心劳务派遣月考核内容及扣分标准》的考核情况(详见附件)，</w:t>
      </w:r>
      <w:r>
        <w:rPr>
          <w:rFonts w:hint="eastAsia" w:ascii="Times New Roman" w:hAnsi="Times New Roman" w:eastAsia="方正仿宋_GB2312" w:cs="Times New Roman"/>
          <w:spacing w:val="-10"/>
          <w:sz w:val="24"/>
          <w:lang w:val="en-US" w:eastAsia="zh-CN"/>
        </w:rPr>
        <w:t>每月服务费付款金额为每月实际派遣服务人数乘以乙方单价，并根据考核结果扣减相应款项后予以支付。</w:t>
      </w:r>
      <w:r>
        <w:rPr>
          <w:rFonts w:ascii="Times New Roman" w:hAnsi="Times New Roman" w:eastAsia="方正仿宋_GB2312" w:cs="Times New Roman"/>
          <w:spacing w:val="-10"/>
          <w:sz w:val="24"/>
        </w:rPr>
        <w:t>甲方付款前，乙方应根据付款金额向甲方开具发票，否则甲方有权顺延付款且不承担任何违约责任。</w:t>
      </w:r>
    </w:p>
    <w:p w14:paraId="3523DEF3">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4.4开户行名称：中国民生银行长沙星沙支行；</w:t>
      </w:r>
      <w:r>
        <w:rPr>
          <w:rFonts w:hint="eastAsia" w:ascii="Times New Roman" w:hAnsi="Times New Roman" w:eastAsia="方正仿宋_GB2312" w:cs="Times New Roman"/>
          <w:spacing w:val="-10"/>
          <w:sz w:val="24"/>
          <w:lang w:eastAsia="zh-CN"/>
        </w:rPr>
        <w:t>收款账户：</w:t>
      </w:r>
      <w:r>
        <w:rPr>
          <w:rFonts w:ascii="Times New Roman" w:hAnsi="Times New Roman" w:eastAsia="方正仿宋_GB2312" w:cs="Times New Roman"/>
          <w:spacing w:val="-10"/>
          <w:sz w:val="24"/>
        </w:rPr>
        <w:t>湖南蓝桥人力资源集团有限公司</w:t>
      </w:r>
      <w:r>
        <w:rPr>
          <w:rFonts w:hint="eastAsia" w:ascii="Times New Roman" w:hAnsi="Times New Roman" w:eastAsia="方正仿宋_GB2312" w:cs="Times New Roman"/>
          <w:spacing w:val="-10"/>
          <w:sz w:val="24"/>
          <w:lang w:eastAsia="zh-CN"/>
        </w:rPr>
        <w:t>，</w:t>
      </w:r>
      <w:r>
        <w:rPr>
          <w:rFonts w:ascii="Times New Roman" w:hAnsi="Times New Roman" w:eastAsia="方正仿宋_GB2312" w:cs="Times New Roman"/>
          <w:spacing w:val="-10"/>
          <w:sz w:val="24"/>
        </w:rPr>
        <w:t>收款账</w:t>
      </w:r>
      <w:r>
        <w:rPr>
          <w:rFonts w:hint="eastAsia" w:ascii="Times New Roman" w:hAnsi="Times New Roman" w:eastAsia="方正仿宋_GB2312" w:cs="Times New Roman"/>
          <w:spacing w:val="-10"/>
          <w:sz w:val="24"/>
          <w:lang w:eastAsia="zh-CN"/>
        </w:rPr>
        <w:t>号</w:t>
      </w:r>
      <w:r>
        <w:rPr>
          <w:rFonts w:ascii="Times New Roman" w:hAnsi="Times New Roman" w:eastAsia="方正仿宋_GB2312" w:cs="Times New Roman"/>
          <w:spacing w:val="-10"/>
          <w:sz w:val="24"/>
        </w:rPr>
        <w:t>：3104014210000018</w:t>
      </w:r>
    </w:p>
    <w:p w14:paraId="3AC0F843">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4.5派遣员工工资支付方式：</w:t>
      </w:r>
    </w:p>
    <w:p w14:paraId="18FED143">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4.5.1派遣员工工资和福利标准：工资标准包括基本工资、绩效工资、加班工资、节假日、高温补贴、防寒费、年终奖(工资及相关福利标准以甲方指定的标准为准)等各项福利，派遣员工工资和福利的内容和标准以甲方实际支付给乙方的为准。</w:t>
      </w:r>
    </w:p>
    <w:p w14:paraId="0F9FAFE0">
      <w:pPr>
        <w:keepNext w:val="0"/>
        <w:keepLines w:val="0"/>
        <w:pageBreakBefore w:val="0"/>
        <w:widowControl/>
        <w:kinsoku w:val="0"/>
        <w:wordWrap/>
        <w:overflowPunct/>
        <w:topLinePunct w:val="0"/>
        <w:autoSpaceDE w:val="0"/>
        <w:autoSpaceDN w:val="0"/>
        <w:bidi w:val="0"/>
        <w:adjustRightInd w:val="0"/>
        <w:snapToGrid w:val="0"/>
        <w:spacing w:before="118" w:line="400" w:lineRule="exact"/>
        <w:textAlignment w:val="baseline"/>
        <w:rPr>
          <w:rFonts w:ascii="Times New Roman" w:hAnsi="Times New Roman" w:eastAsia="方正仿宋_GB2312" w:cs="Times New Roman"/>
          <w:spacing w:val="-10"/>
          <w:sz w:val="24"/>
        </w:rPr>
      </w:pPr>
      <w:r>
        <w:rPr>
          <w:rFonts w:ascii="Times New Roman" w:hAnsi="Times New Roman" w:eastAsia="方正仿宋_GB2312" w:cs="Times New Roman"/>
          <w:spacing w:val="-10"/>
          <w:sz w:val="24"/>
        </w:rPr>
        <w:t>4.5.2员工的劳动报酬代发方式：工资表由甲方每月6日前以电子档形式发给乙方，甲方于每月15日前支付乙方，并由乙方2个工作日内(遇节假日顺延)全额发给员工，乙方依据国家规定代收代缴个人所得税和</w:t>
      </w:r>
      <w:r>
        <w:rPr>
          <w:rFonts w:ascii="Times New Roman" w:hAnsi="Times New Roman" w:eastAsia="方正仿宋_GB2312" w:cs="Times New Roman"/>
          <w:spacing w:val="-2"/>
          <w:sz w:val="24"/>
        </w:rPr>
        <w:t>应缴的社保保险费用</w:t>
      </w:r>
      <w:r>
        <w:rPr>
          <w:rFonts w:ascii="Times New Roman" w:hAnsi="Times New Roman" w:eastAsia="方正仿宋_GB2312" w:cs="Times New Roman"/>
          <w:spacing w:val="-10"/>
          <w:sz w:val="24"/>
        </w:rPr>
        <w:t>。</w:t>
      </w:r>
    </w:p>
    <w:p w14:paraId="1A381251">
      <w:pPr>
        <w:keepNext w:val="0"/>
        <w:keepLines w:val="0"/>
        <w:pageBreakBefore w:val="0"/>
        <w:widowControl/>
        <w:kinsoku w:val="0"/>
        <w:wordWrap/>
        <w:overflowPunct/>
        <w:topLinePunct w:val="0"/>
        <w:autoSpaceDE w:val="0"/>
        <w:autoSpaceDN w:val="0"/>
        <w:bidi w:val="0"/>
        <w:adjustRightInd w:val="0"/>
        <w:snapToGrid w:val="0"/>
        <w:spacing w:before="118" w:line="400" w:lineRule="exact"/>
        <w:textAlignment w:val="baseline"/>
        <w:rPr>
          <w:rFonts w:hint="default" w:ascii="WPS灵秀黑" w:hAnsi="WPS灵秀黑" w:eastAsia="WPS灵秀黑" w:cs="WPS灵秀黑"/>
          <w:b w:val="0"/>
          <w:bCs w:val="0"/>
          <w:color w:val="auto"/>
          <w:spacing w:val="-10"/>
          <w:sz w:val="24"/>
          <w:szCs w:val="24"/>
          <w:highlight w:val="none"/>
          <w:lang w:val="en-US" w:eastAsia="zh-CN"/>
        </w:rPr>
      </w:pPr>
      <w:r>
        <w:rPr>
          <w:rFonts w:hint="eastAsia" w:ascii="WPS灵秀黑" w:hAnsi="WPS灵秀黑" w:eastAsia="WPS灵秀黑" w:cs="WPS灵秀黑"/>
          <w:b w:val="0"/>
          <w:bCs w:val="0"/>
          <w:color w:val="auto"/>
          <w:spacing w:val="-10"/>
          <w:sz w:val="24"/>
          <w:szCs w:val="24"/>
          <w:highlight w:val="none"/>
          <w:lang w:val="en-US" w:eastAsia="zh-CN"/>
        </w:rPr>
        <w:t>4.6甲方因工作需要，安排乙方派遣员工加班，加班费由甲方按</w:t>
      </w:r>
      <w:r>
        <w:rPr>
          <w:rFonts w:hint="eastAsia" w:ascii="宋体" w:hAnsi="宋体" w:eastAsia="宋体" w:cs="宋体"/>
          <w:b w:val="0"/>
          <w:bCs w:val="0"/>
          <w:color w:val="auto"/>
          <w:spacing w:val="-10"/>
          <w:sz w:val="24"/>
          <w:szCs w:val="24"/>
          <w:highlight w:val="none"/>
          <w:lang w:val="en-US" w:eastAsia="zh-CN"/>
        </w:rPr>
        <w:t>《</w:t>
      </w:r>
      <w:r>
        <w:rPr>
          <w:rFonts w:hint="eastAsia" w:ascii="WPS灵秀黑" w:hAnsi="WPS灵秀黑" w:eastAsia="WPS灵秀黑" w:cs="WPS灵秀黑"/>
          <w:b w:val="0"/>
          <w:bCs w:val="0"/>
          <w:color w:val="auto"/>
          <w:spacing w:val="-10"/>
          <w:sz w:val="24"/>
          <w:szCs w:val="24"/>
          <w:highlight w:val="none"/>
          <w:lang w:val="en-US" w:eastAsia="zh-CN"/>
        </w:rPr>
        <w:t>劳动法</w:t>
      </w:r>
      <w:r>
        <w:rPr>
          <w:rFonts w:hint="eastAsia" w:ascii="宋体" w:hAnsi="宋体" w:eastAsia="宋体" w:cs="宋体"/>
          <w:b w:val="0"/>
          <w:bCs w:val="0"/>
          <w:color w:val="auto"/>
          <w:spacing w:val="-10"/>
          <w:sz w:val="24"/>
          <w:szCs w:val="24"/>
          <w:highlight w:val="none"/>
          <w:lang w:val="en-US" w:eastAsia="zh-CN"/>
        </w:rPr>
        <w:t>》</w:t>
      </w:r>
      <w:r>
        <w:rPr>
          <w:rFonts w:hint="eastAsia" w:ascii="WPS灵秀黑" w:hAnsi="WPS灵秀黑" w:eastAsia="WPS灵秀黑" w:cs="WPS灵秀黑"/>
          <w:b w:val="0"/>
          <w:bCs w:val="0"/>
          <w:color w:val="auto"/>
          <w:spacing w:val="-10"/>
          <w:sz w:val="24"/>
          <w:szCs w:val="24"/>
          <w:highlight w:val="none"/>
          <w:lang w:val="en-US" w:eastAsia="zh-CN"/>
        </w:rPr>
        <w:t>相关规定发放。</w:t>
      </w:r>
    </w:p>
    <w:p w14:paraId="79A0298D">
      <w:pPr>
        <w:widowControl/>
        <w:kinsoku w:val="0"/>
        <w:autoSpaceDE w:val="0"/>
        <w:autoSpaceDN w:val="0"/>
        <w:adjustRightInd w:val="0"/>
        <w:snapToGrid w:val="0"/>
        <w:spacing w:before="118" w:line="400" w:lineRule="exact"/>
        <w:textAlignment w:val="baseline"/>
        <w:rPr>
          <w:rFonts w:ascii="Times New Roman" w:hAnsi="Times New Roman" w:eastAsia="方正仿宋_GB2312" w:cs="Times New Roman"/>
          <w:spacing w:val="-10"/>
          <w:sz w:val="24"/>
        </w:rPr>
      </w:pPr>
    </w:p>
    <w:p w14:paraId="2C170DE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4.</w:t>
      </w:r>
      <w:r>
        <w:rPr>
          <w:rFonts w:hint="eastAsia" w:ascii="Times New Roman" w:hAnsi="Times New Roman" w:eastAsia="方正仿宋_GB2312" w:cs="Times New Roman"/>
          <w:spacing w:val="-2"/>
          <w:sz w:val="24"/>
          <w:lang w:val="en-US" w:eastAsia="zh-CN"/>
        </w:rPr>
        <w:t>7</w:t>
      </w:r>
      <w:r>
        <w:rPr>
          <w:rFonts w:ascii="Times New Roman" w:hAnsi="Times New Roman" w:eastAsia="方正仿宋_GB2312" w:cs="Times New Roman"/>
          <w:spacing w:val="-2"/>
          <w:sz w:val="24"/>
        </w:rPr>
        <w:t>劳务派遣单位如派遣退休返聘或超龄人员等在工作中产生的工伤等全部风险，由劳务派遣单位承担，</w:t>
      </w:r>
      <w:r>
        <w:rPr>
          <w:rFonts w:hint="eastAsia" w:ascii="Times New Roman" w:hAnsi="Times New Roman" w:eastAsia="方正仿宋_GB2312" w:cs="Times New Roman"/>
          <w:spacing w:val="-2"/>
          <w:sz w:val="24"/>
          <w:lang w:val="en-US" w:eastAsia="zh-CN"/>
        </w:rPr>
        <w:t>若用工单位被法院等有关部门认定为雇主而需要承担责任的，在其承担责任后有权要求劳务派遣单位进行全额补偿</w:t>
      </w:r>
      <w:r>
        <w:rPr>
          <w:rFonts w:ascii="Times New Roman" w:hAnsi="Times New Roman" w:eastAsia="方正仿宋_GB2312" w:cs="Times New Roman"/>
          <w:spacing w:val="-2"/>
          <w:sz w:val="24"/>
        </w:rPr>
        <w:t>。</w:t>
      </w:r>
    </w:p>
    <w:p w14:paraId="5ABF6D9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4.</w:t>
      </w:r>
      <w:r>
        <w:rPr>
          <w:rFonts w:hint="eastAsia" w:ascii="Times New Roman" w:hAnsi="Times New Roman" w:eastAsia="方正仿宋_GB2312" w:cs="Times New Roman"/>
          <w:spacing w:val="-2"/>
          <w:sz w:val="24"/>
          <w:lang w:val="en-US" w:eastAsia="zh-CN"/>
        </w:rPr>
        <w:t>8</w:t>
      </w:r>
      <w:r>
        <w:rPr>
          <w:rFonts w:ascii="Times New Roman" w:hAnsi="Times New Roman" w:eastAsia="方正仿宋_GB2312" w:cs="Times New Roman"/>
          <w:spacing w:val="-2"/>
          <w:sz w:val="24"/>
        </w:rPr>
        <w:t>社会保险缴费标准：</w:t>
      </w:r>
    </w:p>
    <w:p w14:paraId="12796C8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依据《中华人民共和国社会保险法》及湖南省、长沙市社会保险相关规定实施，社保基数按长沙市每年度调整的基数执行。</w:t>
      </w:r>
    </w:p>
    <w:p w14:paraId="0896ADC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商业保险标准：</w:t>
      </w:r>
    </w:p>
    <w:p w14:paraId="4A4AB21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4.</w:t>
      </w:r>
      <w:r>
        <w:rPr>
          <w:rFonts w:hint="eastAsia" w:ascii="Times New Roman" w:hAnsi="Times New Roman" w:eastAsia="方正仿宋_GB2312" w:cs="Times New Roman"/>
          <w:spacing w:val="-2"/>
          <w:sz w:val="24"/>
          <w:lang w:val="en-US" w:eastAsia="zh-CN"/>
        </w:rPr>
        <w:t>8</w:t>
      </w:r>
      <w:r>
        <w:rPr>
          <w:rFonts w:ascii="Times New Roman" w:hAnsi="Times New Roman" w:eastAsia="方正仿宋_GB2312" w:cs="Times New Roman"/>
          <w:spacing w:val="-2"/>
          <w:sz w:val="24"/>
        </w:rPr>
        <w:t>.1商业险：参保对象为不能参加社会保险的人员，险种为团体意外险和雇主责任险，在工作时间内因</w:t>
      </w:r>
      <w:r>
        <w:rPr>
          <w:rFonts w:ascii="Times New Roman" w:hAnsi="Times New Roman" w:eastAsia="方正仿宋_GB2312" w:cs="Times New Roman"/>
          <w:color w:val="558ED5" w:themeColor="text2" w:themeTint="99"/>
          <w:spacing w:val="-2"/>
          <w:sz w:val="24"/>
          <w14:textFill>
            <w14:solidFill>
              <w14:schemeClr w14:val="tx2">
                <w14:lumMod w14:val="60000"/>
                <w14:lumOff w14:val="40000"/>
              </w14:schemeClr>
            </w14:solidFill>
          </w14:textFill>
        </w:rPr>
        <w:t>工伤/工亡，赔付的保额为90万元</w:t>
      </w:r>
      <w:r>
        <w:rPr>
          <w:rFonts w:hint="eastAsia" w:ascii="Times New Roman" w:hAnsi="Times New Roman" w:eastAsia="方正仿宋_GB2312" w:cs="Times New Roman"/>
          <w:color w:val="558ED5" w:themeColor="text2" w:themeTint="99"/>
          <w:spacing w:val="-2"/>
          <w:sz w:val="24"/>
          <w14:textFill>
            <w14:solidFill>
              <w14:schemeClr w14:val="tx2">
                <w14:lumMod w14:val="60000"/>
                <w14:lumOff w14:val="40000"/>
              </w14:schemeClr>
            </w14:solidFill>
          </w14:textFill>
        </w:rPr>
        <w:t>/人</w:t>
      </w:r>
      <w:r>
        <w:rPr>
          <w:rFonts w:ascii="Times New Roman" w:hAnsi="Times New Roman" w:eastAsia="方正仿宋_GB2312" w:cs="Times New Roman"/>
          <w:spacing w:val="-2"/>
          <w:sz w:val="24"/>
        </w:rPr>
        <w:t>(具体约定详见乙方与商业保险公司签订的合同)。</w:t>
      </w:r>
    </w:p>
    <w:p w14:paraId="5CD82E8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4.</w:t>
      </w:r>
      <w:r>
        <w:rPr>
          <w:rFonts w:hint="eastAsia" w:ascii="Times New Roman" w:hAnsi="Times New Roman" w:eastAsia="方正仿宋_GB2312" w:cs="Times New Roman"/>
          <w:spacing w:val="-2"/>
          <w:sz w:val="24"/>
          <w:lang w:val="en-US" w:eastAsia="zh-CN"/>
        </w:rPr>
        <w:t>8</w:t>
      </w:r>
      <w:r>
        <w:rPr>
          <w:rFonts w:ascii="Times New Roman" w:hAnsi="Times New Roman" w:eastAsia="方正仿宋_GB2312" w:cs="Times New Roman"/>
          <w:spacing w:val="-2"/>
          <w:sz w:val="24"/>
        </w:rPr>
        <w:t>.</w:t>
      </w:r>
      <w:r>
        <w:rPr>
          <w:rFonts w:hint="eastAsia" w:ascii="Times New Roman" w:hAnsi="Times New Roman" w:eastAsia="方正仿宋_GB2312" w:cs="Times New Roman"/>
          <w:spacing w:val="-2"/>
          <w:sz w:val="24"/>
          <w:lang w:val="en-US" w:eastAsia="zh-CN"/>
        </w:rPr>
        <w:t>2</w:t>
      </w:r>
      <w:r>
        <w:rPr>
          <w:rFonts w:ascii="Times New Roman" w:hAnsi="Times New Roman" w:eastAsia="方正仿宋_GB2312" w:cs="Times New Roman"/>
          <w:spacing w:val="-2"/>
          <w:sz w:val="24"/>
        </w:rPr>
        <w:t>保险费用的支付办法及要求：</w:t>
      </w:r>
    </w:p>
    <w:p w14:paraId="534AF02D">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（1）社会保险费用，由甲方按参加五险、参保人数和实际社保金额按月支付单位应缴社保费用给乙方；</w:t>
      </w:r>
    </w:p>
    <w:p w14:paraId="77BB8245">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（2）商业保险的费用含在服务费中，甲方每月通过服务费形式支付给乙方；</w:t>
      </w:r>
    </w:p>
    <w:p w14:paraId="2A82A039">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（3）社会保险费乙方在每月10日前向社会保险管理部门缴纳上月保险费用，甲方应在收到乙方该笔资金缴纳凭证及相关资料后，根据实际情况向乙方支付该笔 费用，甲方如有人员异动应在每月20日前以书面通知乙方；</w:t>
      </w:r>
    </w:p>
    <w:p w14:paraId="736105C3">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（4）乙方必须对劳务派遣人员的社会保险经费的使用情况负责，并承担一切法律和经济赔偿；</w:t>
      </w:r>
    </w:p>
    <w:p w14:paraId="2C68132F">
      <w:pPr>
        <w:pStyle w:val="4"/>
        <w:widowControl/>
        <w:kinsoku w:val="0"/>
        <w:autoSpaceDE w:val="0"/>
        <w:autoSpaceDN w:val="0"/>
        <w:adjustRightInd w:val="0"/>
        <w:snapToGrid w:val="0"/>
        <w:spacing w:line="400" w:lineRule="exact"/>
        <w:textAlignment w:val="baseline"/>
        <w:rPr>
          <w:rFonts w:hint="eastAsia" w:ascii="Times New Roman" w:hAnsi="Times New Roman" w:eastAsia="方正仿宋_GB2312" w:cs="Times New Roman"/>
          <w:spacing w:val="-8"/>
          <w:sz w:val="24"/>
          <w:szCs w:val="24"/>
          <w:highlight w:val="yellow"/>
          <w:lang w:eastAsia="zh-CN"/>
        </w:rPr>
      </w:pPr>
      <w:r>
        <w:rPr>
          <w:rFonts w:ascii="Times New Roman" w:hAnsi="Times New Roman" w:eastAsia="方正仿宋_GB2312" w:cs="Times New Roman"/>
          <w:spacing w:val="-8"/>
          <w:sz w:val="24"/>
          <w:szCs w:val="24"/>
          <w:lang w:eastAsia="zh-CN"/>
        </w:rPr>
        <w:t>（5）</w:t>
      </w:r>
      <w:r>
        <w:rPr>
          <w:rFonts w:ascii="Times New Roman" w:hAnsi="Times New Roman" w:eastAsia="方正仿宋_GB2312" w:cs="Times New Roman"/>
          <w:spacing w:val="-8"/>
          <w:sz w:val="24"/>
          <w:szCs w:val="24"/>
          <w:highlight w:val="yellow"/>
          <w:lang w:eastAsia="zh-CN"/>
        </w:rPr>
        <w:t>派遣员工因工伤、生育、患病或非因工负伤不能从事</w:t>
      </w:r>
      <w:r>
        <w:rPr>
          <w:rFonts w:hint="eastAsia" w:ascii="Times New Roman" w:hAnsi="Times New Roman" w:eastAsia="方正仿宋_GB2312" w:cs="Times New Roman"/>
          <w:color w:val="558ED5" w:themeColor="text2" w:themeTint="99"/>
          <w:spacing w:val="-8"/>
          <w:sz w:val="24"/>
          <w:szCs w:val="24"/>
          <w:highlight w:val="yellow"/>
          <w:lang w:eastAsia="zh-CN"/>
          <w14:textFill>
            <w14:solidFill>
              <w14:schemeClr w14:val="tx2">
                <w14:lumMod w14:val="60000"/>
                <w14:lumOff w14:val="40000"/>
              </w14:schemeClr>
            </w14:solidFill>
          </w14:textFill>
        </w:rPr>
        <w:t>甲方</w:t>
      </w:r>
      <w:r>
        <w:rPr>
          <w:rFonts w:ascii="Times New Roman" w:hAnsi="Times New Roman" w:eastAsia="方正仿宋_GB2312" w:cs="Times New Roman"/>
          <w:color w:val="558ED5" w:themeColor="text2" w:themeTint="99"/>
          <w:spacing w:val="-8"/>
          <w:sz w:val="24"/>
          <w:szCs w:val="24"/>
          <w:highlight w:val="yellow"/>
          <w:lang w:eastAsia="zh-CN"/>
          <w14:textFill>
            <w14:solidFill>
              <w14:schemeClr w14:val="tx2">
                <w14:lumMod w14:val="60000"/>
                <w14:lumOff w14:val="40000"/>
              </w14:schemeClr>
            </w14:solidFill>
          </w14:textFill>
        </w:rPr>
        <w:t>安排的工作</w:t>
      </w:r>
      <w:r>
        <w:rPr>
          <w:rFonts w:ascii="Times New Roman" w:hAnsi="Times New Roman" w:eastAsia="方正仿宋_GB2312" w:cs="Times New Roman"/>
          <w:spacing w:val="-8"/>
          <w:sz w:val="24"/>
          <w:szCs w:val="24"/>
          <w:highlight w:val="yellow"/>
          <w:lang w:eastAsia="zh-CN"/>
        </w:rPr>
        <w:t>，且依法不能解除劳动合同的，根据《劳动合同法》,乙方为派遣人员办理医疗费用报销、工伤事故申报、工伤认定及劳动能力鉴定等相关事宜。涉及应由</w:t>
      </w:r>
      <w:r>
        <w:rPr>
          <w:rFonts w:hint="eastAsia" w:ascii="Times New Roman" w:hAnsi="Times New Roman" w:eastAsia="方正仿宋_GB2312" w:cs="Times New Roman"/>
          <w:color w:val="FF0000"/>
          <w:spacing w:val="-8"/>
          <w:sz w:val="24"/>
          <w:szCs w:val="24"/>
          <w:highlight w:val="yellow"/>
          <w:lang w:eastAsia="zh-CN"/>
        </w:rPr>
        <w:t>（</w:t>
      </w:r>
      <w:r>
        <w:rPr>
          <w:rFonts w:ascii="Times New Roman" w:hAnsi="Times New Roman" w:eastAsia="方正仿宋_GB2312" w:cs="Times New Roman"/>
          <w:color w:val="FF0000"/>
          <w:spacing w:val="-8"/>
          <w:sz w:val="24"/>
          <w:szCs w:val="24"/>
          <w:highlight w:val="yellow"/>
          <w:lang w:eastAsia="zh-CN"/>
        </w:rPr>
        <w:t>单位</w:t>
      </w:r>
      <w:r>
        <w:rPr>
          <w:rFonts w:hint="eastAsia" w:ascii="Times New Roman" w:hAnsi="Times New Roman" w:eastAsia="方正仿宋_GB2312" w:cs="Times New Roman"/>
          <w:color w:val="FF0000"/>
          <w:spacing w:val="-8"/>
          <w:sz w:val="24"/>
          <w:szCs w:val="24"/>
          <w:highlight w:val="yellow"/>
          <w:lang w:eastAsia="zh-CN"/>
        </w:rPr>
        <w:t>）</w:t>
      </w:r>
      <w:r>
        <w:rPr>
          <w:rFonts w:ascii="Times New Roman" w:hAnsi="Times New Roman" w:eastAsia="方正仿宋_GB2312" w:cs="Times New Roman"/>
          <w:spacing w:val="-8"/>
          <w:sz w:val="24"/>
          <w:szCs w:val="24"/>
          <w:highlight w:val="yellow"/>
          <w:lang w:eastAsia="zh-CN"/>
        </w:rPr>
        <w:t>支付的费用，其中法律法规和政策规定的工伤停工留薪期间的工资、员工患病期间的工资由甲方按相关法律法规定的工资标准承担；涉及到员工工伤造成伤残等级，按相关法律法规和政策规定需用人单位承担的费用，由乙方支付。一至六级工伤受伤员工享受工伤津贴期间，其社保费用应缴单位部分由甲方承担</w:t>
      </w:r>
      <w:r>
        <w:rPr>
          <w:rFonts w:hint="eastAsia" w:ascii="Times New Roman" w:hAnsi="Times New Roman" w:eastAsia="方正仿宋_GB2312" w:cs="Times New Roman"/>
          <w:spacing w:val="-8"/>
          <w:sz w:val="24"/>
          <w:szCs w:val="24"/>
          <w:highlight w:val="yellow"/>
          <w:lang w:eastAsia="zh-CN"/>
        </w:rPr>
        <w:t>。</w:t>
      </w:r>
    </w:p>
    <w:p w14:paraId="05F2CE79">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（6）乙方承担依法解除、终止员工劳动关系需支付的经济补偿费用。</w:t>
      </w:r>
    </w:p>
    <w:p w14:paraId="12D6BC9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color w:val="FF0000"/>
          <w:spacing w:val="-2"/>
          <w:sz w:val="24"/>
        </w:rPr>
        <w:t>4.</w:t>
      </w:r>
      <w:r>
        <w:rPr>
          <w:rFonts w:hint="eastAsia" w:ascii="Times New Roman" w:hAnsi="Times New Roman" w:eastAsia="方正仿宋_GB2312" w:cs="Times New Roman"/>
          <w:color w:val="FF0000"/>
          <w:spacing w:val="-2"/>
          <w:sz w:val="24"/>
          <w:lang w:val="en-US" w:eastAsia="zh-CN"/>
        </w:rPr>
        <w:t>9</w:t>
      </w:r>
      <w:r>
        <w:rPr>
          <w:rFonts w:ascii="Times New Roman" w:hAnsi="Times New Roman" w:eastAsia="方正仿宋_GB2312" w:cs="Times New Roman"/>
          <w:spacing w:val="-2"/>
          <w:sz w:val="24"/>
        </w:rPr>
        <w:t>对中小微企业及时支付的约定：自交付之日起30日内支付款项；另有约定的，付款期限最长不得超过60日。约定采取履行进度结算、定期结算等结算方式 的，付款期限应当自双方确认结算金额之日起算。</w:t>
      </w:r>
    </w:p>
    <w:p w14:paraId="094533A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b/>
          <w:bCs/>
          <w:spacing w:val="-2"/>
          <w:sz w:val="24"/>
        </w:rPr>
        <w:t>5.合同履约验收方式及要求</w:t>
      </w:r>
      <w:r>
        <w:rPr>
          <w:rFonts w:ascii="Times New Roman" w:hAnsi="Times New Roman" w:eastAsia="方正仿宋_GB2312" w:cs="Times New Roman"/>
          <w:spacing w:val="-2"/>
          <w:sz w:val="24"/>
        </w:rPr>
        <w:t>：甲方在收到乙方交付的服务后按如下方式进行验收</w:t>
      </w:r>
    </w:p>
    <w:p w14:paraId="6643EA4D">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5.1 验收程序</w:t>
      </w:r>
    </w:p>
    <w:p w14:paraId="698A44D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采用简易程序验收</w:t>
      </w:r>
    </w:p>
    <w:p w14:paraId="651780C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5.2 质量要求</w:t>
      </w:r>
    </w:p>
    <w:p w14:paraId="7EA0FB11">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乙方应</w:t>
      </w:r>
      <w:r>
        <w:rPr>
          <w:rFonts w:ascii="Times New Roman" w:hAnsi="Times New Roman" w:eastAsia="方正仿宋_GB2312" w:cs="Times New Roman"/>
          <w:color w:val="FF0000"/>
          <w:spacing w:val="-2"/>
          <w:sz w:val="24"/>
        </w:rPr>
        <w:t>严格按照</w:t>
      </w:r>
      <w:r>
        <w:rPr>
          <w:rFonts w:ascii="Times New Roman" w:hAnsi="Times New Roman" w:eastAsia="方正仿宋_GB2312" w:cs="Times New Roman"/>
          <w:spacing w:val="-2"/>
          <w:sz w:val="24"/>
        </w:rPr>
        <w:t>《</w:t>
      </w:r>
      <w:r>
        <w:rPr>
          <w:rFonts w:ascii="Times New Roman" w:hAnsi="Times New Roman" w:eastAsia="方正仿宋_GB2312" w:cs="Times New Roman"/>
          <w:spacing w:val="-10"/>
          <w:sz w:val="24"/>
        </w:rPr>
        <w:t>长沙市开福区市容环境卫生维护中心劳务派遣月考核内容及扣分标准</w:t>
      </w:r>
      <w:r>
        <w:rPr>
          <w:rFonts w:ascii="Times New Roman" w:hAnsi="Times New Roman" w:eastAsia="方正仿宋_GB2312" w:cs="Times New Roman"/>
          <w:spacing w:val="-2"/>
          <w:sz w:val="24"/>
        </w:rPr>
        <w:t>》执行本项目，甲方依据考核细则内容对乙方的服务质量进行监督考核。</w:t>
      </w:r>
    </w:p>
    <w:p w14:paraId="5A9AAE0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5.3 验收要求和验收标准</w:t>
      </w:r>
    </w:p>
    <w:p w14:paraId="23A1D684">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验收要求和验收标准详见其他条款附件《</w:t>
      </w:r>
      <w:r>
        <w:rPr>
          <w:rFonts w:ascii="Times New Roman" w:hAnsi="Times New Roman" w:eastAsia="方正仿宋_GB2312" w:cs="Times New Roman"/>
          <w:spacing w:val="-10"/>
          <w:sz w:val="24"/>
        </w:rPr>
        <w:t>长沙市开福区市容环境卫生维护中心劳务派遣月考核内容及扣分标准</w:t>
      </w:r>
      <w:r>
        <w:rPr>
          <w:rFonts w:ascii="Times New Roman" w:hAnsi="Times New Roman" w:eastAsia="方正仿宋_GB2312" w:cs="Times New Roman"/>
          <w:spacing w:val="-2"/>
          <w:sz w:val="24"/>
        </w:rPr>
        <w:t>》。</w:t>
      </w:r>
    </w:p>
    <w:p w14:paraId="7E334B6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b/>
          <w:bCs/>
          <w:spacing w:val="-2"/>
          <w:sz w:val="24"/>
        </w:rPr>
      </w:pPr>
      <w:r>
        <w:rPr>
          <w:rFonts w:ascii="Times New Roman" w:hAnsi="Times New Roman" w:eastAsia="方正仿宋_GB2312" w:cs="Times New Roman"/>
          <w:b/>
          <w:bCs/>
          <w:spacing w:val="-2"/>
          <w:sz w:val="24"/>
        </w:rPr>
        <w:t>6.权利与义务</w:t>
      </w:r>
    </w:p>
    <w:p w14:paraId="186655FD">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6.1服务管理要求</w:t>
      </w:r>
    </w:p>
    <w:p w14:paraId="73C302F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6.1.1甲方负责对派遣人员的岗位安排、工作调度、监督及考核，乙方协助甲方进行考勤管理、绩效考核及工作期间的日常管理等事项，所有劳务派遣人员工资 发放须结合甲方日常管理及绩效考核决定，具体发放金额根据甲方实际考核结果为准。</w:t>
      </w:r>
    </w:p>
    <w:p w14:paraId="1631E5E4">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6.1.2在整个服务过程中，甲方实施监督检查，乙方未经甲方书面允许，不得擅自调整派出的劳务派遣人员。</w:t>
      </w:r>
    </w:p>
    <w:p w14:paraId="4638260C">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6.1.3劳务派遣人员不服从甲方日常工作管理或违反作业操作规定的，甲方有权依据有关管理规定通知乙方进行相应的约束，直至将劳务派遣人员退回乙方。</w:t>
      </w:r>
    </w:p>
    <w:p w14:paraId="7703885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6.1.4为确保招聘的劳务派遣人员能胜任甲方的工作岗位要求，劳务派遣人员须经甲方书面审核确认后方能录用。未经甲方审核确认的人员，甲方不接受其劳务派遣，乙方与其签订劳动合同而承担的法律责任和因此造成的一切损失与甲方无关。</w:t>
      </w:r>
    </w:p>
    <w:p w14:paraId="5D6BE73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6.1.5甲方具有督促、监督乙方按有关劳动法规为派驻甲方的劳务派遣人员办理劳动合同、保险及薪酬发放等权利。乙方应根据国家相关规定，按甲方所提供的 标准缴纳劳务派遣人员保险。若国家、省、市政府在缴纳期间有新的政策规定，则按新规定进行调整。</w:t>
      </w:r>
    </w:p>
    <w:p w14:paraId="1FD60EE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6.1.6乙方应及时处理和协调甲方与劳务派遣人员之间的工作管理纠纷。服务期间，乙方应作为第一责任人处理劳资纠纷，甲方可视情况予以协助。</w:t>
      </w:r>
    </w:p>
    <w:p w14:paraId="7D84BA8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6.1.7乙方应自己承担项目服务，不得将项目全部或部分以转包、分包、委托等方式给第三人，不接受代理商或中介机构申请报名。</w:t>
      </w:r>
    </w:p>
    <w:p w14:paraId="008E7CD4">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6.1.8劳务派遣服务合同期满，乙方未经甲方许可，不得将劳务派遣人员安排到其他用人单位工作，配合甲方做好人员及其相关资料移交工作；在服务期间因工伤工亡、劳务纠纷等所有未处理完毕的经济赔偿和处理责任继续承担，直到全部处理完毕。</w:t>
      </w:r>
    </w:p>
    <w:p w14:paraId="49554A44">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rPr>
      </w:pPr>
      <w:r>
        <w:rPr>
          <w:rFonts w:ascii="Times New Roman" w:hAnsi="Times New Roman" w:eastAsia="方正仿宋_GB2312" w:cs="Times New Roman"/>
          <w:spacing w:val="-11"/>
          <w:sz w:val="24"/>
        </w:rPr>
        <w:t>6.1.9合同期内劳务派遣人员有下列情况之一的，甲方可随时退回乙方或要求乙方更换劳务派遣人员：</w:t>
      </w:r>
    </w:p>
    <w:p w14:paraId="16E854BC">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(1)在试用期内被证明不符合录用条件的；</w:t>
      </w:r>
    </w:p>
    <w:p w14:paraId="37B288D5">
      <w:pPr>
        <w:pStyle w:val="4"/>
        <w:widowControl/>
        <w:kinsoku w:val="0"/>
        <w:autoSpaceDE w:val="0"/>
        <w:autoSpaceDN w:val="0"/>
        <w:adjustRightInd w:val="0"/>
        <w:snapToGrid w:val="0"/>
        <w:spacing w:line="400" w:lineRule="exact"/>
        <w:textAlignment w:val="baseline"/>
        <w:rPr>
          <w:rFonts w:hint="eastAsia" w:ascii="WPS灵秀黑" w:hAnsi="WPS灵秀黑" w:eastAsia="WPS灵秀黑" w:cs="WPS灵秀黑"/>
          <w:color w:val="FF0000"/>
          <w:spacing w:val="-8"/>
          <w:sz w:val="24"/>
          <w:szCs w:val="24"/>
        </w:rPr>
      </w:pPr>
      <w:r>
        <w:rPr>
          <w:rFonts w:hint="eastAsia" w:ascii="WPS灵秀黑" w:hAnsi="WPS灵秀黑" w:eastAsia="WPS灵秀黑" w:cs="WPS灵秀黑"/>
          <w:color w:val="FF0000"/>
          <w:spacing w:val="-8"/>
          <w:sz w:val="24"/>
          <w:szCs w:val="24"/>
        </w:rPr>
        <w:t>(2)严重</w:t>
      </w:r>
      <w:r>
        <w:rPr>
          <w:rFonts w:hint="eastAsia" w:ascii="WPS灵秀黑" w:hAnsi="WPS灵秀黑" w:eastAsia="WPS灵秀黑" w:cs="WPS灵秀黑"/>
          <w:color w:val="FF0000"/>
          <w:spacing w:val="-8"/>
          <w:sz w:val="24"/>
          <w:szCs w:val="24"/>
          <w:lang w:val="en-US" w:eastAsia="zh-CN"/>
        </w:rPr>
        <w:t>违反《劳动法》和甲方的规章制度</w:t>
      </w:r>
      <w:r>
        <w:rPr>
          <w:rFonts w:hint="eastAsia" w:ascii="WPS灵秀黑" w:hAnsi="WPS灵秀黑" w:eastAsia="WPS灵秀黑" w:cs="WPS灵秀黑"/>
          <w:color w:val="FF0000"/>
          <w:spacing w:val="-8"/>
          <w:sz w:val="24"/>
          <w:szCs w:val="24"/>
        </w:rPr>
        <w:t>、业务规程或劳动纪律的；</w:t>
      </w:r>
    </w:p>
    <w:p w14:paraId="5C997DDC">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(3)严重失职，营私舞弊，从事与所在岗位无关事务，给甲方利益造成重大损害的；</w:t>
      </w:r>
    </w:p>
    <w:p w14:paraId="43E77D48">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(4)有违法犯罪行为的；</w:t>
      </w:r>
    </w:p>
    <w:p w14:paraId="0DCF00A1">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(5)劳务派遣人员同时与其他用人单位建立劳动关系，经甲方提出，拒不改正的；</w:t>
      </w:r>
    </w:p>
    <w:p w14:paraId="7A0C04C9">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(6)患病或者非因工负伤，在规定的医疗期满后不能从事原工作的；</w:t>
      </w:r>
    </w:p>
    <w:p w14:paraId="056DA3F7">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(7)工作期间不能胜任工作，经过培训或者调整工作岗位，仍不能胜任工作的；</w:t>
      </w:r>
    </w:p>
    <w:p w14:paraId="1593B733">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(8)甲方劳务派遣服务合同协议期满终止的。</w:t>
      </w:r>
    </w:p>
    <w:p w14:paraId="4FA2132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6.2服务形式要求</w:t>
      </w:r>
    </w:p>
    <w:p w14:paraId="558F8B9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6.2.1负责劳务派遣人员整套人力资源管理服务工作(包括招聘及入离职手续办理、劳动合同管理、岗位培训、档案管理、保险福利管理、工资管理、劳动纠纷 处理等),主要内容如下：</w:t>
      </w:r>
    </w:p>
    <w:p w14:paraId="0C76F18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6.2.2人员配置：人员招聘(原有人员或社会招聘，原有人员指继续延用正在派遣的环卫工人),根据工作需要及时招聘人员，具体相关岗位由采购单位用工部 门设置，招聘费用由乙方承担。</w:t>
      </w:r>
    </w:p>
    <w:p w14:paraId="3D5ADC2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6.2.3人员入职：入职原则、流程及管理、入职资料清单、入职体检(体检费由乙方承担)。首次接收的劳务派遣人员应设置岗位试用期，试用期完毕按甲方要求可办理入职手续或退回乙方，其一切责任由乙方承担。</w:t>
      </w:r>
    </w:p>
    <w:p w14:paraId="745873F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6.2.4人员培训：对劳务派遣人员进行岗前培训(包括职业道德、安全教育和相关正常法规等)、在岗培训(包括安全教育和相关政策法规等),使劳务派遣人 员能够正常上岗，顺利完成各项工作任务，培训每月需实施一次，培训内容、流程、要求及结果需获甲方认可。</w:t>
      </w:r>
    </w:p>
    <w:p w14:paraId="798D39D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6.2.5工资管理：负责劳务派遣人员工资薪金账户开立、工资代发、代扣代缴派遣人员社会保险和个人所得税、个人所得税申报、开具工资薪金收入证明等手续 。具体负责按照合同约定时间和经甲方核准的发放标准，向全体劳务派遣人员按时发放工作薪酬。</w:t>
      </w:r>
    </w:p>
    <w:p w14:paraId="0831211B">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6.2.6社保保险：负责劳务派遣人员的社会保险的开户、汇缴、支取、报销、变更、转移、待遇申请等手续，为就业人员核定社会保险缴纳基数，办理劳务派遣人员各项社会保险相关手续，不得缩减或变更劳务派遣人员的社会保险险种。</w:t>
      </w:r>
    </w:p>
    <w:p w14:paraId="699455C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6.2.7人事档案管理：负责劳务派遣人员的合同签订、人事档案存放、调转、工龄认定、退休审批申报、出具各类人事证明及人事建档和借阅流程等服务。</w:t>
      </w:r>
    </w:p>
    <w:p w14:paraId="30A692E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6.2.8应急情况管理：有应急事件处理保障、熟悉应急情况处理流程。</w:t>
      </w:r>
    </w:p>
    <w:p w14:paraId="6AD1BDE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6.2.9离职管理：已达到退休年龄并符合办理退休手续的员工，在规定时间内及时办理退休手续；试用期考核不合格、员工辞职、员工不告而辞、员工违规违纪离职处理、合同到期终止、员工离职工作交接等，7天内完成所有交接工作手续。</w:t>
      </w:r>
    </w:p>
    <w:p w14:paraId="4FF50C8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6.2.10考勤管理及假期管理：协助甲方进行考勤管理、违纪处理、假期管理等。</w:t>
      </w:r>
    </w:p>
    <w:p w14:paraId="5480915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 xml:space="preserve">6.2.11服务考核：每个月5号前(节假日顺延),甲方按《长沙市开福区市容环境卫生维护中心劳务派遣月考核内容及扣分标准》对上个月劳务派遣服务项 目情况进行考核。                                                        </w:t>
      </w:r>
    </w:p>
    <w:p w14:paraId="4C4F40C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6.2.12劳动合同管理：负责劳务派遣人员劳动合同的订立、续订、变更、终止、解除等服务。劳动合同交给甲方备案，按照甲方的要求，及时替换不能胜任本职工作的劳务派遣人员，负责服务合同期内的所有劳资纠纷、管理纠纷、劳动争议和其他事故的处置及所需费用的支付。</w:t>
      </w:r>
    </w:p>
    <w:p w14:paraId="0000143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6.2.13为了确保劳务派遣人员在工作期间得到相应的保障，乙方根据环卫工作的特殊性和实际性，须给劳务派遣人员购买商业保险，准备足够的风险金。</w:t>
      </w:r>
    </w:p>
    <w:p w14:paraId="19F56A6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6.3承担服务要求</w:t>
      </w:r>
    </w:p>
    <w:p w14:paraId="23645A7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6.3.1乙方应根据甲方服务范围的需要，安排人力资源管理专员应尽心尽责、履职到位、妥善处理劳务派遣人员的各项事务，积极配合并协助甲方完成其他相关 工作。</w:t>
      </w:r>
    </w:p>
    <w:p w14:paraId="75B28ED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6.3.2乙方应及时、准确地完成劳务派遣人员(含新老员工)的入离职办理、档案管理、薪酬管理、社保缴纳及个税代扣代缴和商业保险购买等工作。并做好相 关咨询工作等服务，确保和谐、稳妥的处理劳务派遣人员的劳动纠纷、劳动诉讼、人事仲裁及信访投诉等事件，避免妨碍甲方的正常工作开展或给甲方带来不 利的社会影响。</w:t>
      </w:r>
    </w:p>
    <w:p w14:paraId="40225C0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6.3.3乙方应承担劳务派遣人员在工作期间不服从甲方的工作安排、不按甲方的规定作业流程违规作业和违规使用机械设备所发生的事故，以及个人原因发生的矛盾纠纷和打架斗殴等事故的处置和赔偿。</w:t>
      </w:r>
    </w:p>
    <w:p w14:paraId="65492BA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color w:val="92D050"/>
          <w:spacing w:val="-2"/>
          <w:sz w:val="24"/>
        </w:rPr>
      </w:pPr>
      <w:r>
        <w:rPr>
          <w:rFonts w:ascii="Times New Roman" w:hAnsi="Times New Roman" w:eastAsia="方正仿宋_GB2312" w:cs="Times New Roman"/>
          <w:spacing w:val="-2"/>
          <w:sz w:val="24"/>
        </w:rPr>
        <w:t>6.3.4乙方应承担劳务派遣人员在服务期内因劳动纠纷、诉讼、仲裁和依法解除或终止劳务派遣员工劳动关系需支付的经济补偿。</w:t>
      </w:r>
    </w:p>
    <w:p w14:paraId="6C2E7951">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6.4质量管理要求</w:t>
      </w:r>
    </w:p>
    <w:p w14:paraId="7C99BDF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6.4.1因劳务派遣人员在工作时间内因工作失职、故意行为、违法犯罪行为造成甲方经济损失的，乙方除协助甲方对派遣人员进行处理外，还应承担相应的经济责任；因乙方自身原因导致纠纷扩大或末能减小甲方相关损失的，由乙方承担相应责任；因乙方自身原因所引发的一切纠纷，由乙方负完全责；劳务派遣人员在非工作时间内发生的人身意外或其他纠纷，由乙方负责处理，</w:t>
      </w:r>
      <w:r>
        <w:rPr>
          <w:rFonts w:hint="eastAsia" w:ascii="Times New Roman" w:hAnsi="Times New Roman" w:eastAsia="方正仿宋_GB2312" w:cs="Times New Roman"/>
          <w:color w:val="0070C0"/>
          <w:spacing w:val="-2"/>
          <w:sz w:val="24"/>
        </w:rPr>
        <w:t>甲方</w:t>
      </w:r>
      <w:r>
        <w:rPr>
          <w:rFonts w:ascii="Times New Roman" w:hAnsi="Times New Roman" w:eastAsia="方正仿宋_GB2312" w:cs="Times New Roman"/>
          <w:color w:val="0070C0"/>
          <w:spacing w:val="-2"/>
          <w:sz w:val="24"/>
        </w:rPr>
        <w:t>不承担相关经济责任</w:t>
      </w:r>
      <w:r>
        <w:rPr>
          <w:rFonts w:ascii="Times New Roman" w:hAnsi="Times New Roman" w:eastAsia="方正仿宋_GB2312" w:cs="Times New Roman"/>
          <w:spacing w:val="-2"/>
          <w:sz w:val="24"/>
        </w:rPr>
        <w:t>。</w:t>
      </w:r>
    </w:p>
    <w:p w14:paraId="7D32F25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6.4.2乙方不得挪用劳务派遣人员工资、社会保险费用和其他福利奖金费用。</w:t>
      </w:r>
    </w:p>
    <w:p w14:paraId="5138736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6.4.3乙方拥有一支熟悉劳动人事政策法规、专业知识、法律知识的员工队伍，熟悉各项业务的办理流程，能及时解决各种业务问题，善于协调和化解甲方员工 的各种劳资纠纷，协助甲方解决人力资源管理问题，提升人力资源的核心竞争力。</w:t>
      </w:r>
    </w:p>
    <w:p w14:paraId="72D8A26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6.4.4乙方根据甲方的具体要求提供量身定制的专业人力资源服务。</w:t>
      </w:r>
    </w:p>
    <w:p w14:paraId="33A6D43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6.4.5乙方承诺无条件的接受甲方现有的环卫作业劳务人员，积极配合原劳务派遣公司做好各项移交工作。</w:t>
      </w:r>
    </w:p>
    <w:p w14:paraId="185B2454">
      <w:pPr>
        <w:spacing w:line="360" w:lineRule="auto"/>
        <w:jc w:val="left"/>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6.4.6</w:t>
      </w:r>
      <w:r>
        <w:rPr>
          <w:rFonts w:hint="eastAsia" w:ascii="宋体" w:hAnsi="宋体" w:cs="宋体"/>
          <w:color w:val="0000FF"/>
          <w:szCs w:val="21"/>
          <w:lang w:val="en-US" w:eastAsia="zh-CN"/>
        </w:rPr>
        <w:t>当月入职又离职</w:t>
      </w:r>
      <w:r>
        <w:rPr>
          <w:rFonts w:hint="eastAsia" w:ascii="宋体" w:hAnsi="宋体" w:cs="宋体"/>
          <w:color w:val="0000FF"/>
          <w:szCs w:val="21"/>
        </w:rPr>
        <w:t>的劳务派遣人员，不计入</w:t>
      </w:r>
      <w:r>
        <w:rPr>
          <w:rFonts w:hint="eastAsia" w:ascii="宋体" w:hAnsi="宋体" w:eastAsia="宋体" w:cs="宋体"/>
          <w:color w:val="0000FF"/>
          <w:szCs w:val="21"/>
          <w:lang w:val="en-US" w:eastAsia="zh-CN"/>
        </w:rPr>
        <w:t>当月</w:t>
      </w:r>
      <w:r>
        <w:rPr>
          <w:rFonts w:hint="eastAsia" w:ascii="宋体" w:hAnsi="宋体" w:cs="宋体"/>
          <w:color w:val="0000FF"/>
          <w:szCs w:val="21"/>
        </w:rPr>
        <w:t>服务总人数</w:t>
      </w:r>
      <w:r>
        <w:rPr>
          <w:rFonts w:hint="eastAsia" w:ascii="宋体" w:hAnsi="宋体" w:cs="宋体"/>
          <w:color w:val="0000FF"/>
          <w:szCs w:val="21"/>
          <w:lang w:eastAsia="zh-CN"/>
        </w:rPr>
        <w:t>，</w:t>
      </w:r>
      <w:r>
        <w:rPr>
          <w:rFonts w:hint="eastAsia" w:ascii="宋体" w:hAnsi="宋体" w:cs="宋体"/>
          <w:color w:val="0000FF"/>
          <w:szCs w:val="21"/>
          <w:lang w:val="en-US" w:eastAsia="zh-CN"/>
        </w:rPr>
        <w:t>不收取服务费</w:t>
      </w:r>
      <w:r>
        <w:rPr>
          <w:rFonts w:hint="eastAsia" w:ascii="宋体" w:hAnsi="宋体" w:cs="宋体"/>
          <w:color w:val="0000FF"/>
          <w:szCs w:val="21"/>
        </w:rPr>
        <w:t>。</w:t>
      </w:r>
    </w:p>
    <w:p w14:paraId="7C1A52F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6.4.7如遇甲方劳务派遣服务体制改革，积极配合甲方做好各项移交工作，并承担在服务期间产生的所有赔付费用及相关法律责任。</w:t>
      </w:r>
    </w:p>
    <w:p w14:paraId="350CECCB">
      <w:pPr>
        <w:widowControl/>
        <w:kinsoku w:val="0"/>
        <w:autoSpaceDE w:val="0"/>
        <w:autoSpaceDN w:val="0"/>
        <w:adjustRightInd w:val="0"/>
        <w:snapToGrid w:val="0"/>
        <w:spacing w:before="249" w:line="400" w:lineRule="exact"/>
        <w:ind w:left="2"/>
        <w:textAlignment w:val="baseline"/>
        <w:outlineLvl w:val="0"/>
        <w:rPr>
          <w:rFonts w:ascii="Times New Roman" w:hAnsi="Times New Roman" w:eastAsia="方正仿宋_GB2312" w:cs="Times New Roman"/>
          <w:b/>
          <w:bCs/>
          <w:sz w:val="24"/>
        </w:rPr>
      </w:pPr>
      <w:r>
        <w:rPr>
          <w:rFonts w:ascii="Times New Roman" w:hAnsi="Times New Roman" w:eastAsia="方正仿宋_GB2312" w:cs="Times New Roman"/>
          <w:b/>
          <w:bCs/>
          <w:spacing w:val="-8"/>
          <w:sz w:val="24"/>
        </w:rPr>
        <w:t>7、甲方的权利及义务</w:t>
      </w:r>
    </w:p>
    <w:p w14:paraId="04804EF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甲方根据上级主管部门制定的业务定额标准及行业规范，制订考核办法，作为考核乙方履约情况依据，甲方每月对乙方进行一次业务考核，连续两次考核不合格，乙方将进行整改直到验收合格。</w:t>
      </w:r>
    </w:p>
    <w:p w14:paraId="0564F218">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7.1甲方有权要求乙方的相关人员按合同要求保质、保量完成工作，对乙方提供的人员工作情况有权通过电话或书面向乙方反馈；</w:t>
      </w:r>
    </w:p>
    <w:p w14:paraId="3CFF24CE">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7.2在合同履行中，乙方派遣员工因执行工作任务造成甲方财产损失，或者造成合同当事人以外的第三方损害，导致甲方承担法律责任的，乙方须承担赔偿责任，甲方有权向乙方追偿。对有争议的责任赔偿方面，依据《中华人民共和国民法典》相关条例执行；</w:t>
      </w:r>
    </w:p>
    <w:p w14:paraId="7929FA6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7.3甲方有权合理选择、更换和退回相关派遣人员，退回的情形应按《劳动合同法》第六十五条及《劳务派遣暂行规定》第十二条规定；</w:t>
      </w:r>
    </w:p>
    <w:p w14:paraId="38F7C10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7.3.1派遣员工有下列情形之一的，甲方可将其退回乙方，且不承担任何经济补偿；</w:t>
      </w:r>
    </w:p>
    <w:p w14:paraId="5961CF19">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（1）严重违反甲方的规章制度的；严重失职，徇私舞弊，给甲方造成重大损失的；</w:t>
      </w:r>
    </w:p>
    <w:p w14:paraId="0240BACD">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（2）同时与其他用人单位建立劳动关系，对完成甲方的工作任务造成严重影响，或者经甲方提出，拒不改正的；</w:t>
      </w:r>
    </w:p>
    <w:p w14:paraId="0BBF0D57">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（3）乙方派遣的员工在工作期间不服从甲方的工作安排，不按甲方的规定作业流程违规作业和违规使用机械设备所发生的事故，以及因个人原因发生的矛盾纠纷和打架斗殴等事故的；</w:t>
      </w:r>
    </w:p>
    <w:p w14:paraId="1F7B0184">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（4）私自接私活，造成事故的，并造成损失的个人应承担全部责任；</w:t>
      </w:r>
    </w:p>
    <w:p w14:paraId="04FAD432">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8"/>
          <w:sz w:val="24"/>
          <w:szCs w:val="24"/>
          <w:lang w:eastAsia="zh-CN"/>
        </w:rPr>
      </w:pPr>
      <w:r>
        <w:rPr>
          <w:rFonts w:ascii="Times New Roman" w:hAnsi="Times New Roman" w:eastAsia="方正仿宋_GB2312" w:cs="Times New Roman"/>
          <w:spacing w:val="-8"/>
          <w:sz w:val="24"/>
          <w:szCs w:val="24"/>
          <w:lang w:eastAsia="zh-CN"/>
        </w:rPr>
        <w:t>（5）被依法追究刑事责任的。</w:t>
      </w:r>
    </w:p>
    <w:p w14:paraId="3ACCC62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7.3.2</w:t>
      </w:r>
      <w:r>
        <w:rPr>
          <w:rFonts w:hint="eastAsia" w:ascii="Times New Roman" w:hAnsi="Times New Roman" w:eastAsia="方正仿宋_GB2312" w:cs="Times New Roman"/>
          <w:spacing w:val="-2"/>
          <w:sz w:val="24"/>
          <w:lang w:eastAsia="zh-CN"/>
        </w:rPr>
        <w:t>派遣员工</w:t>
      </w:r>
      <w:r>
        <w:rPr>
          <w:rFonts w:ascii="Times New Roman" w:hAnsi="Times New Roman" w:eastAsia="方正仿宋_GB2312" w:cs="Times New Roman"/>
          <w:spacing w:val="-2"/>
          <w:sz w:val="24"/>
        </w:rPr>
        <w:t>有下列情形之一的，甲方可将其退回给乙方：</w:t>
      </w:r>
    </w:p>
    <w:p w14:paraId="2B3A683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(1)提前30日以书面方式通知乙方退工的；</w:t>
      </w:r>
    </w:p>
    <w:p w14:paraId="27E2E12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(2)患病或者非因工负伤，医疗期满后，不能从事原工作，也不能从事甲方另行安排的工作；</w:t>
      </w:r>
    </w:p>
    <w:p w14:paraId="67BE4FE4">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(3)不能胜任工作，经过培训或者调整工作岗位，仍不能胜任工作的；</w:t>
      </w:r>
    </w:p>
    <w:p w14:paraId="048D26AC">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(4)法律、行政法规规定其他情形的。</w:t>
      </w:r>
    </w:p>
    <w:p w14:paraId="41A3BF8F">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p>
    <w:p w14:paraId="57D9310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7.3.3合同期内，甲方提出调换人员后20个工作日内，乙方无法选派新的人员到岗工作，影响甲方业务质量的，乙方应承担全部损失并承担相应的责任。</w:t>
      </w:r>
    </w:p>
    <w:p w14:paraId="11A9A59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7.3.4在合同履行期间，甲方有义务维护乙方派遣的人员合法权益，并应为乙方派遣的人员履行职责提供必要的劳动条件和劳动安全保护。</w:t>
      </w:r>
    </w:p>
    <w:p w14:paraId="4F98D3B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w:t>
      </w:r>
      <w:r>
        <w:rPr>
          <w:rFonts w:hint="eastAsia" w:ascii="Times New Roman" w:hAnsi="Times New Roman" w:eastAsia="方正仿宋_GB2312" w:cs="Times New Roman"/>
          <w:spacing w:val="-2"/>
          <w:sz w:val="24"/>
          <w:lang w:val="en-US" w:eastAsia="zh-CN"/>
        </w:rPr>
        <w:t>5</w:t>
      </w:r>
      <w:r>
        <w:rPr>
          <w:rFonts w:ascii="Times New Roman" w:hAnsi="Times New Roman" w:eastAsia="方正仿宋_GB2312" w:cs="Times New Roman"/>
          <w:spacing w:val="-2"/>
          <w:sz w:val="24"/>
        </w:rPr>
        <w:t>乙方应根据甲方服务范围的需要，安排人力资源管理专员尽心尽责、履职到位，妥善处理劳务派遣人员的各项事务，积极配合并协助甲方完成其他相关工作。</w:t>
      </w:r>
    </w:p>
    <w:p w14:paraId="23F08DE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7.3.</w:t>
      </w:r>
      <w:r>
        <w:rPr>
          <w:rFonts w:hint="eastAsia" w:ascii="Times New Roman" w:hAnsi="Times New Roman" w:eastAsia="方正仿宋_GB2312" w:cs="Times New Roman"/>
          <w:spacing w:val="-2"/>
          <w:sz w:val="24"/>
          <w:lang w:val="en-US" w:eastAsia="zh-CN"/>
        </w:rPr>
        <w:t>6</w:t>
      </w:r>
      <w:r>
        <w:rPr>
          <w:rFonts w:ascii="Times New Roman" w:hAnsi="Times New Roman" w:eastAsia="方正仿宋_GB2312" w:cs="Times New Roman"/>
          <w:spacing w:val="-2"/>
          <w:sz w:val="24"/>
        </w:rPr>
        <w:t>乙方应及时、准确地完成劳务派遣人员(含新老员工)的入离职办理、档案管理、薪酬管理、社保缴纳及个税代扣代缴和商业保险等工作，并做好相关咨 询工作等服务，确保和谐、稳妥处理劳务派遣人员的劳动纠纷、劳动诉讼、人事仲裁及信访投诉等事件，避免妨碍甲方的正常工作开展或给甲方带来不利的社会影响。</w:t>
      </w:r>
    </w:p>
    <w:p w14:paraId="69A51ABC">
      <w:pPr>
        <w:widowControl/>
        <w:kinsoku w:val="0"/>
        <w:autoSpaceDE w:val="0"/>
        <w:autoSpaceDN w:val="0"/>
        <w:adjustRightInd w:val="0"/>
        <w:snapToGrid w:val="0"/>
        <w:spacing w:before="249" w:line="400" w:lineRule="exact"/>
        <w:ind w:left="2"/>
        <w:textAlignment w:val="baseline"/>
        <w:outlineLvl w:val="0"/>
        <w:rPr>
          <w:rFonts w:ascii="Times New Roman" w:hAnsi="Times New Roman" w:eastAsia="方正仿宋_GB2312" w:cs="Times New Roman"/>
          <w:b/>
          <w:bCs/>
          <w:spacing w:val="-8"/>
          <w:sz w:val="24"/>
        </w:rPr>
      </w:pPr>
      <w:r>
        <w:rPr>
          <w:rFonts w:ascii="Times New Roman" w:hAnsi="Times New Roman" w:eastAsia="方正仿宋_GB2312" w:cs="Times New Roman"/>
          <w:b/>
          <w:bCs/>
          <w:spacing w:val="-8"/>
          <w:sz w:val="24"/>
        </w:rPr>
        <w:t>8、乙方的权利及义务</w:t>
      </w:r>
    </w:p>
    <w:p w14:paraId="7705C0DC">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8.1乙方应为甲方选派体检合格和具备相应服务能力的人员，从事相关服务；</w:t>
      </w:r>
    </w:p>
    <w:p w14:paraId="1F20E31D">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8.2乙方收到甲方支付的费用后，应及时为派遣员工分类缴纳社会保险，并及时办理社会保险和商业保险手续；</w:t>
      </w:r>
    </w:p>
    <w:p w14:paraId="2C0AD42B">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8.3在合同履行中，乙方派遣的员工应做到不迟到、不早退、按期保质完成服务项目和工作；</w:t>
      </w:r>
    </w:p>
    <w:p w14:paraId="11D3ED6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8.4乙方派遣的员工如有本合同第六条第(6.3.4)项约定情形的，乙方应为甲方和相关部门对相关事项的处理提供必要的帮助；</w:t>
      </w:r>
    </w:p>
    <w:p w14:paraId="46FCCD96">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8.5乙方必须无条件的接受甲方的业务考核，其派驻的人员应遵守甲方的各项规章制度，服从甲方的管理；</w:t>
      </w:r>
    </w:p>
    <w:p w14:paraId="13FAD2D3">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8.6派遣员工发生工伤时，乙方应按规定为员工申请工伤认定和劳动能力鉴定；</w:t>
      </w:r>
    </w:p>
    <w:p w14:paraId="5FC74B20">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8.7乙方应对派遣员工进行入职体检，以及规章制度的学习和培训，承担本合同订立后的劳务派遣管理责任；</w:t>
      </w:r>
    </w:p>
    <w:p w14:paraId="358B180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ascii="Times New Roman" w:hAnsi="Times New Roman" w:eastAsia="方正仿宋_GB2312" w:cs="Times New Roman"/>
          <w:spacing w:val="-2"/>
          <w:sz w:val="24"/>
          <w:highlight w:val="yellow"/>
        </w:rPr>
      </w:pPr>
      <w:r>
        <w:rPr>
          <w:rFonts w:ascii="Times New Roman" w:hAnsi="Times New Roman" w:eastAsia="方正仿宋_GB2312" w:cs="Times New Roman"/>
          <w:spacing w:val="-2"/>
          <w:sz w:val="24"/>
        </w:rPr>
        <w:t xml:space="preserve">8.8 </w:t>
      </w:r>
      <w:r>
        <w:rPr>
          <w:rFonts w:hint="eastAsia" w:ascii="WPS灵秀黑" w:hAnsi="WPS灵秀黑" w:eastAsia="WPS灵秀黑" w:cs="WPS灵秀黑"/>
          <w:b w:val="0"/>
          <w:bCs w:val="0"/>
          <w:color w:val="auto"/>
          <w:spacing w:val="-2"/>
          <w:sz w:val="24"/>
          <w:szCs w:val="24"/>
          <w:highlight w:val="none"/>
        </w:rPr>
        <w:t>本合同期满或终止时，工伤待遇未办完的</w:t>
      </w:r>
      <w:r>
        <w:rPr>
          <w:rFonts w:hint="eastAsia" w:ascii="WPS灵秀黑" w:hAnsi="WPS灵秀黑" w:eastAsia="WPS灵秀黑" w:cs="WPS灵秀黑"/>
          <w:b w:val="0"/>
          <w:bCs w:val="0"/>
          <w:color w:val="auto"/>
          <w:spacing w:val="-2"/>
          <w:sz w:val="24"/>
          <w:szCs w:val="24"/>
          <w:highlight w:val="none"/>
          <w:lang w:val="en-US" w:eastAsia="zh-CN"/>
        </w:rPr>
        <w:t>未离职的</w:t>
      </w:r>
      <w:r>
        <w:rPr>
          <w:rFonts w:hint="eastAsia" w:ascii="WPS灵秀黑" w:hAnsi="WPS灵秀黑" w:eastAsia="WPS灵秀黑" w:cs="WPS灵秀黑"/>
          <w:b w:val="0"/>
          <w:bCs w:val="0"/>
          <w:color w:val="auto"/>
          <w:spacing w:val="-2"/>
          <w:sz w:val="24"/>
          <w:szCs w:val="24"/>
          <w:highlight w:val="none"/>
        </w:rPr>
        <w:t>派遣员工，由</w:t>
      </w:r>
      <w:r>
        <w:rPr>
          <w:rFonts w:hint="eastAsia" w:ascii="WPS灵秀黑" w:hAnsi="WPS灵秀黑" w:eastAsia="WPS灵秀黑" w:cs="WPS灵秀黑"/>
          <w:b w:val="0"/>
          <w:bCs w:val="0"/>
          <w:color w:val="auto"/>
          <w:spacing w:val="-2"/>
          <w:sz w:val="24"/>
          <w:szCs w:val="24"/>
          <w:highlight w:val="none"/>
          <w:lang w:eastAsia="zh-CN"/>
        </w:rPr>
        <w:t>乙方</w:t>
      </w:r>
      <w:r>
        <w:rPr>
          <w:rFonts w:hint="eastAsia" w:ascii="WPS灵秀黑" w:hAnsi="WPS灵秀黑" w:eastAsia="WPS灵秀黑" w:cs="WPS灵秀黑"/>
          <w:b w:val="0"/>
          <w:bCs w:val="0"/>
          <w:color w:val="auto"/>
          <w:spacing w:val="-2"/>
          <w:sz w:val="24"/>
          <w:szCs w:val="24"/>
          <w:highlight w:val="none"/>
          <w:lang w:val="en-US" w:eastAsia="zh-CN"/>
        </w:rPr>
        <w:t>移交给承接的新劳务派遣服务公司</w:t>
      </w:r>
      <w:r>
        <w:rPr>
          <w:rFonts w:hint="eastAsia" w:ascii="WPS灵秀黑" w:hAnsi="WPS灵秀黑" w:eastAsia="WPS灵秀黑" w:cs="WPS灵秀黑"/>
          <w:b w:val="0"/>
          <w:bCs w:val="0"/>
          <w:color w:val="auto"/>
          <w:spacing w:val="-2"/>
          <w:sz w:val="24"/>
          <w:szCs w:val="24"/>
          <w:highlight w:val="yellow"/>
        </w:rPr>
        <w:t>，</w:t>
      </w:r>
      <w:r>
        <w:rPr>
          <w:rFonts w:hint="eastAsia" w:ascii="WPS灵秀黑" w:hAnsi="WPS灵秀黑" w:eastAsia="WPS灵秀黑" w:cs="WPS灵秀黑"/>
          <w:b w:val="0"/>
          <w:bCs w:val="0"/>
          <w:color w:val="auto"/>
          <w:spacing w:val="-2"/>
          <w:sz w:val="24"/>
          <w:szCs w:val="24"/>
          <w:highlight w:val="yellow"/>
          <w:lang w:val="en-US" w:eastAsia="zh-CN"/>
        </w:rPr>
        <w:t>工伤员工</w:t>
      </w:r>
      <w:bookmarkStart w:id="0" w:name="_GoBack"/>
      <w:bookmarkEnd w:id="0"/>
      <w:r>
        <w:rPr>
          <w:rFonts w:hint="eastAsia" w:ascii="WPS灵秀黑" w:hAnsi="WPS灵秀黑" w:eastAsia="WPS灵秀黑" w:cs="WPS灵秀黑"/>
          <w:b w:val="0"/>
          <w:bCs w:val="0"/>
          <w:color w:val="auto"/>
          <w:spacing w:val="-2"/>
          <w:sz w:val="24"/>
          <w:szCs w:val="24"/>
          <w:highlight w:val="yellow"/>
          <w:lang w:val="en-US" w:eastAsia="zh-CN"/>
        </w:rPr>
        <w:t>的保险费和薪酬福利由甲方承担，直到工伤办理结束；</w:t>
      </w:r>
    </w:p>
    <w:p w14:paraId="1785C852">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8.9乙方应承担劳务派遣人员在服务期内因劳动纠纷、诉讼、仲裁和依法解除或终止劳务派遣员工劳动关系需支付的经济补偿；</w:t>
      </w:r>
    </w:p>
    <w:p w14:paraId="3E3CB955">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8.10 乙方应承担劳务派遣人员在服务期内因安全事故、工伤工亡和意外伤害等情况所产生的经济补偿或赔偿费用，</w:t>
      </w:r>
      <w:r>
        <w:rPr>
          <w:rFonts w:hint="eastAsia" w:ascii="Times New Roman" w:hAnsi="Times New Roman" w:eastAsia="方正仿宋_GB2312" w:cs="Times New Roman"/>
          <w:color w:val="558ED5" w:themeColor="text2" w:themeTint="99"/>
          <w:spacing w:val="-2"/>
          <w:sz w:val="24"/>
          <w14:textFill>
            <w14:solidFill>
              <w14:schemeClr w14:val="tx2">
                <w14:lumMod w14:val="60000"/>
                <w14:lumOff w14:val="40000"/>
              </w14:schemeClr>
            </w14:solidFill>
          </w14:textFill>
        </w:rPr>
        <w:t>包括</w:t>
      </w:r>
      <w:r>
        <w:rPr>
          <w:rFonts w:ascii="Times New Roman" w:hAnsi="Times New Roman" w:eastAsia="方正仿宋_GB2312" w:cs="Times New Roman"/>
          <w:color w:val="558ED5" w:themeColor="text2" w:themeTint="99"/>
          <w:spacing w:val="-2"/>
          <w:sz w:val="24"/>
          <w14:textFill>
            <w14:solidFill>
              <w14:schemeClr w14:val="tx2">
                <w14:lumMod w14:val="60000"/>
                <w14:lumOff w14:val="40000"/>
              </w14:schemeClr>
            </w14:solidFill>
          </w14:textFill>
        </w:rPr>
        <w:t>但不限于：</w:t>
      </w:r>
      <w:r>
        <w:rPr>
          <w:rFonts w:ascii="Times New Roman" w:hAnsi="Times New Roman" w:eastAsia="方正仿宋_GB2312" w:cs="Times New Roman"/>
          <w:spacing w:val="-2"/>
          <w:sz w:val="24"/>
        </w:rPr>
        <w:t>工伤人员的护理费、一次性就业补助金和工亡人员家属接待等费用。</w:t>
      </w:r>
    </w:p>
    <w:p w14:paraId="7CA67A24">
      <w:pPr>
        <w:widowControl/>
        <w:kinsoku w:val="0"/>
        <w:autoSpaceDE w:val="0"/>
        <w:autoSpaceDN w:val="0"/>
        <w:adjustRightInd w:val="0"/>
        <w:snapToGrid w:val="0"/>
        <w:spacing w:before="249" w:line="400" w:lineRule="exact"/>
        <w:ind w:left="2"/>
        <w:textAlignment w:val="baseline"/>
        <w:outlineLvl w:val="0"/>
        <w:rPr>
          <w:rFonts w:ascii="Times New Roman" w:hAnsi="Times New Roman" w:eastAsia="方正仿宋_GB2312" w:cs="Times New Roman"/>
          <w:b/>
          <w:bCs/>
          <w:spacing w:val="-8"/>
          <w:sz w:val="24"/>
        </w:rPr>
      </w:pPr>
      <w:r>
        <w:rPr>
          <w:rFonts w:ascii="Times New Roman" w:hAnsi="Times New Roman" w:eastAsia="方正仿宋_GB2312" w:cs="Times New Roman"/>
          <w:b/>
          <w:bCs/>
          <w:spacing w:val="-8"/>
          <w:sz w:val="24"/>
        </w:rPr>
        <w:t>9、违约责任</w:t>
      </w:r>
    </w:p>
    <w:p w14:paraId="4D8E900A">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9.1 对中小微企业未及时支付的违约责任约定：甲方不得以法定代表人或者主要负责人变更，履行内部付款流程，或者在合同未作约定的情况下以等待竣工验收批复、决算审计等为由，拒绝或者迟延支付中小微企业款项。</w:t>
      </w:r>
    </w:p>
    <w:p w14:paraId="3A6D8FE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9.2 甲方不得以行政区划调整、政府换届、机构或者职能调整以及相关责任人更替等为由违约毁约。因国家利益、社会公共利益需要改变政策承诺、合同约定的，应当依照法定权限和程序进行，并依法对乙方因此受到的损失予以补偿。</w:t>
      </w:r>
    </w:p>
    <w:p w14:paraId="0FA37B5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9.3 如遇政府机构相关政策调整，继续履行将损害国家利益和公共利益的，乙方应积极配合甲方协商解决。</w:t>
      </w:r>
    </w:p>
    <w:p w14:paraId="697AD5D4">
      <w:pPr>
        <w:spacing w:line="560" w:lineRule="exact"/>
        <w:jc w:val="left"/>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9.4连续三个月考核扣分≥20分，</w:t>
      </w:r>
      <w:r>
        <w:rPr>
          <w:rFonts w:hint="eastAsia" w:ascii="Times New Roman" w:hAnsi="Times New Roman" w:eastAsia="方正仿宋_GB2312" w:cs="Times New Roman"/>
          <w:spacing w:val="-2"/>
          <w:sz w:val="24"/>
          <w:lang w:val="en-US" w:eastAsia="zh-CN"/>
        </w:rPr>
        <w:t>甲方有权要求乙方按照合同总金额的20%支付违约金。</w:t>
      </w:r>
    </w:p>
    <w:p w14:paraId="488D0914">
      <w:pPr>
        <w:spacing w:line="560" w:lineRule="exact"/>
        <w:jc w:val="left"/>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9.5 在服务合同期内引发劳务纠纷两次以上且处置不当，导致甲方造成社会负面影响的，引发的法律和经济责任由乙方承担。</w:t>
      </w:r>
    </w:p>
    <w:p w14:paraId="1C715C27">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2"/>
          <w:sz w:val="24"/>
        </w:rPr>
      </w:pPr>
      <w:r>
        <w:rPr>
          <w:rFonts w:ascii="Times New Roman" w:hAnsi="Times New Roman" w:eastAsia="方正仿宋_GB2312" w:cs="Times New Roman"/>
          <w:spacing w:val="-2"/>
          <w:sz w:val="24"/>
        </w:rPr>
        <w:t>9.6 非经甲方确认的减员，减少的到岗服务人员低于岗位人员需求数量时，应按要求及时补齐，不能按期补齐的，甲方有权安排其他人员到岗，相应费用由乙方承担。</w:t>
      </w:r>
    </w:p>
    <w:p w14:paraId="562F3369">
      <w:pPr>
        <w:widowControl/>
        <w:kinsoku w:val="0"/>
        <w:autoSpaceDE w:val="0"/>
        <w:autoSpaceDN w:val="0"/>
        <w:adjustRightInd w:val="0"/>
        <w:snapToGrid w:val="0"/>
        <w:spacing w:line="400" w:lineRule="exact"/>
        <w:textAlignment w:val="baseline"/>
        <w:rPr>
          <w:rFonts w:ascii="Times New Roman" w:hAnsi="Times New Roman" w:eastAsia="方正仿宋_GB2312" w:cs="Times New Roman"/>
          <w:b/>
          <w:bCs/>
          <w:spacing w:val="-3"/>
          <w:sz w:val="24"/>
        </w:rPr>
      </w:pPr>
      <w:r>
        <w:rPr>
          <w:rFonts w:ascii="Times New Roman" w:hAnsi="Times New Roman" w:eastAsia="方正仿宋_GB2312" w:cs="Times New Roman"/>
          <w:spacing w:val="-2"/>
          <w:sz w:val="24"/>
        </w:rPr>
        <w:t>9.7甲方将劳务派遣人员的工资报酬按照国家有关法律、法规和规章制度规定的相应费用支付给乙方后，乙方在两个两个工作日内支付给劳务派遣人员，劳务派遣人员的个人所得税及应缴的社保保险费由乙方代扣代缴。</w:t>
      </w:r>
    </w:p>
    <w:p w14:paraId="1517A57E">
      <w:pPr>
        <w:pStyle w:val="4"/>
        <w:widowControl/>
        <w:kinsoku w:val="0"/>
        <w:autoSpaceDE w:val="0"/>
        <w:autoSpaceDN w:val="0"/>
        <w:adjustRightInd w:val="0"/>
        <w:snapToGrid w:val="0"/>
        <w:spacing w:before="53" w:line="400" w:lineRule="exact"/>
        <w:ind w:left="2"/>
        <w:textAlignment w:val="baseline"/>
        <w:outlineLvl w:val="0"/>
        <w:rPr>
          <w:rFonts w:ascii="Times New Roman" w:hAnsi="Times New Roman" w:eastAsia="方正仿宋_GB2312" w:cs="Times New Roman"/>
          <w:sz w:val="24"/>
          <w:szCs w:val="24"/>
          <w:lang w:eastAsia="zh-CN"/>
        </w:rPr>
      </w:pPr>
      <w:r>
        <w:rPr>
          <w:rFonts w:ascii="Times New Roman" w:hAnsi="Times New Roman" w:eastAsia="方正仿宋_GB2312" w:cs="Times New Roman"/>
          <w:b/>
          <w:bCs/>
          <w:spacing w:val="-3"/>
          <w:sz w:val="24"/>
          <w:szCs w:val="24"/>
          <w:lang w:eastAsia="zh-CN"/>
        </w:rPr>
        <w:t>10、解决争议的方法</w:t>
      </w:r>
    </w:p>
    <w:p w14:paraId="3D6FD33B">
      <w:pPr>
        <w:pStyle w:val="4"/>
        <w:widowControl/>
        <w:kinsoku w:val="0"/>
        <w:autoSpaceDE w:val="0"/>
        <w:autoSpaceDN w:val="0"/>
        <w:adjustRightInd w:val="0"/>
        <w:snapToGrid w:val="0"/>
        <w:spacing w:before="112"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11"/>
          <w:position w:val="11"/>
          <w:sz w:val="24"/>
          <w:szCs w:val="24"/>
          <w:lang w:eastAsia="zh-CN"/>
        </w:rPr>
        <w:t>首先通过双方协商解决，协商解决不成，则通过以下途径之一解决</w:t>
      </w:r>
      <w:r>
        <w:rPr>
          <w:rFonts w:ascii="Times New Roman" w:hAnsi="Times New Roman" w:eastAsia="方正仿宋_GB2312" w:cs="Times New Roman"/>
          <w:spacing w:val="-12"/>
          <w:position w:val="11"/>
          <w:sz w:val="24"/>
          <w:szCs w:val="24"/>
          <w:lang w:eastAsia="zh-CN"/>
        </w:rPr>
        <w:t>纠纷：</w:t>
      </w:r>
    </w:p>
    <w:p w14:paraId="255D6661">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13"/>
          <w:sz w:val="24"/>
          <w:szCs w:val="24"/>
          <w:lang w:eastAsia="zh-CN"/>
        </w:rPr>
        <w:t>向</w:t>
      </w:r>
      <w:r>
        <w:rPr>
          <w:rFonts w:ascii="Times New Roman" w:hAnsi="Times New Roman" w:eastAsia="方正仿宋_GB2312" w:cs="Times New Roman"/>
          <w:spacing w:val="-2"/>
          <w:sz w:val="24"/>
          <w:szCs w:val="24"/>
          <w:lang w:eastAsia="zh-CN"/>
        </w:rPr>
        <w:t>甲方所在地</w:t>
      </w:r>
      <w:r>
        <w:rPr>
          <w:rFonts w:ascii="Times New Roman" w:hAnsi="Times New Roman" w:eastAsia="方正仿宋_GB2312" w:cs="Times New Roman"/>
          <w:spacing w:val="-13"/>
          <w:sz w:val="24"/>
          <w:szCs w:val="24"/>
          <w:lang w:eastAsia="zh-CN"/>
        </w:rPr>
        <w:t>人民法院提起诉讼。</w:t>
      </w:r>
    </w:p>
    <w:p w14:paraId="529EBBAE">
      <w:pPr>
        <w:pStyle w:val="4"/>
        <w:widowControl/>
        <w:kinsoku w:val="0"/>
        <w:autoSpaceDE w:val="0"/>
        <w:autoSpaceDN w:val="0"/>
        <w:adjustRightInd w:val="0"/>
        <w:snapToGrid w:val="0"/>
        <w:spacing w:before="236" w:line="400" w:lineRule="exact"/>
        <w:ind w:left="2"/>
        <w:textAlignment w:val="baseline"/>
        <w:outlineLvl w:val="0"/>
        <w:rPr>
          <w:rFonts w:ascii="Times New Roman" w:hAnsi="Times New Roman" w:eastAsia="方正仿宋_GB2312" w:cs="Times New Roman"/>
          <w:sz w:val="24"/>
          <w:szCs w:val="24"/>
          <w:lang w:eastAsia="zh-CN"/>
        </w:rPr>
      </w:pPr>
      <w:r>
        <w:rPr>
          <w:rFonts w:ascii="Times New Roman" w:hAnsi="Times New Roman" w:eastAsia="方正仿宋_GB2312" w:cs="Times New Roman"/>
          <w:b/>
          <w:bCs/>
          <w:spacing w:val="-2"/>
          <w:sz w:val="24"/>
          <w:szCs w:val="24"/>
          <w:lang w:eastAsia="zh-CN"/>
        </w:rPr>
        <w:t>11、 组成合同的文件</w:t>
      </w:r>
    </w:p>
    <w:p w14:paraId="5C87476F">
      <w:pPr>
        <w:pStyle w:val="4"/>
        <w:widowControl/>
        <w:kinsoku w:val="0"/>
        <w:autoSpaceDE w:val="0"/>
        <w:autoSpaceDN w:val="0"/>
        <w:adjustRightInd w:val="0"/>
        <w:snapToGrid w:val="0"/>
        <w:spacing w:before="112"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11"/>
          <w:position w:val="10"/>
          <w:sz w:val="24"/>
          <w:szCs w:val="24"/>
          <w:lang w:eastAsia="zh-CN"/>
        </w:rPr>
        <w:t>合同由以下文件构成，如下述文件之间有任何抵触、矛盾或歧义，应按以下顺序解</w:t>
      </w:r>
      <w:r>
        <w:rPr>
          <w:rFonts w:ascii="Times New Roman" w:hAnsi="Times New Roman" w:eastAsia="方正仿宋_GB2312" w:cs="Times New Roman"/>
          <w:spacing w:val="-12"/>
          <w:position w:val="10"/>
          <w:sz w:val="24"/>
          <w:szCs w:val="24"/>
          <w:lang w:eastAsia="zh-CN"/>
        </w:rPr>
        <w:t>释：</w:t>
      </w:r>
    </w:p>
    <w:p w14:paraId="57F088EA">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8"/>
          <w:sz w:val="24"/>
          <w:szCs w:val="24"/>
          <w:lang w:eastAsia="zh-CN"/>
        </w:rPr>
        <w:t>(1)在采购或合同履行过程中乙方作出的承诺以及双方协商达成的变更或补充协议</w:t>
      </w:r>
    </w:p>
    <w:p w14:paraId="30E2A7D2">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3"/>
          <w:sz w:val="24"/>
          <w:szCs w:val="24"/>
          <w:lang w:eastAsia="zh-CN"/>
        </w:rPr>
        <w:t>(2)乙方或成交通知书</w:t>
      </w:r>
    </w:p>
    <w:p w14:paraId="5048281B">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7"/>
          <w:sz w:val="24"/>
          <w:szCs w:val="24"/>
          <w:lang w:eastAsia="zh-CN"/>
        </w:rPr>
        <w:t>(3)响应文件</w:t>
      </w:r>
    </w:p>
    <w:p w14:paraId="14D4DA78">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5"/>
          <w:sz w:val="24"/>
          <w:szCs w:val="24"/>
          <w:lang w:eastAsia="zh-CN"/>
        </w:rPr>
        <w:t>(4)政府采购合同格式条款及其附件</w:t>
      </w:r>
    </w:p>
    <w:p w14:paraId="2E0BDC3A">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3"/>
          <w:position w:val="10"/>
          <w:sz w:val="24"/>
          <w:szCs w:val="24"/>
          <w:lang w:eastAsia="zh-CN"/>
        </w:rPr>
        <w:t>(5)专用合同条款(如果有)</w:t>
      </w:r>
    </w:p>
    <w:p w14:paraId="03C56302">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3"/>
          <w:sz w:val="24"/>
          <w:szCs w:val="24"/>
          <w:lang w:eastAsia="zh-CN"/>
        </w:rPr>
        <w:t>(6)通用合同条款(如果有)</w:t>
      </w:r>
    </w:p>
    <w:p w14:paraId="375E08E5">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pacing w:val="-5"/>
          <w:position w:val="10"/>
          <w:sz w:val="24"/>
          <w:szCs w:val="24"/>
          <w:lang w:eastAsia="zh-CN"/>
        </w:rPr>
        <w:t>(7)标准、规范及有关技术文件，图纸，已标价工程量清单或预算书(如果有)</w:t>
      </w:r>
    </w:p>
    <w:p w14:paraId="2ACB635D">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z w:val="24"/>
          <w:szCs w:val="24"/>
        </w:rPr>
      </w:pPr>
      <w:r>
        <w:rPr>
          <w:rFonts w:ascii="Times New Roman" w:hAnsi="Times New Roman" w:eastAsia="方正仿宋_GB2312" w:cs="Times New Roman"/>
          <w:spacing w:val="-6"/>
          <w:sz w:val="24"/>
          <w:szCs w:val="24"/>
        </w:rPr>
        <w:t>(8)其他合同文件。</w:t>
      </w:r>
    </w:p>
    <w:p w14:paraId="20BDEE5B">
      <w:pPr>
        <w:pStyle w:val="4"/>
        <w:widowControl/>
        <w:kinsoku w:val="0"/>
        <w:autoSpaceDE w:val="0"/>
        <w:autoSpaceDN w:val="0"/>
        <w:adjustRightInd w:val="0"/>
        <w:snapToGrid w:val="0"/>
        <w:spacing w:before="258" w:line="400" w:lineRule="exact"/>
        <w:ind w:left="2"/>
        <w:textAlignment w:val="baseline"/>
        <w:outlineLvl w:val="0"/>
        <w:rPr>
          <w:rFonts w:ascii="Times New Roman" w:hAnsi="Times New Roman" w:eastAsia="方正仿宋_GB2312" w:cs="Times New Roman"/>
          <w:sz w:val="24"/>
          <w:szCs w:val="24"/>
        </w:rPr>
      </w:pPr>
      <w:r>
        <w:rPr>
          <w:rFonts w:ascii="Times New Roman" w:hAnsi="Times New Roman" w:eastAsia="方正仿宋_GB2312" w:cs="Times New Roman"/>
          <w:b/>
          <w:bCs/>
          <w:spacing w:val="-2"/>
          <w:sz w:val="24"/>
          <w:szCs w:val="24"/>
        </w:rPr>
        <w:t>1</w:t>
      </w:r>
      <w:r>
        <w:rPr>
          <w:rFonts w:ascii="Times New Roman" w:hAnsi="Times New Roman" w:eastAsia="方正仿宋_GB2312" w:cs="Times New Roman"/>
          <w:b/>
          <w:bCs/>
          <w:spacing w:val="-2"/>
          <w:sz w:val="24"/>
          <w:szCs w:val="24"/>
          <w:lang w:eastAsia="zh-CN"/>
        </w:rPr>
        <w:t>2、</w:t>
      </w:r>
      <w:r>
        <w:rPr>
          <w:rFonts w:ascii="Times New Roman" w:hAnsi="Times New Roman" w:eastAsia="方正仿宋_GB2312" w:cs="Times New Roman"/>
          <w:b/>
          <w:bCs/>
          <w:spacing w:val="-2"/>
          <w:sz w:val="24"/>
          <w:szCs w:val="24"/>
        </w:rPr>
        <w:t>合同生效</w:t>
      </w:r>
    </w:p>
    <w:p w14:paraId="64664C65">
      <w:pPr>
        <w:pStyle w:val="4"/>
        <w:widowControl/>
        <w:kinsoku w:val="0"/>
        <w:autoSpaceDE w:val="0"/>
        <w:autoSpaceDN w:val="0"/>
        <w:adjustRightInd w:val="0"/>
        <w:snapToGrid w:val="0"/>
        <w:spacing w:before="110" w:line="400" w:lineRule="exact"/>
        <w:textAlignment w:val="baseline"/>
        <w:rPr>
          <w:rFonts w:ascii="Times New Roman" w:hAnsi="Times New Roman" w:eastAsia="方正仿宋_GB2312" w:cs="Times New Roman"/>
          <w:sz w:val="24"/>
          <w:szCs w:val="24"/>
        </w:rPr>
      </w:pPr>
      <w:r>
        <w:rPr>
          <w:rFonts w:ascii="Times New Roman" w:hAnsi="Times New Roman" w:eastAsia="方正仿宋_GB2312" w:cs="Times New Roman"/>
          <w:spacing w:val="1"/>
          <w:sz w:val="24"/>
          <w:szCs w:val="24"/>
        </w:rPr>
        <w:t>本合同自</w:t>
      </w:r>
      <w:r>
        <w:rPr>
          <w:rFonts w:ascii="Times New Roman" w:hAnsi="Times New Roman" w:eastAsia="方正仿宋_GB2312" w:cs="Times New Roman"/>
          <w:spacing w:val="1"/>
          <w:sz w:val="24"/>
          <w:szCs w:val="24"/>
          <w:u w:val="single"/>
        </w:rPr>
        <w:t>202</w:t>
      </w:r>
      <w:r>
        <w:rPr>
          <w:rFonts w:hint="eastAsia" w:ascii="Times New Roman" w:hAnsi="Times New Roman" w:eastAsia="方正仿宋_GB2312" w:cs="Times New Roman"/>
          <w:spacing w:val="1"/>
          <w:sz w:val="24"/>
          <w:szCs w:val="24"/>
          <w:u w:val="single"/>
          <w:lang w:val="en-US" w:eastAsia="zh-CN"/>
        </w:rPr>
        <w:t>5</w:t>
      </w:r>
      <w:r>
        <w:rPr>
          <w:rFonts w:ascii="Times New Roman" w:hAnsi="Times New Roman" w:eastAsia="方正仿宋_GB2312" w:cs="Times New Roman"/>
          <w:spacing w:val="1"/>
          <w:sz w:val="24"/>
          <w:szCs w:val="24"/>
          <w:u w:val="single"/>
        </w:rPr>
        <w:t>年7月1</w:t>
      </w:r>
      <w:r>
        <w:rPr>
          <w:rFonts w:ascii="Times New Roman" w:hAnsi="Times New Roman" w:eastAsia="方正仿宋_GB2312" w:cs="Times New Roman"/>
          <w:spacing w:val="1"/>
          <w:sz w:val="24"/>
          <w:szCs w:val="24"/>
          <w:u w:val="single"/>
          <w:lang w:eastAsia="zh-CN"/>
        </w:rPr>
        <w:t>3</w:t>
      </w:r>
      <w:r>
        <w:rPr>
          <w:rFonts w:ascii="Times New Roman" w:hAnsi="Times New Roman" w:eastAsia="方正仿宋_GB2312" w:cs="Times New Roman"/>
          <w:spacing w:val="1"/>
          <w:sz w:val="24"/>
          <w:szCs w:val="24"/>
          <w:u w:val="single"/>
        </w:rPr>
        <w:t>日生</w:t>
      </w:r>
      <w:r>
        <w:rPr>
          <w:rFonts w:ascii="Times New Roman" w:hAnsi="Times New Roman" w:eastAsia="方正仿宋_GB2312" w:cs="Times New Roman"/>
          <w:spacing w:val="1"/>
          <w:sz w:val="24"/>
          <w:szCs w:val="24"/>
        </w:rPr>
        <w:t>效</w:t>
      </w:r>
    </w:p>
    <w:p w14:paraId="5CC28CCA">
      <w:pPr>
        <w:pStyle w:val="4"/>
        <w:widowControl/>
        <w:kinsoku w:val="0"/>
        <w:autoSpaceDE w:val="0"/>
        <w:autoSpaceDN w:val="0"/>
        <w:adjustRightInd w:val="0"/>
        <w:snapToGrid w:val="0"/>
        <w:spacing w:before="258" w:line="400" w:lineRule="exact"/>
        <w:ind w:left="2"/>
        <w:textAlignment w:val="baseline"/>
        <w:outlineLvl w:val="0"/>
        <w:rPr>
          <w:rFonts w:ascii="Times New Roman" w:hAnsi="Times New Roman" w:eastAsia="方正仿宋_GB2312" w:cs="Times New Roman"/>
          <w:b/>
          <w:bCs/>
          <w:spacing w:val="-2"/>
          <w:sz w:val="24"/>
          <w:szCs w:val="24"/>
        </w:rPr>
      </w:pPr>
      <w:r>
        <w:rPr>
          <w:rFonts w:ascii="Times New Roman" w:hAnsi="Times New Roman" w:eastAsia="方正仿宋_GB2312" w:cs="Times New Roman"/>
          <w:b/>
          <w:bCs/>
          <w:spacing w:val="-2"/>
          <w:sz w:val="24"/>
          <w:szCs w:val="24"/>
        </w:rPr>
        <w:t>1</w:t>
      </w:r>
      <w:r>
        <w:rPr>
          <w:rFonts w:ascii="Times New Roman" w:hAnsi="Times New Roman" w:eastAsia="方正仿宋_GB2312" w:cs="Times New Roman"/>
          <w:b/>
          <w:bCs/>
          <w:spacing w:val="-2"/>
          <w:sz w:val="24"/>
          <w:szCs w:val="24"/>
          <w:lang w:eastAsia="zh-CN"/>
        </w:rPr>
        <w:t>3、</w:t>
      </w:r>
      <w:r>
        <w:rPr>
          <w:rFonts w:ascii="Times New Roman" w:hAnsi="Times New Roman" w:eastAsia="方正仿宋_GB2312" w:cs="Times New Roman"/>
          <w:b/>
          <w:bCs/>
          <w:spacing w:val="-2"/>
          <w:sz w:val="24"/>
          <w:szCs w:val="24"/>
        </w:rPr>
        <w:t>不可抗力</w:t>
      </w:r>
    </w:p>
    <w:p w14:paraId="0865C6E5">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由于不可抗力的原因不能履行合同时，应及时向对方通报不能履行或不能完全履行的理由，在收到有关权威</w:t>
      </w:r>
      <w:r>
        <w:rPr>
          <w:rFonts w:ascii="Times New Roman" w:hAnsi="Times New Roman" w:eastAsia="方正仿宋_GB2312" w:cs="Times New Roman"/>
          <w:color w:val="FF0000"/>
          <w:spacing w:val="3"/>
          <w:sz w:val="24"/>
          <w:szCs w:val="24"/>
          <w:lang w:eastAsia="zh-CN"/>
        </w:rPr>
        <w:t>部</w:t>
      </w:r>
      <w:r>
        <w:rPr>
          <w:rFonts w:hint="eastAsia" w:ascii="Times New Roman" w:hAnsi="Times New Roman" w:eastAsia="方正仿宋_GB2312" w:cs="Times New Roman"/>
          <w:color w:val="FF0000"/>
          <w:spacing w:val="3"/>
          <w:sz w:val="24"/>
          <w:szCs w:val="24"/>
          <w:lang w:val="en-US" w:eastAsia="zh-CN"/>
        </w:rPr>
        <w:t>门</w:t>
      </w:r>
      <w:r>
        <w:rPr>
          <w:rFonts w:ascii="Times New Roman" w:hAnsi="Times New Roman" w:eastAsia="方正仿宋_GB2312" w:cs="Times New Roman"/>
          <w:spacing w:val="3"/>
          <w:sz w:val="24"/>
          <w:szCs w:val="24"/>
          <w:lang w:eastAsia="zh-CN"/>
        </w:rPr>
        <w:t>的证明以后，允许延期履行、</w:t>
      </w:r>
      <w:r>
        <w:rPr>
          <w:rFonts w:hint="eastAsia" w:ascii="Times New Roman" w:hAnsi="Times New Roman" w:eastAsia="方正仿宋_GB2312" w:cs="Times New Roman"/>
          <w:color w:val="FF0000"/>
          <w:spacing w:val="3"/>
          <w:sz w:val="24"/>
          <w:szCs w:val="24"/>
          <w:lang w:val="en-US" w:eastAsia="zh-CN"/>
        </w:rPr>
        <w:t>部</w:t>
      </w:r>
      <w:r>
        <w:rPr>
          <w:rFonts w:ascii="Times New Roman" w:hAnsi="Times New Roman" w:eastAsia="方正仿宋_GB2312" w:cs="Times New Roman"/>
          <w:color w:val="FF0000"/>
          <w:spacing w:val="3"/>
          <w:sz w:val="24"/>
          <w:szCs w:val="24"/>
          <w:lang w:eastAsia="zh-CN"/>
        </w:rPr>
        <w:t>分</w:t>
      </w:r>
      <w:r>
        <w:rPr>
          <w:rFonts w:ascii="Times New Roman" w:hAnsi="Times New Roman" w:eastAsia="方正仿宋_GB2312" w:cs="Times New Roman"/>
          <w:spacing w:val="3"/>
          <w:sz w:val="24"/>
          <w:szCs w:val="24"/>
          <w:lang w:eastAsia="zh-CN"/>
        </w:rPr>
        <w:t>履行或者不履行合同，并根据情况可部分或全部免于违约责任。</w:t>
      </w:r>
    </w:p>
    <w:p w14:paraId="0B607B09">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13.1采购文件(含补充、修改文件);</w:t>
      </w:r>
    </w:p>
    <w:p w14:paraId="5A14B270">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13.2乙方的投标文件(含澄清、补充文件);</w:t>
      </w:r>
    </w:p>
    <w:p w14:paraId="6D5D559B">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13.3《长沙市开福区市容环境卫生维护中心劳务派遣月考核内容及扣分标准》;</w:t>
      </w:r>
    </w:p>
    <w:p w14:paraId="4B74FBEA">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13.4 因特殊情况，双方协商一致后签订的补充协议。</w:t>
      </w:r>
    </w:p>
    <w:p w14:paraId="37EF2A64">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b/>
          <w:bCs/>
          <w:spacing w:val="-2"/>
          <w:sz w:val="24"/>
          <w:szCs w:val="24"/>
          <w:lang w:eastAsia="zh-CN"/>
        </w:rPr>
      </w:pPr>
      <w:r>
        <w:rPr>
          <w:rFonts w:ascii="Times New Roman" w:hAnsi="Times New Roman" w:eastAsia="方正仿宋_GB2312" w:cs="Times New Roman"/>
          <w:b/>
          <w:bCs/>
          <w:spacing w:val="-2"/>
          <w:sz w:val="24"/>
          <w:szCs w:val="24"/>
          <w:lang w:eastAsia="zh-CN"/>
        </w:rPr>
        <w:t>14、 其它事项</w:t>
      </w:r>
    </w:p>
    <w:p w14:paraId="210062AF">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14.1乙方被依法宣告破产、吊销营业执照、责令关闭、撤销、决定提前解散或者经营期限届满不继续经营的，乙方应书面通知甲方终止合同，在甲方而未收到乙方终止合同书面通知时，甲方亦可书面通知乙方终止合同。</w:t>
      </w:r>
    </w:p>
    <w:p w14:paraId="41F73E4E">
      <w:pPr>
        <w:pStyle w:val="4"/>
        <w:widowControl/>
        <w:kinsoku w:val="0"/>
        <w:autoSpaceDE w:val="0"/>
        <w:autoSpaceDN w:val="0"/>
        <w:adjustRightInd w:val="0"/>
        <w:snapToGrid w:val="0"/>
        <w:spacing w:line="400" w:lineRule="exact"/>
        <w:textAlignment w:val="baseline"/>
        <w:rPr>
          <w:rFonts w:ascii="Times New Roman" w:hAnsi="Times New Roman" w:eastAsia="方正仿宋_GB2312" w:cs="Times New Roman"/>
          <w:spacing w:val="3"/>
          <w:sz w:val="24"/>
          <w:szCs w:val="24"/>
          <w:lang w:eastAsia="zh-CN"/>
        </w:rPr>
      </w:pPr>
      <w:r>
        <w:rPr>
          <w:rFonts w:ascii="Times New Roman" w:hAnsi="Times New Roman" w:eastAsia="方正仿宋_GB2312" w:cs="Times New Roman"/>
          <w:spacing w:val="3"/>
          <w:sz w:val="24"/>
          <w:szCs w:val="24"/>
          <w:lang w:eastAsia="zh-CN"/>
        </w:rPr>
        <w:t>14.2本合同履行期间，如遇不可抗力，致使合同无法履行时，双方各自承担自有损失且均不承担违约责任，并按有关法律法规政策规定及时协商处理。</w:t>
      </w:r>
    </w:p>
    <w:p w14:paraId="2AA2244F">
      <w:pPr>
        <w:widowControl/>
        <w:kinsoku w:val="0"/>
        <w:autoSpaceDE w:val="0"/>
        <w:autoSpaceDN w:val="0"/>
        <w:adjustRightInd w:val="0"/>
        <w:snapToGrid w:val="0"/>
        <w:spacing w:before="272" w:line="400" w:lineRule="exact"/>
        <w:textAlignment w:val="baseline"/>
        <w:outlineLvl w:val="0"/>
        <w:rPr>
          <w:rFonts w:ascii="Times New Roman" w:hAnsi="Times New Roman" w:eastAsia="方正仿宋_GB2312" w:cs="Times New Roman"/>
          <w:sz w:val="24"/>
        </w:rPr>
      </w:pPr>
      <w:r>
        <w:rPr>
          <w:rFonts w:ascii="Times New Roman" w:hAnsi="Times New Roman" w:eastAsia="方正仿宋_GB2312" w:cs="Times New Roman"/>
          <w:b/>
          <w:bCs/>
          <w:spacing w:val="-6"/>
          <w:sz w:val="24"/>
        </w:rPr>
        <w:t>15、合同份数及生效</w:t>
      </w:r>
    </w:p>
    <w:p w14:paraId="41BF9AFD">
      <w:pPr>
        <w:pStyle w:val="4"/>
        <w:widowControl/>
        <w:kinsoku w:val="0"/>
        <w:autoSpaceDE w:val="0"/>
        <w:autoSpaceDN w:val="0"/>
        <w:adjustRightInd w:val="0"/>
        <w:snapToGrid w:val="0"/>
        <w:spacing w:line="400" w:lineRule="exact"/>
        <w:ind w:firstLine="480" w:firstLineChars="200"/>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本合同一式肆份，甲方贰份，乙方贰份，本合同经甲、乙双方签字盖章后生效。</w:t>
      </w:r>
    </w:p>
    <w:p w14:paraId="7C5E219A">
      <w:pPr>
        <w:pStyle w:val="4"/>
        <w:widowControl/>
        <w:kinsoku w:val="0"/>
        <w:autoSpaceDE w:val="0"/>
        <w:autoSpaceDN w:val="0"/>
        <w:adjustRightInd w:val="0"/>
        <w:snapToGrid w:val="0"/>
        <w:spacing w:before="63" w:line="400" w:lineRule="exact"/>
        <w:textAlignment w:val="baseline"/>
        <w:rPr>
          <w:rFonts w:ascii="Times New Roman" w:hAnsi="Times New Roman" w:eastAsia="方正仿宋_GB2312" w:cs="Times New Roman"/>
          <w:b/>
          <w:bCs/>
          <w:spacing w:val="-22"/>
          <w:sz w:val="24"/>
          <w:szCs w:val="24"/>
          <w:lang w:eastAsia="zh-CN"/>
        </w:rPr>
      </w:pPr>
    </w:p>
    <w:p w14:paraId="54A8AC8E">
      <w:pPr>
        <w:pStyle w:val="4"/>
        <w:widowControl/>
        <w:kinsoku w:val="0"/>
        <w:autoSpaceDE w:val="0"/>
        <w:autoSpaceDN w:val="0"/>
        <w:adjustRightInd w:val="0"/>
        <w:snapToGrid w:val="0"/>
        <w:spacing w:before="63" w:line="400" w:lineRule="exact"/>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b/>
          <w:bCs/>
          <w:spacing w:val="-22"/>
          <w:sz w:val="24"/>
          <w:szCs w:val="24"/>
          <w:lang w:eastAsia="zh-CN"/>
        </w:rPr>
        <w:t>注：政府采购合同的双方不得擅自变更、中止或者终止合同。</w:t>
      </w:r>
      <w:r>
        <w:rPr>
          <w:rFonts w:ascii="Times New Roman" w:hAnsi="Times New Roman" w:eastAsia="方正仿宋_GB2312" w:cs="Times New Roman"/>
          <w:b/>
          <w:bCs/>
          <w:spacing w:val="2"/>
          <w:sz w:val="24"/>
          <w:szCs w:val="24"/>
          <w:lang w:eastAsia="zh-CN"/>
        </w:rPr>
        <w:t xml:space="preserve">      </w:t>
      </w:r>
      <w:r>
        <w:rPr>
          <w:rFonts w:ascii="Times New Roman" w:hAnsi="Times New Roman" w:eastAsia="方正仿宋_GB2312" w:cs="Times New Roman"/>
          <w:spacing w:val="2"/>
          <w:sz w:val="24"/>
          <w:szCs w:val="24"/>
          <w:lang w:eastAsia="zh-CN"/>
        </w:rPr>
        <w:t xml:space="preserve">         </w:t>
      </w:r>
    </w:p>
    <w:p w14:paraId="6EB7A434">
      <w:pPr>
        <w:pStyle w:val="4"/>
        <w:widowControl/>
        <w:kinsoku w:val="0"/>
        <w:autoSpaceDE w:val="0"/>
        <w:autoSpaceDN w:val="0"/>
        <w:adjustRightInd w:val="0"/>
        <w:snapToGrid w:val="0"/>
        <w:spacing w:line="400" w:lineRule="exact"/>
        <w:ind w:firstLine="480" w:firstLineChars="200"/>
        <w:textAlignment w:val="baseline"/>
        <w:rPr>
          <w:rFonts w:ascii="Times New Roman" w:hAnsi="Times New Roman" w:eastAsia="方正仿宋_GB2312" w:cs="Times New Roman"/>
          <w:sz w:val="24"/>
          <w:szCs w:val="24"/>
          <w:lang w:eastAsia="zh-CN"/>
        </w:rPr>
      </w:pPr>
      <w:r>
        <w:rPr>
          <w:rFonts w:ascii="Times New Roman" w:hAnsi="Times New Roman" w:eastAsia="方正仿宋_GB2312" w:cs="Times New Roman"/>
          <w:sz w:val="24"/>
          <w:szCs w:val="24"/>
          <w:lang w:eastAsia="zh-CN"/>
        </w:rPr>
        <w:t>政府采购合同继续履行将损害国家利益和社会</w:t>
      </w:r>
      <w:r>
        <w:rPr>
          <w:rFonts w:ascii="Times New Roman" w:hAnsi="Times New Roman" w:eastAsia="方正仿宋_GB2312" w:cs="Times New Roman"/>
          <w:spacing w:val="-1"/>
          <w:sz w:val="24"/>
          <w:szCs w:val="24"/>
          <w:lang w:eastAsia="zh-CN"/>
        </w:rPr>
        <w:t>公共利益的，双方当事人应当变更、中止或者终止合同。有过错的一方应当承担赔偿责任，双方都有过错</w:t>
      </w:r>
      <w:r>
        <w:rPr>
          <w:rFonts w:ascii="Times New Roman" w:hAnsi="Times New Roman" w:eastAsia="方正仿宋_GB2312" w:cs="Times New Roman"/>
          <w:spacing w:val="-4"/>
          <w:sz w:val="24"/>
          <w:szCs w:val="24"/>
          <w:lang w:eastAsia="zh-CN"/>
        </w:rPr>
        <w:t>的，各自承担相应的责任。</w:t>
      </w:r>
    </w:p>
    <w:p w14:paraId="7CB1770F">
      <w:pPr>
        <w:pStyle w:val="11"/>
        <w:spacing w:line="500" w:lineRule="exact"/>
        <w:ind w:firstLine="0" w:firstLineChars="0"/>
        <w:rPr>
          <w:rFonts w:ascii="Times New Roman" w:eastAsia="方正仿宋_GB2312"/>
          <w:sz w:val="28"/>
          <w:szCs w:val="28"/>
        </w:rPr>
      </w:pPr>
    </w:p>
    <w:p w14:paraId="5D2FF0E0">
      <w:pPr>
        <w:rPr>
          <w:rFonts w:ascii="Times New Roman" w:hAnsi="Times New Roman" w:eastAsia="方正仿宋_GB2312" w:cs="Times New Roman"/>
          <w:sz w:val="28"/>
          <w:szCs w:val="28"/>
        </w:rPr>
      </w:pPr>
    </w:p>
    <w:p w14:paraId="6CF5D553">
      <w:pPr>
        <w:rPr>
          <w:rFonts w:ascii="Times New Roman" w:hAnsi="Times New Roman" w:eastAsia="方正仿宋_GB2312" w:cs="Times New Roman"/>
          <w:sz w:val="28"/>
          <w:szCs w:val="28"/>
        </w:rPr>
      </w:pPr>
    </w:p>
    <w:p w14:paraId="018B0C1E">
      <w:pPr>
        <w:pStyle w:val="11"/>
        <w:spacing w:line="500" w:lineRule="exact"/>
        <w:ind w:firstLine="0" w:firstLineChars="0"/>
        <w:jc w:val="left"/>
        <w:rPr>
          <w:rFonts w:ascii="Times New Roman" w:eastAsia="方正仿宋_GB2312"/>
          <w:sz w:val="28"/>
          <w:szCs w:val="28"/>
        </w:rPr>
      </w:pPr>
      <w:r>
        <w:rPr>
          <w:rFonts w:ascii="Times New Roman" w:eastAsia="方正仿宋_GB2312"/>
          <w:sz w:val="32"/>
          <w:szCs w:val="32"/>
        </w:rPr>
        <w:t>附件：</w:t>
      </w:r>
    </w:p>
    <w:p w14:paraId="698E91DC">
      <w:pPr>
        <w:rPr>
          <w:rFonts w:ascii="Times New Roman" w:hAnsi="Times New Roman" w:eastAsia="方正仿宋_GB2312" w:cs="Times New Roman"/>
          <w:sz w:val="28"/>
          <w:szCs w:val="28"/>
        </w:rPr>
      </w:pPr>
    </w:p>
    <w:p w14:paraId="009499CE">
      <w:pPr>
        <w:pStyle w:val="11"/>
        <w:spacing w:line="500" w:lineRule="exact"/>
        <w:ind w:firstLine="0" w:firstLineChars="0"/>
        <w:jc w:val="center"/>
        <w:rPr>
          <w:rFonts w:ascii="Times New Roman" w:eastAsia="方正仿宋_GB2312"/>
          <w:sz w:val="28"/>
          <w:szCs w:val="28"/>
        </w:rPr>
      </w:pPr>
      <w:r>
        <w:rPr>
          <w:rFonts w:ascii="Times New Roman" w:eastAsia="方正仿宋_GB2312"/>
          <w:sz w:val="28"/>
          <w:szCs w:val="28"/>
        </w:rPr>
        <w:t>长沙市开福区市容环境卫生维护中心劳务派遣月考核内容及扣分标准</w:t>
      </w:r>
    </w:p>
    <w:tbl>
      <w:tblPr>
        <w:tblStyle w:val="8"/>
        <w:tblW w:w="9856" w:type="dxa"/>
        <w:jc w:val="center"/>
        <w:tblLayout w:type="fixed"/>
        <w:tblCellMar>
          <w:top w:w="0" w:type="dxa"/>
          <w:left w:w="108" w:type="dxa"/>
          <w:bottom w:w="0" w:type="dxa"/>
          <w:right w:w="108" w:type="dxa"/>
        </w:tblCellMar>
      </w:tblPr>
      <w:tblGrid>
        <w:gridCol w:w="589"/>
        <w:gridCol w:w="1456"/>
        <w:gridCol w:w="4229"/>
        <w:gridCol w:w="1388"/>
        <w:gridCol w:w="1264"/>
        <w:gridCol w:w="930"/>
      </w:tblGrid>
      <w:tr w14:paraId="19B69FA8">
        <w:tblPrEx>
          <w:tblCellMar>
            <w:top w:w="0" w:type="dxa"/>
            <w:left w:w="108" w:type="dxa"/>
            <w:bottom w:w="0" w:type="dxa"/>
            <w:right w:w="108" w:type="dxa"/>
          </w:tblCellMar>
        </w:tblPrEx>
        <w:trPr>
          <w:trHeight w:val="444" w:hRule="atLeast"/>
          <w:jc w:val="center"/>
        </w:trPr>
        <w:tc>
          <w:tcPr>
            <w:tcW w:w="58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B03BD93">
            <w:pPr>
              <w:jc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序号</w:t>
            </w:r>
          </w:p>
        </w:tc>
        <w:tc>
          <w:tcPr>
            <w:tcW w:w="1456"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14A9E57">
            <w:pPr>
              <w:widowControl/>
              <w:jc w:val="center"/>
              <w:textAlignment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项目</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5F5FCCC">
            <w:pPr>
              <w:widowControl/>
              <w:jc w:val="center"/>
              <w:textAlignment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考核内容</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1ECD2BB">
            <w:pPr>
              <w:widowControl/>
              <w:jc w:val="center"/>
              <w:textAlignment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考核责任部门</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9B3B8D6">
            <w:pPr>
              <w:widowControl/>
              <w:jc w:val="center"/>
              <w:textAlignment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扣分标准（分）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3BF691B">
            <w:pPr>
              <w:widowControl/>
              <w:jc w:val="center"/>
              <w:textAlignment w:val="center"/>
              <w:rPr>
                <w:rFonts w:ascii="Times New Roman" w:hAnsi="Times New Roman" w:eastAsia="方正仿宋_GB2312" w:cs="Times New Roman"/>
                <w:b/>
                <w:color w:val="000000"/>
                <w:szCs w:val="21"/>
              </w:rPr>
            </w:pPr>
            <w:r>
              <w:rPr>
                <w:rFonts w:ascii="Times New Roman" w:hAnsi="Times New Roman" w:eastAsia="方正仿宋_GB2312" w:cs="Times New Roman"/>
                <w:b/>
                <w:color w:val="000000"/>
                <w:kern w:val="0"/>
                <w:szCs w:val="21"/>
              </w:rPr>
              <w:t>备注</w:t>
            </w:r>
          </w:p>
        </w:tc>
      </w:tr>
      <w:tr w14:paraId="11D3AD37">
        <w:tblPrEx>
          <w:tblCellMar>
            <w:top w:w="0" w:type="dxa"/>
            <w:left w:w="108" w:type="dxa"/>
            <w:bottom w:w="0" w:type="dxa"/>
            <w:right w:w="108" w:type="dxa"/>
          </w:tblCellMar>
        </w:tblPrEx>
        <w:trPr>
          <w:trHeight w:val="693" w:hRule="atLeast"/>
          <w:jc w:val="center"/>
        </w:trPr>
        <w:tc>
          <w:tcPr>
            <w:tcW w:w="58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5ABBE33">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1</w:t>
            </w:r>
          </w:p>
        </w:tc>
        <w:tc>
          <w:tcPr>
            <w:tcW w:w="1456"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8448467">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人员管理</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4C33BC6">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根据岗位需要及时招聘派遣人员，并传达最新政策法规和动态信息，组织员工办理入职体检，及时缴纳保险和商业险，保证派遣员工提供的基本信息真实有效。</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F495484">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各用工部门</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9CE0EDF">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每人缺少一项扣1分；提供虚假资料的扣2分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D33DB13">
            <w:pPr>
              <w:jc w:val="left"/>
              <w:rPr>
                <w:rFonts w:ascii="Times New Roman" w:hAnsi="Times New Roman" w:eastAsia="方正仿宋_GB2312" w:cs="Times New Roman"/>
                <w:b/>
                <w:color w:val="000000"/>
                <w:szCs w:val="21"/>
              </w:rPr>
            </w:pPr>
          </w:p>
        </w:tc>
      </w:tr>
      <w:tr w14:paraId="44AEE250">
        <w:tblPrEx>
          <w:tblCellMar>
            <w:top w:w="0" w:type="dxa"/>
            <w:left w:w="108" w:type="dxa"/>
            <w:bottom w:w="0" w:type="dxa"/>
            <w:right w:w="108" w:type="dxa"/>
          </w:tblCellMar>
        </w:tblPrEx>
        <w:trPr>
          <w:trHeight w:val="513" w:hRule="atLeast"/>
          <w:jc w:val="center"/>
        </w:trPr>
        <w:tc>
          <w:tcPr>
            <w:tcW w:w="58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25D38F8">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2</w:t>
            </w:r>
          </w:p>
        </w:tc>
        <w:tc>
          <w:tcPr>
            <w:tcW w:w="1456"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FA4CEBA">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员工培训</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BF14707">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依据岗位特点组织员工开展岗前和在岗培训，主要对业务、安全知识及工作要求进行培训，每月对用工部门开展一次安全教育活动，并做好相关资料。                                      </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43E6B95">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各用工部门          车辆安技科       </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CBBEE43">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每项扣1分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2209B3D">
            <w:pPr>
              <w:jc w:val="left"/>
              <w:rPr>
                <w:rFonts w:ascii="Times New Roman" w:hAnsi="Times New Roman" w:eastAsia="方正仿宋_GB2312" w:cs="Times New Roman"/>
                <w:b/>
                <w:color w:val="000000"/>
                <w:szCs w:val="21"/>
              </w:rPr>
            </w:pPr>
          </w:p>
        </w:tc>
      </w:tr>
      <w:tr w14:paraId="1C7E2F85">
        <w:tblPrEx>
          <w:tblCellMar>
            <w:top w:w="0" w:type="dxa"/>
            <w:left w:w="108" w:type="dxa"/>
            <w:bottom w:w="0" w:type="dxa"/>
            <w:right w:w="108" w:type="dxa"/>
          </w:tblCellMar>
        </w:tblPrEx>
        <w:trPr>
          <w:cantSplit/>
          <w:trHeight w:val="513" w:hRule="atLeast"/>
          <w:jc w:val="center"/>
        </w:trPr>
        <w:tc>
          <w:tcPr>
            <w:tcW w:w="58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E130BD3">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3</w:t>
            </w:r>
          </w:p>
        </w:tc>
        <w:tc>
          <w:tcPr>
            <w:tcW w:w="145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5F06C7F">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工资管理</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468D564">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劳务派遣员工工资表中的个人保险部分由劳务派遣公司每月2日前（节假日除外）以电子档的形式，报中心人事劳资科。</w:t>
            </w:r>
          </w:p>
        </w:tc>
        <w:tc>
          <w:tcPr>
            <w:tcW w:w="1388"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72FC485">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人事劳资科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1BCE6D8">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延迟一天扣1分，依此类推</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E70BBCC">
            <w:pPr>
              <w:jc w:val="left"/>
              <w:rPr>
                <w:rFonts w:ascii="Times New Roman" w:hAnsi="Times New Roman" w:eastAsia="方正仿宋_GB2312" w:cs="Times New Roman"/>
                <w:b/>
                <w:color w:val="000000"/>
                <w:szCs w:val="21"/>
              </w:rPr>
            </w:pPr>
          </w:p>
        </w:tc>
      </w:tr>
      <w:tr w14:paraId="42932714">
        <w:tblPrEx>
          <w:tblCellMar>
            <w:top w:w="0" w:type="dxa"/>
            <w:left w:w="108" w:type="dxa"/>
            <w:bottom w:w="0" w:type="dxa"/>
            <w:right w:w="108" w:type="dxa"/>
          </w:tblCellMar>
        </w:tblPrEx>
        <w:trPr>
          <w:cantSplit/>
          <w:trHeight w:val="513"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288D8B75">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37BAA162">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F4E0E76">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劳务派遣公司收到工资表核对无误后，于每月9日前（节假日除外）开具发票，并办好相关审批手续，报中心人事劳资科。</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6C855D9C">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D3A1DB6">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延迟一天扣1分，依此类推</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EA8A824">
            <w:pPr>
              <w:jc w:val="left"/>
              <w:rPr>
                <w:rFonts w:ascii="Times New Roman" w:hAnsi="Times New Roman" w:eastAsia="方正仿宋_GB2312" w:cs="Times New Roman"/>
                <w:b/>
                <w:color w:val="000000"/>
                <w:szCs w:val="21"/>
              </w:rPr>
            </w:pPr>
          </w:p>
        </w:tc>
      </w:tr>
      <w:tr w14:paraId="2CB66A30">
        <w:tblPrEx>
          <w:tblCellMar>
            <w:top w:w="0" w:type="dxa"/>
            <w:left w:w="108" w:type="dxa"/>
            <w:bottom w:w="0" w:type="dxa"/>
            <w:right w:w="108" w:type="dxa"/>
          </w:tblCellMar>
        </w:tblPrEx>
        <w:trPr>
          <w:cantSplit/>
          <w:trHeight w:val="499"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0DC531A8">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3D262FD4">
            <w:pPr>
              <w:widowControl/>
              <w:jc w:val="left"/>
              <w:rPr>
                <w:rFonts w:ascii="Times New Roman" w:hAnsi="Times New Roman" w:eastAsia="方正仿宋_GB2312" w:cs="Times New Roman"/>
                <w:color w:val="000000"/>
                <w:szCs w:val="21"/>
              </w:rPr>
            </w:pPr>
          </w:p>
        </w:tc>
        <w:tc>
          <w:tcPr>
            <w:tcW w:w="4229" w:type="dxa"/>
            <w:tcBorders>
              <w:top w:val="nil"/>
              <w:left w:val="single" w:color="000000" w:sz="4" w:space="0"/>
              <w:bottom w:val="nil"/>
              <w:right w:val="single" w:color="000000" w:sz="4" w:space="0"/>
            </w:tcBorders>
            <w:tcMar>
              <w:top w:w="15" w:type="dxa"/>
              <w:left w:w="15" w:type="dxa"/>
              <w:bottom w:w="15" w:type="dxa"/>
              <w:right w:w="15" w:type="dxa"/>
            </w:tcMar>
            <w:vAlign w:val="center"/>
          </w:tcPr>
          <w:p w14:paraId="16FA238A">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劳务派遣公司不得克扣用工部门按照劳务派遣协议支付给被派遣员工的劳动报酬，劳务派遣公司和用工部门不得私下向派遣员工收取任何费用。</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7D64EE9E">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C58230D">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每人次扣5分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02D40DF">
            <w:pPr>
              <w:jc w:val="left"/>
              <w:rPr>
                <w:rFonts w:ascii="Times New Roman" w:hAnsi="Times New Roman" w:eastAsia="方正仿宋_GB2312" w:cs="Times New Roman"/>
                <w:b/>
                <w:color w:val="000000"/>
                <w:szCs w:val="21"/>
              </w:rPr>
            </w:pPr>
          </w:p>
        </w:tc>
      </w:tr>
      <w:tr w14:paraId="2E54BB16">
        <w:tblPrEx>
          <w:tblCellMar>
            <w:top w:w="0" w:type="dxa"/>
            <w:left w:w="108" w:type="dxa"/>
            <w:bottom w:w="0" w:type="dxa"/>
            <w:right w:w="108" w:type="dxa"/>
          </w:tblCellMar>
        </w:tblPrEx>
        <w:trPr>
          <w:trHeight w:val="888" w:hRule="atLeast"/>
          <w:jc w:val="center"/>
        </w:trPr>
        <w:tc>
          <w:tcPr>
            <w:tcW w:w="58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68237FD">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4</w:t>
            </w:r>
          </w:p>
        </w:tc>
        <w:tc>
          <w:tcPr>
            <w:tcW w:w="1456"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161A83B">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员工保险费用及服务费管理</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9E9794A">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员工每月的保险费用及服务费，由劳务派遣公司于每月10日前（节假日除外）以电子档的形式，报中心人事劳资科核对人员和参险情况，每月20日前（节假日除外）开具发票，手续资料齐全，报中心财务科审核。       </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7CCAC77">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人事劳资科        财务科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B473A0E">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延时一天扣1分，依此类推；报送内容出现重大错误扣2分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9BBB978">
            <w:pPr>
              <w:jc w:val="left"/>
              <w:rPr>
                <w:rFonts w:ascii="Times New Roman" w:hAnsi="Times New Roman" w:eastAsia="方正仿宋_GB2312" w:cs="Times New Roman"/>
                <w:b/>
                <w:color w:val="000000"/>
                <w:szCs w:val="21"/>
              </w:rPr>
            </w:pPr>
          </w:p>
        </w:tc>
      </w:tr>
      <w:tr w14:paraId="59D2A463">
        <w:tblPrEx>
          <w:tblCellMar>
            <w:top w:w="0" w:type="dxa"/>
            <w:left w:w="108" w:type="dxa"/>
            <w:bottom w:w="0" w:type="dxa"/>
            <w:right w:w="108" w:type="dxa"/>
          </w:tblCellMar>
        </w:tblPrEx>
        <w:trPr>
          <w:cantSplit/>
          <w:trHeight w:val="521" w:hRule="atLeast"/>
          <w:jc w:val="center"/>
        </w:trPr>
        <w:tc>
          <w:tcPr>
            <w:tcW w:w="58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A3D44DC">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5</w:t>
            </w:r>
          </w:p>
        </w:tc>
        <w:tc>
          <w:tcPr>
            <w:tcW w:w="145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C61CD27">
            <w:pPr>
              <w:widowControl/>
              <w:jc w:val="center"/>
              <w:textAlignment w:val="center"/>
              <w:rPr>
                <w:rFonts w:ascii="Times New Roman" w:hAnsi="Times New Roman" w:eastAsia="方正仿宋_GB2312" w:cs="Times New Roman"/>
                <w:color w:val="FF0000"/>
                <w:szCs w:val="21"/>
              </w:rPr>
            </w:pPr>
            <w:r>
              <w:rPr>
                <w:rFonts w:ascii="Times New Roman" w:hAnsi="Times New Roman" w:eastAsia="方正仿宋_GB2312" w:cs="Times New Roman"/>
                <w:color w:val="FF0000"/>
                <w:kern w:val="0"/>
                <w:szCs w:val="21"/>
              </w:rPr>
              <w:t>入离职管理</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D814CEA">
            <w:pPr>
              <w:widowControl/>
              <w:jc w:val="left"/>
              <w:textAlignment w:val="center"/>
              <w:rPr>
                <w:rFonts w:ascii="Times New Roman" w:hAnsi="Times New Roman" w:eastAsia="方正仿宋_GB2312" w:cs="Times New Roman"/>
                <w:color w:val="FF0000"/>
                <w:szCs w:val="21"/>
              </w:rPr>
            </w:pPr>
            <w:r>
              <w:rPr>
                <w:rFonts w:hint="eastAsia" w:ascii="宋体" w:hAnsi="宋体" w:cs="宋体"/>
                <w:color w:val="FF0000"/>
                <w:kern w:val="0"/>
                <w:szCs w:val="21"/>
              </w:rPr>
              <w:t>劳务派遣公司不能按照用工部门要求及时提供劳务人员入职和办理</w:t>
            </w:r>
            <w:r>
              <w:rPr>
                <w:rFonts w:hint="eastAsia" w:ascii="宋体" w:hAnsi="宋体" w:cs="宋体"/>
                <w:color w:val="FF0000"/>
                <w:szCs w:val="21"/>
              </w:rPr>
              <w:t>试用期考核不合格、自愿辞职、不告而辞、违规违纪、合同到期终止等员工</w:t>
            </w:r>
            <w:r>
              <w:rPr>
                <w:rFonts w:hint="eastAsia" w:ascii="宋体" w:hAnsi="宋体" w:cs="宋体"/>
                <w:color w:val="FF0000"/>
                <w:kern w:val="0"/>
                <w:szCs w:val="21"/>
              </w:rPr>
              <w:t>的离职手续。</w:t>
            </w:r>
          </w:p>
        </w:tc>
        <w:tc>
          <w:tcPr>
            <w:tcW w:w="1388"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EE11E6C">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各用工部门 人事劳资科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7B6B2D4">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每人次扣1分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A92CECC">
            <w:pPr>
              <w:jc w:val="left"/>
              <w:rPr>
                <w:rFonts w:ascii="Times New Roman" w:hAnsi="Times New Roman" w:eastAsia="方正仿宋_GB2312" w:cs="Times New Roman"/>
                <w:b/>
                <w:color w:val="000000"/>
                <w:szCs w:val="21"/>
              </w:rPr>
            </w:pPr>
          </w:p>
        </w:tc>
      </w:tr>
      <w:tr w14:paraId="209FB836">
        <w:tblPrEx>
          <w:tblCellMar>
            <w:top w:w="0" w:type="dxa"/>
            <w:left w:w="108" w:type="dxa"/>
            <w:bottom w:w="0" w:type="dxa"/>
            <w:right w:w="108" w:type="dxa"/>
          </w:tblCellMar>
        </w:tblPrEx>
        <w:trPr>
          <w:cantSplit/>
          <w:trHeight w:val="459"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29E04378">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4EA72AAB">
            <w:pPr>
              <w:widowControl/>
              <w:jc w:val="left"/>
              <w:rPr>
                <w:rFonts w:ascii="Times New Roman" w:hAnsi="Times New Roman" w:eastAsia="方正仿宋_GB2312" w:cs="Times New Roman"/>
                <w:color w:val="FF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EDAC98D">
            <w:pPr>
              <w:widowControl/>
              <w:jc w:val="left"/>
              <w:textAlignment w:val="center"/>
              <w:rPr>
                <w:rFonts w:ascii="Times New Roman" w:hAnsi="Times New Roman" w:eastAsia="方正仿宋_GB2312" w:cs="Times New Roman"/>
                <w:color w:val="FF0000"/>
                <w:kern w:val="0"/>
                <w:szCs w:val="21"/>
              </w:rPr>
            </w:pPr>
            <w:r>
              <w:rPr>
                <w:rFonts w:hint="eastAsia" w:ascii="宋体" w:hAnsi="宋体" w:cs="宋体"/>
                <w:color w:val="FF0000"/>
                <w:kern w:val="0"/>
                <w:szCs w:val="21"/>
              </w:rPr>
              <w:t>已达到退休年龄并符合办理退休手续的员工，在规定时间内及时办理退休手续</w:t>
            </w:r>
            <w:r>
              <w:rPr>
                <w:rFonts w:hint="eastAsia" w:ascii="宋体" w:hAnsi="宋体" w:cs="宋体"/>
                <w:color w:val="FF0000"/>
                <w:kern w:val="0"/>
                <w:szCs w:val="21"/>
                <w:lang w:eastAsia="zh-CN"/>
              </w:rPr>
              <w:t>；</w:t>
            </w:r>
            <w:r>
              <w:rPr>
                <w:rFonts w:hint="eastAsia" w:ascii="宋体" w:hAnsi="宋体" w:cs="宋体"/>
                <w:color w:val="FF0000"/>
                <w:kern w:val="0"/>
                <w:szCs w:val="21"/>
                <w:lang w:val="en-US" w:eastAsia="zh-CN"/>
              </w:rPr>
              <w:t>对超高龄人员要逐年逐月清退，严控超龄人员数量。</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2DD9F237">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EE9A142">
            <w:pPr>
              <w:widowControl/>
              <w:jc w:val="center"/>
              <w:textAlignment w:val="center"/>
              <w:rPr>
                <w:rFonts w:ascii="Times New Roman" w:hAnsi="Times New Roman" w:eastAsia="方正仿宋_GB2312" w:cs="Times New Roman"/>
                <w:color w:val="000000"/>
                <w:kern w:val="0"/>
                <w:szCs w:val="21"/>
              </w:rPr>
            </w:pPr>
            <w:r>
              <w:rPr>
                <w:rFonts w:hint="eastAsia" w:ascii="宋体" w:hAnsi="宋体" w:cs="宋体"/>
                <w:color w:val="000000"/>
                <w:kern w:val="0"/>
                <w:szCs w:val="21"/>
              </w:rPr>
              <w:t>每人扣2分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CD152F4">
            <w:pPr>
              <w:jc w:val="left"/>
              <w:rPr>
                <w:rFonts w:ascii="Times New Roman" w:hAnsi="Times New Roman" w:eastAsia="方正仿宋_GB2312" w:cs="Times New Roman"/>
                <w:b/>
                <w:color w:val="000000"/>
                <w:szCs w:val="21"/>
              </w:rPr>
            </w:pPr>
          </w:p>
        </w:tc>
      </w:tr>
      <w:tr w14:paraId="7A08C90C">
        <w:tblPrEx>
          <w:tblCellMar>
            <w:top w:w="0" w:type="dxa"/>
            <w:left w:w="108" w:type="dxa"/>
            <w:bottom w:w="0" w:type="dxa"/>
            <w:right w:w="108" w:type="dxa"/>
          </w:tblCellMar>
        </w:tblPrEx>
        <w:trPr>
          <w:cantSplit/>
          <w:trHeight w:val="459"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229D033D">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452F87AD">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FB3C906">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劳务派遣公司在报送入、离职人员数据时有虚报入职人员未上岗情况的，中心人事劳资科将扣除虚报人员从入职之日起所产生的费用。</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07FDD6B9">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BE9F971">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每人次扣2分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4B6C844">
            <w:pPr>
              <w:jc w:val="left"/>
              <w:rPr>
                <w:rFonts w:ascii="Times New Roman" w:hAnsi="Times New Roman" w:eastAsia="方正仿宋_GB2312" w:cs="Times New Roman"/>
                <w:b/>
                <w:color w:val="000000"/>
                <w:szCs w:val="21"/>
              </w:rPr>
            </w:pPr>
          </w:p>
        </w:tc>
      </w:tr>
      <w:tr w14:paraId="1E2BEE73">
        <w:tblPrEx>
          <w:tblCellMar>
            <w:top w:w="0" w:type="dxa"/>
            <w:left w:w="108" w:type="dxa"/>
            <w:bottom w:w="0" w:type="dxa"/>
            <w:right w:w="108" w:type="dxa"/>
          </w:tblCellMar>
        </w:tblPrEx>
        <w:trPr>
          <w:cantSplit/>
          <w:trHeight w:val="973" w:hRule="atLeast"/>
          <w:jc w:val="center"/>
        </w:trPr>
        <w:tc>
          <w:tcPr>
            <w:tcW w:w="58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3EFDA1C">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6</w:t>
            </w:r>
          </w:p>
        </w:tc>
        <w:tc>
          <w:tcPr>
            <w:tcW w:w="145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1694013">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工伤处置</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9D0D503">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负责向政府部门申报派遣员工工伤认定、理赔事宜，负责处理员工各种商业理赔；负责处理员工在工作时间发生的疾病、意外伤害和交通事故及善后事宜，并按《工伤保险条例》规定，承担与工伤相关的各项工作，并有原始凭证或录像记录。</w:t>
            </w:r>
          </w:p>
        </w:tc>
        <w:tc>
          <w:tcPr>
            <w:tcW w:w="1388"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B5BA60D">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各用工部门          人事劳资科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83B44E5">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处理不当、不及时分别扣1分；缺资料每次扣2分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B73A575">
            <w:pPr>
              <w:jc w:val="left"/>
              <w:rPr>
                <w:rFonts w:ascii="Times New Roman" w:hAnsi="Times New Roman" w:eastAsia="方正仿宋_GB2312" w:cs="Times New Roman"/>
                <w:b/>
                <w:color w:val="000000"/>
                <w:szCs w:val="21"/>
              </w:rPr>
            </w:pPr>
          </w:p>
        </w:tc>
      </w:tr>
      <w:tr w14:paraId="2B443923">
        <w:tblPrEx>
          <w:tblCellMar>
            <w:top w:w="0" w:type="dxa"/>
            <w:left w:w="108" w:type="dxa"/>
            <w:bottom w:w="0" w:type="dxa"/>
            <w:right w:w="108" w:type="dxa"/>
          </w:tblCellMar>
        </w:tblPrEx>
        <w:trPr>
          <w:cantSplit/>
          <w:trHeight w:val="1330"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561CB230">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57C45341">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2D5D640">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劳务派遣公司接到事故通知半小时内派人赶到现场，并对重大工伤及工亡事故处置采取必要措施。 </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09B4C0A7">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11C92DD">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未按时派人赶到现场的扣2分；未采取必要措施的扣5分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5F4D391">
            <w:pPr>
              <w:jc w:val="left"/>
              <w:rPr>
                <w:rFonts w:ascii="Times New Roman" w:hAnsi="Times New Roman" w:eastAsia="方正仿宋_GB2312" w:cs="Times New Roman"/>
                <w:b/>
                <w:color w:val="000000"/>
                <w:szCs w:val="21"/>
              </w:rPr>
            </w:pPr>
          </w:p>
        </w:tc>
      </w:tr>
      <w:tr w14:paraId="5BA15546">
        <w:tblPrEx>
          <w:tblCellMar>
            <w:top w:w="0" w:type="dxa"/>
            <w:left w:w="108" w:type="dxa"/>
            <w:bottom w:w="0" w:type="dxa"/>
            <w:right w:w="108" w:type="dxa"/>
          </w:tblCellMar>
        </w:tblPrEx>
        <w:trPr>
          <w:cantSplit/>
          <w:trHeight w:val="717"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42513EA1">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60FFAB9A">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3ED5691">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劳务派遣公司自收到工伤人员或工亡家属准备完整的工伤、工亡资料后及时申报，并在规定时间内完成（小工伤一个月、大工伤三个月、工亡半年）。</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2A86B634">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F1BC8CF">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每项延迟一个月扣1分，以此类推</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774E92B">
            <w:pPr>
              <w:jc w:val="left"/>
              <w:rPr>
                <w:rFonts w:ascii="Times New Roman" w:hAnsi="Times New Roman" w:eastAsia="方正仿宋_GB2312" w:cs="Times New Roman"/>
                <w:b/>
                <w:color w:val="000000"/>
                <w:szCs w:val="21"/>
              </w:rPr>
            </w:pPr>
          </w:p>
        </w:tc>
      </w:tr>
      <w:tr w14:paraId="0DCD6ED9">
        <w:tblPrEx>
          <w:tblCellMar>
            <w:top w:w="0" w:type="dxa"/>
            <w:left w:w="108" w:type="dxa"/>
            <w:bottom w:w="0" w:type="dxa"/>
            <w:right w:w="108" w:type="dxa"/>
          </w:tblCellMar>
        </w:tblPrEx>
        <w:trPr>
          <w:cantSplit/>
          <w:trHeight w:val="444" w:hRule="atLeast"/>
          <w:jc w:val="center"/>
        </w:trPr>
        <w:tc>
          <w:tcPr>
            <w:tcW w:w="58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9D303C8">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7</w:t>
            </w:r>
          </w:p>
        </w:tc>
        <w:tc>
          <w:tcPr>
            <w:tcW w:w="145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7FC4C2E">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作风纪律</w:t>
            </w: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6EB1F6F">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劳务派遣公司因派驻人员工作失职、作风不正和违反工作纪律等原因，导致用工部门被上级领导批评、媒体曝光等负面影响的，劳务派遣公司负有相应责任。</w:t>
            </w:r>
          </w:p>
        </w:tc>
        <w:tc>
          <w:tcPr>
            <w:tcW w:w="1388"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C3A3FA8">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各用工部门          人事劳资科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8D44A72">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每次扣5分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E282529">
            <w:pPr>
              <w:jc w:val="center"/>
              <w:rPr>
                <w:rFonts w:ascii="Times New Roman" w:hAnsi="Times New Roman" w:eastAsia="方正仿宋_GB2312" w:cs="Times New Roman"/>
                <w:color w:val="000000"/>
                <w:szCs w:val="21"/>
              </w:rPr>
            </w:pPr>
          </w:p>
        </w:tc>
      </w:tr>
      <w:tr w14:paraId="010816E1">
        <w:tblPrEx>
          <w:tblCellMar>
            <w:top w:w="0" w:type="dxa"/>
            <w:left w:w="108" w:type="dxa"/>
            <w:bottom w:w="0" w:type="dxa"/>
            <w:right w:w="108" w:type="dxa"/>
          </w:tblCellMar>
        </w:tblPrEx>
        <w:trPr>
          <w:cantSplit/>
          <w:trHeight w:val="350"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0E3988C3">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39F486A6">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0B223E4">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劳务派遣公司派驻人员拒不执行用工部门工作安排，造成严重后果的，劳务派遣公司负有相应责任。</w:t>
            </w:r>
          </w:p>
        </w:tc>
        <w:tc>
          <w:tcPr>
            <w:tcW w:w="1388" w:type="dxa"/>
            <w:vMerge w:val="continue"/>
            <w:tcBorders>
              <w:top w:val="single" w:color="000000" w:sz="4" w:space="0"/>
              <w:left w:val="single" w:color="000000" w:sz="4" w:space="0"/>
              <w:bottom w:val="single" w:color="000000" w:sz="4" w:space="0"/>
              <w:right w:val="single" w:color="000000" w:sz="4" w:space="0"/>
            </w:tcBorders>
            <w:vAlign w:val="center"/>
          </w:tcPr>
          <w:p w14:paraId="4791C5E9">
            <w:pPr>
              <w:widowControl/>
              <w:jc w:val="left"/>
              <w:rPr>
                <w:rFonts w:ascii="Times New Roman" w:hAnsi="Times New Roman" w:eastAsia="方正仿宋_GB2312" w:cs="Times New Roman"/>
                <w:color w:val="000000"/>
                <w:szCs w:val="21"/>
              </w:rPr>
            </w:pP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F785C51">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每次扣5分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BE192EE">
            <w:pPr>
              <w:jc w:val="left"/>
              <w:rPr>
                <w:rFonts w:ascii="Times New Roman" w:hAnsi="Times New Roman" w:eastAsia="方正仿宋_GB2312" w:cs="Times New Roman"/>
                <w:b/>
                <w:color w:val="000000"/>
                <w:szCs w:val="21"/>
              </w:rPr>
            </w:pPr>
          </w:p>
        </w:tc>
      </w:tr>
      <w:tr w14:paraId="61850D86">
        <w:tblPrEx>
          <w:tblCellMar>
            <w:top w:w="0" w:type="dxa"/>
            <w:left w:w="108" w:type="dxa"/>
            <w:bottom w:w="0" w:type="dxa"/>
            <w:right w:w="108" w:type="dxa"/>
          </w:tblCellMar>
        </w:tblPrEx>
        <w:trPr>
          <w:cantSplit/>
          <w:trHeight w:val="584" w:hRule="atLeast"/>
          <w:jc w:val="center"/>
        </w:trPr>
        <w:tc>
          <w:tcPr>
            <w:tcW w:w="589"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DF3DA19">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8</w:t>
            </w:r>
          </w:p>
        </w:tc>
        <w:tc>
          <w:tcPr>
            <w:tcW w:w="1456"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E09AA52">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其他</w:t>
            </w:r>
          </w:p>
        </w:tc>
        <w:tc>
          <w:tcPr>
            <w:tcW w:w="4229" w:type="dxa"/>
            <w:tcBorders>
              <w:top w:val="single" w:color="000000" w:sz="4" w:space="0"/>
              <w:left w:val="nil"/>
              <w:bottom w:val="single" w:color="000000" w:sz="4" w:space="0"/>
              <w:right w:val="single" w:color="000000" w:sz="4" w:space="0"/>
            </w:tcBorders>
            <w:tcMar>
              <w:top w:w="15" w:type="dxa"/>
              <w:left w:w="15" w:type="dxa"/>
              <w:bottom w:w="15" w:type="dxa"/>
              <w:right w:w="15" w:type="dxa"/>
            </w:tcMar>
            <w:vAlign w:val="center"/>
          </w:tcPr>
          <w:p w14:paraId="3D126438">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劳务派遣公司对员工理赔款项不透明，如有克扣冒领等现象或与用工部门串通有违规违纪行为的，证据确凿，予以处罚。</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245BB22">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人事劳资科</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0D671D6">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每次扣5分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91F9CDA">
            <w:pPr>
              <w:jc w:val="left"/>
              <w:rPr>
                <w:rFonts w:ascii="Times New Roman" w:hAnsi="Times New Roman" w:eastAsia="方正仿宋_GB2312" w:cs="Times New Roman"/>
                <w:color w:val="000000"/>
                <w:szCs w:val="21"/>
              </w:rPr>
            </w:pPr>
          </w:p>
        </w:tc>
      </w:tr>
      <w:tr w14:paraId="674525AC">
        <w:tblPrEx>
          <w:tblCellMar>
            <w:top w:w="0" w:type="dxa"/>
            <w:left w:w="108" w:type="dxa"/>
            <w:bottom w:w="0" w:type="dxa"/>
            <w:right w:w="108" w:type="dxa"/>
          </w:tblCellMar>
        </w:tblPrEx>
        <w:trPr>
          <w:cantSplit/>
          <w:trHeight w:val="584" w:hRule="atLeast"/>
          <w:jc w:val="center"/>
        </w:trPr>
        <w:tc>
          <w:tcPr>
            <w:tcW w:w="589" w:type="dxa"/>
            <w:vMerge w:val="continue"/>
            <w:tcBorders>
              <w:top w:val="single" w:color="000000" w:sz="4" w:space="0"/>
              <w:left w:val="single" w:color="000000" w:sz="4" w:space="0"/>
              <w:bottom w:val="single" w:color="000000" w:sz="4" w:space="0"/>
              <w:right w:val="single" w:color="000000" w:sz="4" w:space="0"/>
            </w:tcBorders>
            <w:vAlign w:val="center"/>
          </w:tcPr>
          <w:p w14:paraId="0EA7D74D">
            <w:pPr>
              <w:widowControl/>
              <w:jc w:val="left"/>
              <w:rPr>
                <w:rFonts w:ascii="Times New Roman" w:hAnsi="Times New Roman" w:eastAsia="方正仿宋_GB2312" w:cs="Times New Roman"/>
                <w:color w:val="000000"/>
                <w:szCs w:val="21"/>
              </w:rPr>
            </w:pPr>
          </w:p>
        </w:tc>
        <w:tc>
          <w:tcPr>
            <w:tcW w:w="1456" w:type="dxa"/>
            <w:vMerge w:val="continue"/>
            <w:tcBorders>
              <w:top w:val="single" w:color="000000" w:sz="4" w:space="0"/>
              <w:left w:val="single" w:color="000000" w:sz="4" w:space="0"/>
              <w:bottom w:val="single" w:color="000000" w:sz="4" w:space="0"/>
              <w:right w:val="single" w:color="000000" w:sz="4" w:space="0"/>
            </w:tcBorders>
            <w:vAlign w:val="center"/>
          </w:tcPr>
          <w:p w14:paraId="49A4E52A">
            <w:pPr>
              <w:widowControl/>
              <w:jc w:val="left"/>
              <w:rPr>
                <w:rFonts w:ascii="Times New Roman" w:hAnsi="Times New Roman" w:eastAsia="方正仿宋_GB2312" w:cs="Times New Roman"/>
                <w:color w:val="000000"/>
                <w:szCs w:val="21"/>
              </w:rPr>
            </w:pPr>
          </w:p>
        </w:tc>
        <w:tc>
          <w:tcPr>
            <w:tcW w:w="4229"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299BF59">
            <w:pPr>
              <w:widowControl/>
              <w:jc w:val="left"/>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劳务派遣公司未及时了解掌握用工部门的工作动态，不积极配合用工部门的工作开展，贻误工作时机，造成严重影响的，予以处罚。                    </w:t>
            </w:r>
          </w:p>
        </w:tc>
        <w:tc>
          <w:tcPr>
            <w:tcW w:w="1388"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F47B28B">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 xml:space="preserve">各用工部门人事劳资科          </w:t>
            </w:r>
          </w:p>
        </w:tc>
        <w:tc>
          <w:tcPr>
            <w:tcW w:w="1264"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8AA9BB5">
            <w:pPr>
              <w:widowControl/>
              <w:jc w:val="center"/>
              <w:textAlignment w:val="center"/>
              <w:rPr>
                <w:rFonts w:ascii="Times New Roman" w:hAnsi="Times New Roman" w:eastAsia="方正仿宋_GB2312" w:cs="Times New Roman"/>
                <w:color w:val="000000"/>
                <w:szCs w:val="21"/>
              </w:rPr>
            </w:pPr>
            <w:r>
              <w:rPr>
                <w:rFonts w:ascii="Times New Roman" w:hAnsi="Times New Roman" w:eastAsia="方正仿宋_GB2312" w:cs="Times New Roman"/>
                <w:color w:val="000000"/>
                <w:kern w:val="0"/>
                <w:szCs w:val="21"/>
              </w:rPr>
              <w:t>每次扣5分</w:t>
            </w:r>
          </w:p>
        </w:tc>
        <w:tc>
          <w:tcPr>
            <w:tcW w:w="930"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7B55EBD">
            <w:pPr>
              <w:jc w:val="left"/>
              <w:rPr>
                <w:rFonts w:ascii="Times New Roman" w:hAnsi="Times New Roman" w:eastAsia="方正仿宋_GB2312" w:cs="Times New Roman"/>
                <w:b/>
                <w:color w:val="000000"/>
                <w:szCs w:val="21"/>
              </w:rPr>
            </w:pPr>
          </w:p>
        </w:tc>
      </w:tr>
    </w:tbl>
    <w:p w14:paraId="0C11FF56">
      <w:pPr>
        <w:rPr>
          <w:rFonts w:ascii="Times New Roman" w:hAnsi="Times New Roman" w:eastAsia="方正仿宋_GB2312" w:cs="Times New Roman"/>
          <w:bCs/>
          <w:color w:val="0000FF"/>
          <w:szCs w:val="21"/>
        </w:rPr>
      </w:pPr>
      <w:r>
        <w:rPr>
          <w:rFonts w:ascii="Times New Roman" w:hAnsi="Times New Roman" w:eastAsia="方正仿宋_GB2312" w:cs="Times New Roman"/>
          <w:bCs/>
          <w:color w:val="0000FF"/>
          <w:szCs w:val="21"/>
        </w:rPr>
        <w:t>备注：1、</w:t>
      </w:r>
      <w:r>
        <w:rPr>
          <w:rFonts w:hint="eastAsia" w:ascii="Times New Roman" w:hAnsi="Times New Roman" w:eastAsia="方正仿宋_GB2312" w:cs="Times New Roman"/>
          <w:bCs/>
          <w:color w:val="0000FF"/>
          <w:szCs w:val="21"/>
        </w:rPr>
        <w:t>当月考核扣分</w:t>
      </w:r>
      <w:r>
        <w:rPr>
          <w:rFonts w:ascii="Times New Roman" w:hAnsi="Times New Roman" w:eastAsia="方正仿宋_GB2312" w:cs="Times New Roman"/>
          <w:bCs/>
          <w:color w:val="0000FF"/>
          <w:szCs w:val="21"/>
        </w:rPr>
        <w:t>≥20分</w:t>
      </w:r>
      <w:r>
        <w:rPr>
          <w:rFonts w:hint="eastAsia" w:ascii="Times New Roman" w:hAnsi="Times New Roman" w:eastAsia="方正仿宋_GB2312" w:cs="Times New Roman"/>
          <w:bCs/>
          <w:color w:val="0000FF"/>
          <w:szCs w:val="21"/>
        </w:rPr>
        <w:t>视为验收不合格</w:t>
      </w:r>
      <w:r>
        <w:rPr>
          <w:rFonts w:ascii="Times New Roman" w:hAnsi="Times New Roman" w:eastAsia="方正仿宋_GB2312" w:cs="Times New Roman"/>
          <w:bCs/>
          <w:color w:val="0000FF"/>
          <w:szCs w:val="21"/>
        </w:rPr>
        <w:t>，</w:t>
      </w:r>
      <w:r>
        <w:rPr>
          <w:rFonts w:hint="eastAsia" w:ascii="Times New Roman" w:hAnsi="Times New Roman" w:eastAsia="方正仿宋_GB2312" w:cs="Times New Roman"/>
          <w:bCs/>
          <w:color w:val="0000FF"/>
          <w:szCs w:val="21"/>
        </w:rPr>
        <w:t>乙方向甲方提交书面整改报告，重新验收任不合格的，甲方有权要求乙方承担当月支付金额5%的违约责任。</w:t>
      </w:r>
    </w:p>
    <w:p w14:paraId="02D221B1">
      <w:pPr>
        <w:ind w:firstLine="630" w:firstLineChars="300"/>
        <w:rPr>
          <w:rFonts w:ascii="Times New Roman" w:hAnsi="Times New Roman" w:eastAsia="方正仿宋_GB2312" w:cs="Times New Roman"/>
          <w:bCs/>
          <w:color w:val="0000FF"/>
          <w:szCs w:val="21"/>
        </w:rPr>
      </w:pPr>
      <w:r>
        <w:rPr>
          <w:rFonts w:hint="eastAsia" w:ascii="Times New Roman" w:hAnsi="Times New Roman" w:eastAsia="方正仿宋_GB2312" w:cs="Times New Roman"/>
          <w:bCs/>
          <w:color w:val="0000FF"/>
          <w:szCs w:val="21"/>
        </w:rPr>
        <w:t>2、连续三个月考核扣分</w:t>
      </w:r>
      <w:r>
        <w:rPr>
          <w:rFonts w:ascii="Times New Roman" w:hAnsi="Times New Roman" w:eastAsia="方正仿宋_GB2312" w:cs="Times New Roman"/>
          <w:bCs/>
          <w:color w:val="0000FF"/>
          <w:szCs w:val="21"/>
        </w:rPr>
        <w:t>≥20分</w:t>
      </w:r>
      <w:r>
        <w:rPr>
          <w:rFonts w:hint="eastAsia" w:ascii="Times New Roman" w:hAnsi="Times New Roman" w:eastAsia="方正仿宋_GB2312" w:cs="Times New Roman"/>
          <w:bCs/>
          <w:color w:val="0000FF"/>
          <w:szCs w:val="21"/>
        </w:rPr>
        <w:t>，甲方有权要求乙方承担合同金额20%的违约责任。</w:t>
      </w:r>
    </w:p>
    <w:p w14:paraId="7F1BEC28">
      <w:pPr>
        <w:ind w:firstLine="630" w:firstLineChars="300"/>
        <w:rPr>
          <w:rFonts w:ascii="WPS灵秀黑" w:hAnsi="WPS灵秀黑" w:eastAsia="WPS灵秀黑" w:cs="WPS灵秀黑"/>
          <w:color w:val="0000FF"/>
          <w:spacing w:val="-4"/>
          <w:sz w:val="24"/>
        </w:rPr>
      </w:pPr>
      <w:r>
        <w:rPr>
          <w:rFonts w:hint="eastAsia" w:ascii="Times New Roman" w:hAnsi="Times New Roman" w:eastAsia="方正仿宋_GB2312" w:cs="Times New Roman"/>
          <w:bCs/>
          <w:color w:val="0000FF"/>
          <w:szCs w:val="21"/>
        </w:rPr>
        <w:t>3、</w:t>
      </w:r>
      <w:r>
        <w:rPr>
          <w:rFonts w:ascii="Times New Roman" w:hAnsi="Times New Roman" w:eastAsia="方正仿宋_GB2312" w:cs="Times New Roman"/>
          <w:bCs/>
          <w:color w:val="0000FF"/>
          <w:szCs w:val="21"/>
        </w:rPr>
        <w:t>每扣一分罚款200元。</w:t>
      </w:r>
    </w:p>
    <w:p w14:paraId="2F7DBDC8">
      <w:pPr>
        <w:spacing w:line="500" w:lineRule="exact"/>
        <w:rPr>
          <w:rFonts w:ascii="Times New Roman" w:hAnsi="Times New Roman" w:eastAsia="方正仿宋_GB2312" w:cs="Times New Roman"/>
          <w:sz w:val="28"/>
          <w:szCs w:val="28"/>
        </w:rPr>
      </w:pPr>
    </w:p>
    <w:p w14:paraId="3F52DC51">
      <w:pPr>
        <w:spacing w:line="500" w:lineRule="exact"/>
        <w:ind w:firstLine="490" w:firstLineChars="175"/>
        <w:rPr>
          <w:rFonts w:ascii="Times New Roman" w:hAnsi="Times New Roman" w:eastAsia="方正仿宋_GB2312" w:cs="Times New Roman"/>
          <w:sz w:val="28"/>
          <w:szCs w:val="28"/>
        </w:rPr>
      </w:pPr>
      <w:r>
        <w:rPr>
          <w:rFonts w:ascii="Times New Roman" w:hAnsi="Times New Roman" w:eastAsia="方正仿宋_GB2312" w:cs="Times New Roman"/>
          <w:sz w:val="28"/>
          <w:szCs w:val="28"/>
        </w:rPr>
        <w:t>甲方（盖章）：                    乙方（盖章）：</w:t>
      </w:r>
    </w:p>
    <w:p w14:paraId="19D965B9">
      <w:pPr>
        <w:spacing w:line="500" w:lineRule="exact"/>
        <w:ind w:firstLine="490" w:firstLineChars="175"/>
        <w:rPr>
          <w:rFonts w:ascii="Times New Roman" w:hAnsi="Times New Roman" w:eastAsia="方正仿宋_GB2312" w:cs="Times New Roman"/>
          <w:sz w:val="28"/>
          <w:szCs w:val="28"/>
        </w:rPr>
      </w:pPr>
      <w:r>
        <w:rPr>
          <w:rFonts w:ascii="Times New Roman" w:hAnsi="Times New Roman" w:eastAsia="方正仿宋_GB2312" w:cs="Times New Roman"/>
          <w:sz w:val="28"/>
          <w:szCs w:val="28"/>
        </w:rPr>
        <w:t>法定代</w:t>
      </w:r>
      <w:r>
        <w:rPr>
          <w:rFonts w:hint="eastAsia" w:ascii="Times New Roman" w:hAnsi="Times New Roman" w:eastAsia="方正仿宋_GB2312" w:cs="Times New Roman"/>
          <w:sz w:val="28"/>
          <w:szCs w:val="28"/>
          <w:lang w:val="en-US" w:eastAsia="zh-CN"/>
        </w:rPr>
        <w:t>表</w:t>
      </w:r>
      <w:r>
        <w:rPr>
          <w:rFonts w:ascii="Times New Roman" w:hAnsi="Times New Roman" w:eastAsia="方正仿宋_GB2312" w:cs="Times New Roman"/>
          <w:sz w:val="28"/>
          <w:szCs w:val="28"/>
        </w:rPr>
        <w:t>人：</w:t>
      </w:r>
      <w:r>
        <w:rPr>
          <w:rFonts w:hint="eastAsia" w:ascii="Times New Roman" w:hAnsi="Times New Roman" w:eastAsia="方正仿宋_GB2312" w:cs="Times New Roman"/>
          <w:color w:val="FF0000"/>
          <w:sz w:val="28"/>
          <w:szCs w:val="28"/>
          <w:lang w:val="en-US" w:eastAsia="zh-CN"/>
        </w:rPr>
        <w:t>张金华</w:t>
      </w:r>
      <w:r>
        <w:rPr>
          <w:rFonts w:ascii="Times New Roman" w:hAnsi="Times New Roman" w:eastAsia="方正仿宋_GB2312" w:cs="Times New Roman"/>
          <w:sz w:val="28"/>
          <w:szCs w:val="28"/>
        </w:rPr>
        <w:t xml:space="preserve">                法定代</w:t>
      </w:r>
      <w:r>
        <w:rPr>
          <w:rFonts w:hint="eastAsia" w:ascii="Times New Roman" w:hAnsi="Times New Roman" w:eastAsia="方正仿宋_GB2312" w:cs="Times New Roman"/>
          <w:sz w:val="28"/>
          <w:szCs w:val="28"/>
          <w:lang w:eastAsia="zh-CN"/>
        </w:rPr>
        <w:t>表</w:t>
      </w:r>
      <w:r>
        <w:rPr>
          <w:rFonts w:ascii="Times New Roman" w:hAnsi="Times New Roman" w:eastAsia="方正仿宋_GB2312" w:cs="Times New Roman"/>
          <w:sz w:val="28"/>
          <w:szCs w:val="28"/>
        </w:rPr>
        <w:t>人：</w:t>
      </w:r>
    </w:p>
    <w:p w14:paraId="67432ED0">
      <w:pPr>
        <w:spacing w:line="500" w:lineRule="exact"/>
        <w:ind w:firstLine="490" w:firstLineChars="175"/>
        <w:rPr>
          <w:rFonts w:ascii="Times New Roman" w:hAnsi="Times New Roman" w:eastAsia="方正仿宋_GB2312" w:cs="Times New Roman"/>
          <w:sz w:val="28"/>
          <w:szCs w:val="28"/>
        </w:rPr>
      </w:pPr>
      <w:r>
        <w:rPr>
          <w:rFonts w:ascii="Times New Roman" w:hAnsi="Times New Roman" w:eastAsia="方正仿宋_GB2312" w:cs="Times New Roman"/>
          <w:sz w:val="28"/>
          <w:szCs w:val="28"/>
        </w:rPr>
        <w:t>授权代表（签字）：肖军群          授权代表（签字）：</w:t>
      </w:r>
    </w:p>
    <w:p w14:paraId="1C5E9D73">
      <w:pPr>
        <w:spacing w:line="500" w:lineRule="exact"/>
        <w:ind w:firstLine="490" w:firstLineChars="175"/>
        <w:rPr>
          <w:rFonts w:ascii="Times New Roman" w:hAnsi="Times New Roman" w:eastAsia="方正仿宋_GB2312" w:cs="Times New Roman"/>
          <w:sz w:val="28"/>
          <w:szCs w:val="28"/>
        </w:rPr>
      </w:pPr>
      <w:r>
        <w:rPr>
          <w:rFonts w:ascii="Times New Roman" w:hAnsi="Times New Roman" w:eastAsia="方正仿宋_GB2312" w:cs="Times New Roman"/>
          <w:sz w:val="28"/>
          <w:szCs w:val="28"/>
        </w:rPr>
        <w:t>联系电话：</w:t>
      </w:r>
      <w:r>
        <w:rPr>
          <w:rFonts w:ascii="Times New Roman" w:hAnsi="Times New Roman" w:eastAsia="方正仿宋_GB2312" w:cs="Times New Roman"/>
          <w:spacing w:val="-12"/>
          <w:szCs w:val="21"/>
        </w:rPr>
        <w:t xml:space="preserve"> 0731-82528568  </w:t>
      </w:r>
      <w:r>
        <w:rPr>
          <w:rFonts w:ascii="Times New Roman" w:hAnsi="Times New Roman" w:eastAsia="方正仿宋_GB2312" w:cs="Times New Roman"/>
          <w:sz w:val="28"/>
          <w:szCs w:val="28"/>
        </w:rPr>
        <w:t xml:space="preserve">             </w:t>
      </w:r>
      <w:r>
        <w:rPr>
          <w:rFonts w:hint="eastAsia" w:ascii="Times New Roman" w:hAnsi="Times New Roman" w:eastAsia="方正仿宋_GB2312" w:cs="Times New Roman"/>
          <w:sz w:val="28"/>
          <w:szCs w:val="28"/>
          <w:lang w:val="en-US" w:eastAsia="zh-CN"/>
        </w:rPr>
        <w:t xml:space="preserve"> </w:t>
      </w:r>
      <w:r>
        <w:rPr>
          <w:rFonts w:ascii="Times New Roman" w:hAnsi="Times New Roman" w:eastAsia="方正仿宋_GB2312" w:cs="Times New Roman"/>
          <w:sz w:val="28"/>
          <w:szCs w:val="28"/>
        </w:rPr>
        <w:t>联系电话：</w:t>
      </w:r>
    </w:p>
    <w:p w14:paraId="2324B749">
      <w:pPr>
        <w:spacing w:line="500" w:lineRule="exact"/>
        <w:ind w:firstLine="490" w:firstLineChars="175"/>
        <w:rPr>
          <w:rFonts w:ascii="Times New Roman" w:hAnsi="Times New Roman" w:eastAsia="方正仿宋_GB2312" w:cs="Times New Roman"/>
          <w:sz w:val="28"/>
          <w:szCs w:val="28"/>
        </w:rPr>
      </w:pPr>
      <w:r>
        <w:rPr>
          <w:rFonts w:ascii="Times New Roman" w:hAnsi="Times New Roman" w:eastAsia="方正仿宋_GB2312" w:cs="Times New Roman"/>
          <w:sz w:val="28"/>
          <w:szCs w:val="28"/>
        </w:rPr>
        <w:t xml:space="preserve">单位地址：开福区中青路1118号     单位地址：  </w:t>
      </w:r>
    </w:p>
    <w:p w14:paraId="701CADBE">
      <w:pPr>
        <w:spacing w:line="500" w:lineRule="exact"/>
        <w:rPr>
          <w:rFonts w:ascii="Times New Roman" w:hAnsi="Times New Roman" w:eastAsia="方正仿宋_GB2312" w:cs="Times New Roman"/>
          <w:sz w:val="28"/>
          <w:szCs w:val="28"/>
        </w:rPr>
      </w:pPr>
      <w:r>
        <w:rPr>
          <w:rFonts w:ascii="Times New Roman" w:hAnsi="Times New Roman" w:eastAsia="方正仿宋_GB2312" w:cs="Times New Roman"/>
          <w:sz w:val="28"/>
          <w:szCs w:val="28"/>
        </w:rPr>
        <w:t xml:space="preserve">          </w:t>
      </w:r>
    </w:p>
    <w:p w14:paraId="357FC070">
      <w:pPr>
        <w:spacing w:line="500" w:lineRule="exact"/>
        <w:ind w:firstLine="2240" w:firstLineChars="800"/>
        <w:rPr>
          <w:rFonts w:ascii="Times New Roman" w:hAnsi="Times New Roman" w:eastAsia="方正仿宋_GB2312" w:cs="Times New Roman"/>
          <w:sz w:val="28"/>
          <w:szCs w:val="28"/>
        </w:rPr>
      </w:pPr>
      <w:r>
        <w:rPr>
          <w:rFonts w:ascii="Times New Roman" w:hAnsi="Times New Roman" w:eastAsia="方正仿宋_GB2312" w:cs="Times New Roman"/>
          <w:sz w:val="28"/>
          <w:szCs w:val="28"/>
        </w:rPr>
        <w:t xml:space="preserve">                    签订时间： </w:t>
      </w:r>
    </w:p>
    <w:p w14:paraId="09C1B0FC">
      <w:pPr>
        <w:spacing w:line="500" w:lineRule="exact"/>
        <w:ind w:firstLine="490" w:firstLineChars="175"/>
        <w:rPr>
          <w:rFonts w:ascii="Times New Roman" w:hAnsi="Times New Roman" w:eastAsia="方正仿宋_GB2312" w:cs="Times New Roman"/>
          <w:sz w:val="28"/>
          <w:szCs w:val="28"/>
        </w:rPr>
      </w:pPr>
    </w:p>
    <w:sectPr>
      <w:footerReference r:id="rId3" w:type="default"/>
      <w:pgSz w:w="11906" w:h="16838"/>
      <w:pgMar w:top="2098" w:right="1587" w:bottom="2098"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WPS灵秀黑">
    <w:panose1 w:val="00000000000000000000"/>
    <w:charset w:val="86"/>
    <w:family w:val="auto"/>
    <w:pitch w:val="default"/>
    <w:sig w:usb0="00000283" w:usb1="180F1C10" w:usb2="00000016" w:usb3="00000000" w:csb0="40040001" w:csb1="C0D60000"/>
    <w:embedRegular r:id="rId1" w:fontKey="{AE88D5A5-E212-44D9-A101-87FED9C66B46}"/>
  </w:font>
  <w:font w:name="新宋体">
    <w:panose1 w:val="02010609030101010101"/>
    <w:charset w:val="86"/>
    <w:family w:val="auto"/>
    <w:pitch w:val="default"/>
    <w:sig w:usb0="00000203" w:usb1="288F0000" w:usb2="00000006" w:usb3="00000000" w:csb0="00040001" w:csb1="00000000"/>
    <w:embedRegular r:id="rId2" w:fontKey="{4C0A86C3-2A19-42FA-98D4-62081EC837D2}"/>
  </w:font>
  <w:font w:name="方正仿宋_GB2312">
    <w:panose1 w:val="02000000000000000000"/>
    <w:charset w:val="86"/>
    <w:family w:val="auto"/>
    <w:pitch w:val="default"/>
    <w:sig w:usb0="A00002BF" w:usb1="184F6CFA" w:usb2="00000012" w:usb3="00000000" w:csb0="00040001" w:csb1="00000000"/>
    <w:embedRegular r:id="rId3" w:fontKey="{D48F6839-1337-4D10-8C56-1F96FDC0190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D5506">
    <w:pPr>
      <w:pStyle w:val="6"/>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4097"/>
              <wp:cNvGraphicFramePr/>
              <a:graphic xmlns:a="http://schemas.openxmlformats.org/drawingml/2006/main">
                <a:graphicData uri="http://schemas.microsoft.com/office/word/2010/wordprocessingShape">
                  <wps:wsp>
                    <wps:cNvSpPr/>
                    <wps:spPr>
                      <a:xfrm>
                        <a:off x="0" y="0"/>
                        <a:ext cx="1828800" cy="1828800"/>
                      </a:xfrm>
                      <a:prstGeom prst="rect">
                        <a:avLst/>
                      </a:prstGeom>
                      <a:noFill/>
                      <a:ln>
                        <a:noFill/>
                      </a:ln>
                    </wps:spPr>
                    <wps:txbx>
                      <w:txbxContent>
                        <w:p w14:paraId="2638242F">
                          <w:pPr>
                            <w:pStyle w:val="6"/>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wps:txbx>
                    <wps:bodyPr wrap="none" lIns="0" tIns="0" rIns="0" bIns="0" upright="1">
                      <a:spAutoFit/>
                    </wps:bodyPr>
                  </wps:wsp>
                </a:graphicData>
              </a:graphic>
            </wp:anchor>
          </w:drawing>
        </mc:Choice>
        <mc:Fallback>
          <w:pict>
            <v:rect id="409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C5dblS0AAAAAUB&#10;AAAPAAAAAAAAAAEAIAAAACIAAABkcnMvZG93bnJldi54bWxQSwECFAAUAAAACACHTuJAfINJvLEB&#10;AACIAwAADgAAAAAAAAABACAAAAAfAQAAZHJzL2Uyb0RvYy54bWxQSwUGAAAAAAYABgBZAQAAQgUA&#10;AAAA&#10;">
              <v:fill on="f" focussize="0,0"/>
              <v:stroke on="f"/>
              <v:imagedata o:title=""/>
              <o:lock v:ext="edit" aspectratio="f"/>
              <v:textbox inset="0mm,0mm,0mm,0mm" style="mso-fit-shape-to-text:t;">
                <w:txbxContent>
                  <w:p w14:paraId="2638242F">
                    <w:pPr>
                      <w:pStyle w:val="6"/>
                    </w:pPr>
                    <w:r>
                      <w:rPr>
                        <w:rFonts w:hint="eastAsia"/>
                      </w:rPr>
                      <w:fldChar w:fldCharType="begin"/>
                    </w:r>
                    <w:r>
                      <w:rPr>
                        <w:rFonts w:hint="eastAsia"/>
                      </w:rPr>
                      <w:instrText xml:space="preserve"> PAGE  \* MERGEFORMAT </w:instrText>
                    </w:r>
                    <w:r>
                      <w:rPr>
                        <w:rFonts w:hint="eastAsia"/>
                      </w:rPr>
                      <w:fldChar w:fldCharType="separate"/>
                    </w:r>
                    <w:r>
                      <w:t>8</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zNTBmYWZjMjZkNDVlNjUzNDE4YWZkMzIzNGEyZTYifQ=="/>
  </w:docVars>
  <w:rsids>
    <w:rsidRoot w:val="00F43A78"/>
    <w:rsid w:val="000A3F86"/>
    <w:rsid w:val="00685709"/>
    <w:rsid w:val="0086297D"/>
    <w:rsid w:val="008F6506"/>
    <w:rsid w:val="00AA0B6B"/>
    <w:rsid w:val="00AA0C60"/>
    <w:rsid w:val="00B15E8C"/>
    <w:rsid w:val="00BA7E9A"/>
    <w:rsid w:val="00F43A78"/>
    <w:rsid w:val="00FC39FA"/>
    <w:rsid w:val="01763BCE"/>
    <w:rsid w:val="01BD420B"/>
    <w:rsid w:val="01C34939"/>
    <w:rsid w:val="01DC36F1"/>
    <w:rsid w:val="01E70628"/>
    <w:rsid w:val="02014947"/>
    <w:rsid w:val="023F1024"/>
    <w:rsid w:val="024B0D01"/>
    <w:rsid w:val="02F71757"/>
    <w:rsid w:val="032A1114"/>
    <w:rsid w:val="05290F57"/>
    <w:rsid w:val="057E73F9"/>
    <w:rsid w:val="05C83953"/>
    <w:rsid w:val="06D27AF8"/>
    <w:rsid w:val="07124399"/>
    <w:rsid w:val="07754928"/>
    <w:rsid w:val="080737D2"/>
    <w:rsid w:val="08A50D1D"/>
    <w:rsid w:val="08BA5A48"/>
    <w:rsid w:val="090D12BC"/>
    <w:rsid w:val="092F56DF"/>
    <w:rsid w:val="09533C21"/>
    <w:rsid w:val="09C90142"/>
    <w:rsid w:val="0A3B59B5"/>
    <w:rsid w:val="0AC91BB2"/>
    <w:rsid w:val="0AD05C62"/>
    <w:rsid w:val="0B7373D0"/>
    <w:rsid w:val="0BF72755"/>
    <w:rsid w:val="0C626CAB"/>
    <w:rsid w:val="0C81189C"/>
    <w:rsid w:val="0D0B5B12"/>
    <w:rsid w:val="0D1E3C2F"/>
    <w:rsid w:val="0DAA495A"/>
    <w:rsid w:val="0DEA1E9C"/>
    <w:rsid w:val="0F985657"/>
    <w:rsid w:val="101121A9"/>
    <w:rsid w:val="1081136E"/>
    <w:rsid w:val="10935E18"/>
    <w:rsid w:val="10D64360"/>
    <w:rsid w:val="10ED3147"/>
    <w:rsid w:val="118A0FD0"/>
    <w:rsid w:val="1193293A"/>
    <w:rsid w:val="11D54941"/>
    <w:rsid w:val="120945EA"/>
    <w:rsid w:val="129A7987"/>
    <w:rsid w:val="12F86B39"/>
    <w:rsid w:val="13825809"/>
    <w:rsid w:val="13AA00CA"/>
    <w:rsid w:val="141A7E16"/>
    <w:rsid w:val="148B27E4"/>
    <w:rsid w:val="165A18B8"/>
    <w:rsid w:val="16702E8A"/>
    <w:rsid w:val="176A78D9"/>
    <w:rsid w:val="183121A5"/>
    <w:rsid w:val="1914553B"/>
    <w:rsid w:val="19B60B2F"/>
    <w:rsid w:val="1A97646A"/>
    <w:rsid w:val="1AEB0D31"/>
    <w:rsid w:val="1B5047DF"/>
    <w:rsid w:val="1B9F38C9"/>
    <w:rsid w:val="1BDA3466"/>
    <w:rsid w:val="1C890385"/>
    <w:rsid w:val="1C9D4B3C"/>
    <w:rsid w:val="1CCB0E1A"/>
    <w:rsid w:val="1D5E3A3C"/>
    <w:rsid w:val="1D8D4321"/>
    <w:rsid w:val="1E400AD1"/>
    <w:rsid w:val="1E796654"/>
    <w:rsid w:val="1EAD2434"/>
    <w:rsid w:val="1EBF050A"/>
    <w:rsid w:val="1ECA1B93"/>
    <w:rsid w:val="1F130856"/>
    <w:rsid w:val="1F725038"/>
    <w:rsid w:val="1FF227DB"/>
    <w:rsid w:val="207B66B3"/>
    <w:rsid w:val="21D267A7"/>
    <w:rsid w:val="22B440FE"/>
    <w:rsid w:val="22D24584"/>
    <w:rsid w:val="23814F05"/>
    <w:rsid w:val="23B73EA6"/>
    <w:rsid w:val="23BF0FAD"/>
    <w:rsid w:val="23CE1F9C"/>
    <w:rsid w:val="23EE3640"/>
    <w:rsid w:val="24062738"/>
    <w:rsid w:val="24AC7783"/>
    <w:rsid w:val="24DD5EF9"/>
    <w:rsid w:val="24EC50F1"/>
    <w:rsid w:val="252C08C4"/>
    <w:rsid w:val="25885F69"/>
    <w:rsid w:val="26426748"/>
    <w:rsid w:val="27165BCA"/>
    <w:rsid w:val="27687F9E"/>
    <w:rsid w:val="27AA19BD"/>
    <w:rsid w:val="281401A9"/>
    <w:rsid w:val="28207C9F"/>
    <w:rsid w:val="28B1093E"/>
    <w:rsid w:val="28CA467C"/>
    <w:rsid w:val="29194CBB"/>
    <w:rsid w:val="296E3259"/>
    <w:rsid w:val="29977176"/>
    <w:rsid w:val="29A749BD"/>
    <w:rsid w:val="29F85218"/>
    <w:rsid w:val="2A351FC9"/>
    <w:rsid w:val="2A44367A"/>
    <w:rsid w:val="2A5B7B7F"/>
    <w:rsid w:val="2A703001"/>
    <w:rsid w:val="2A97058D"/>
    <w:rsid w:val="2AF21C68"/>
    <w:rsid w:val="2B2100D0"/>
    <w:rsid w:val="2B367DA6"/>
    <w:rsid w:val="2C3D6F12"/>
    <w:rsid w:val="2DA82079"/>
    <w:rsid w:val="2DB33DE8"/>
    <w:rsid w:val="2DE27D71"/>
    <w:rsid w:val="2E1B7727"/>
    <w:rsid w:val="2E516871"/>
    <w:rsid w:val="2EA96AE1"/>
    <w:rsid w:val="2F390E8D"/>
    <w:rsid w:val="2F3E547B"/>
    <w:rsid w:val="2F80034C"/>
    <w:rsid w:val="2FB971F8"/>
    <w:rsid w:val="3062519A"/>
    <w:rsid w:val="311C7A3E"/>
    <w:rsid w:val="32D87995"/>
    <w:rsid w:val="331623E5"/>
    <w:rsid w:val="33641229"/>
    <w:rsid w:val="338C3812"/>
    <w:rsid w:val="33F26834"/>
    <w:rsid w:val="340622E0"/>
    <w:rsid w:val="342C5C1C"/>
    <w:rsid w:val="34926F3B"/>
    <w:rsid w:val="34F85849"/>
    <w:rsid w:val="365836F6"/>
    <w:rsid w:val="3689485D"/>
    <w:rsid w:val="371C7D2F"/>
    <w:rsid w:val="37CD7C79"/>
    <w:rsid w:val="37FC1FA7"/>
    <w:rsid w:val="380B446A"/>
    <w:rsid w:val="389B1F7E"/>
    <w:rsid w:val="39313B8D"/>
    <w:rsid w:val="39445D84"/>
    <w:rsid w:val="3B190B4B"/>
    <w:rsid w:val="3B1E0936"/>
    <w:rsid w:val="3B7346FF"/>
    <w:rsid w:val="3BD86C58"/>
    <w:rsid w:val="3C3B0C4E"/>
    <w:rsid w:val="3C4C27D5"/>
    <w:rsid w:val="3D365E3D"/>
    <w:rsid w:val="3D801355"/>
    <w:rsid w:val="3DC53490"/>
    <w:rsid w:val="3DE23DBE"/>
    <w:rsid w:val="3DFD29A6"/>
    <w:rsid w:val="3E500D27"/>
    <w:rsid w:val="3E720C9E"/>
    <w:rsid w:val="3EC5537B"/>
    <w:rsid w:val="3ECF2E68"/>
    <w:rsid w:val="3F533759"/>
    <w:rsid w:val="400C5122"/>
    <w:rsid w:val="403776DA"/>
    <w:rsid w:val="40435D0F"/>
    <w:rsid w:val="419C2385"/>
    <w:rsid w:val="41E0244A"/>
    <w:rsid w:val="41FF0A9A"/>
    <w:rsid w:val="427F4B80"/>
    <w:rsid w:val="42C2377A"/>
    <w:rsid w:val="42CB3152"/>
    <w:rsid w:val="42D261AF"/>
    <w:rsid w:val="43F263DD"/>
    <w:rsid w:val="44FD328B"/>
    <w:rsid w:val="45B918A8"/>
    <w:rsid w:val="47347438"/>
    <w:rsid w:val="4774130B"/>
    <w:rsid w:val="47D13092"/>
    <w:rsid w:val="4856554F"/>
    <w:rsid w:val="486A50DB"/>
    <w:rsid w:val="4891509B"/>
    <w:rsid w:val="48CB3DCC"/>
    <w:rsid w:val="498413E9"/>
    <w:rsid w:val="499A2B66"/>
    <w:rsid w:val="499F0DB5"/>
    <w:rsid w:val="4A5D1CF9"/>
    <w:rsid w:val="4A96711A"/>
    <w:rsid w:val="4B3A0DA3"/>
    <w:rsid w:val="4B5E7FC8"/>
    <w:rsid w:val="4B9009B5"/>
    <w:rsid w:val="4C15535E"/>
    <w:rsid w:val="4C8345D0"/>
    <w:rsid w:val="4CB97B19"/>
    <w:rsid w:val="4CC20962"/>
    <w:rsid w:val="4CED4824"/>
    <w:rsid w:val="4D2B308B"/>
    <w:rsid w:val="4F9D576B"/>
    <w:rsid w:val="4FEE65F2"/>
    <w:rsid w:val="501555A6"/>
    <w:rsid w:val="50955E5F"/>
    <w:rsid w:val="50D41344"/>
    <w:rsid w:val="50E70180"/>
    <w:rsid w:val="51C25E60"/>
    <w:rsid w:val="521A1920"/>
    <w:rsid w:val="52A37CA3"/>
    <w:rsid w:val="52A80CDA"/>
    <w:rsid w:val="52F975DE"/>
    <w:rsid w:val="537C655D"/>
    <w:rsid w:val="53A060D1"/>
    <w:rsid w:val="53DB423E"/>
    <w:rsid w:val="54694499"/>
    <w:rsid w:val="547A394F"/>
    <w:rsid w:val="55472A2C"/>
    <w:rsid w:val="56266F2E"/>
    <w:rsid w:val="571526B6"/>
    <w:rsid w:val="574D25BF"/>
    <w:rsid w:val="57B813CA"/>
    <w:rsid w:val="57CC546B"/>
    <w:rsid w:val="58112E7E"/>
    <w:rsid w:val="586C27AA"/>
    <w:rsid w:val="588D58A4"/>
    <w:rsid w:val="58D72826"/>
    <w:rsid w:val="58DD49E4"/>
    <w:rsid w:val="58DE337E"/>
    <w:rsid w:val="58E32A6C"/>
    <w:rsid w:val="591B0AE6"/>
    <w:rsid w:val="5AAF1AAA"/>
    <w:rsid w:val="5AD52888"/>
    <w:rsid w:val="5B77749C"/>
    <w:rsid w:val="5B7D4D64"/>
    <w:rsid w:val="5C4A43BA"/>
    <w:rsid w:val="5C584438"/>
    <w:rsid w:val="5CCB28B5"/>
    <w:rsid w:val="5D603460"/>
    <w:rsid w:val="5D9B1B67"/>
    <w:rsid w:val="5DA402F0"/>
    <w:rsid w:val="5DAB78D0"/>
    <w:rsid w:val="5DC75C5A"/>
    <w:rsid w:val="5E3653EC"/>
    <w:rsid w:val="5FAF18FA"/>
    <w:rsid w:val="5FB70F81"/>
    <w:rsid w:val="60DE12EA"/>
    <w:rsid w:val="60E70C20"/>
    <w:rsid w:val="61923281"/>
    <w:rsid w:val="62455B67"/>
    <w:rsid w:val="62C0797A"/>
    <w:rsid w:val="63365E8E"/>
    <w:rsid w:val="64722EF6"/>
    <w:rsid w:val="64810BAE"/>
    <w:rsid w:val="64A31301"/>
    <w:rsid w:val="65CA1339"/>
    <w:rsid w:val="6662597E"/>
    <w:rsid w:val="6686712D"/>
    <w:rsid w:val="66AA4BC9"/>
    <w:rsid w:val="676236F6"/>
    <w:rsid w:val="6796339F"/>
    <w:rsid w:val="67A21D44"/>
    <w:rsid w:val="68420CF3"/>
    <w:rsid w:val="68A65864"/>
    <w:rsid w:val="696B535D"/>
    <w:rsid w:val="69943E5B"/>
    <w:rsid w:val="69B60C82"/>
    <w:rsid w:val="6AA008D5"/>
    <w:rsid w:val="6AA302AD"/>
    <w:rsid w:val="6B32354B"/>
    <w:rsid w:val="6C414C57"/>
    <w:rsid w:val="6C494D21"/>
    <w:rsid w:val="6C7A6DEC"/>
    <w:rsid w:val="6C880A35"/>
    <w:rsid w:val="6CA36342"/>
    <w:rsid w:val="6DE70BDE"/>
    <w:rsid w:val="6ECE1688"/>
    <w:rsid w:val="6F88476C"/>
    <w:rsid w:val="70865BB0"/>
    <w:rsid w:val="70F57389"/>
    <w:rsid w:val="710D6480"/>
    <w:rsid w:val="711227E8"/>
    <w:rsid w:val="714728AB"/>
    <w:rsid w:val="722C0B88"/>
    <w:rsid w:val="72F908A9"/>
    <w:rsid w:val="733817AF"/>
    <w:rsid w:val="73751E5F"/>
    <w:rsid w:val="7412568B"/>
    <w:rsid w:val="747141EF"/>
    <w:rsid w:val="751D0C5C"/>
    <w:rsid w:val="75BC4A46"/>
    <w:rsid w:val="76547324"/>
    <w:rsid w:val="765B7C8E"/>
    <w:rsid w:val="77B80214"/>
    <w:rsid w:val="77FB2315"/>
    <w:rsid w:val="784B788E"/>
    <w:rsid w:val="78715547"/>
    <w:rsid w:val="787E1E57"/>
    <w:rsid w:val="78BF6AF9"/>
    <w:rsid w:val="78CF04BF"/>
    <w:rsid w:val="797359E5"/>
    <w:rsid w:val="7A911FEB"/>
    <w:rsid w:val="7AD5632C"/>
    <w:rsid w:val="7B007431"/>
    <w:rsid w:val="7DA956A4"/>
    <w:rsid w:val="7DAA32A9"/>
    <w:rsid w:val="7DE844FD"/>
    <w:rsid w:val="7E921C3D"/>
    <w:rsid w:val="7E9E2FEC"/>
    <w:rsid w:val="7F3F4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semiHidden/>
    <w:qFormat/>
    <w:uiPriority w:val="0"/>
    <w:rPr>
      <w:rFonts w:ascii="宋体" w:hAnsi="宋体"/>
      <w:sz w:val="15"/>
      <w:szCs w:val="15"/>
      <w:lang w:eastAsia="en-US"/>
    </w:rPr>
  </w:style>
  <w:style w:type="paragraph" w:styleId="5">
    <w:name w:val="Block Text"/>
    <w:basedOn w:val="1"/>
    <w:qFormat/>
    <w:uiPriority w:val="0"/>
    <w:pPr>
      <w:ind w:left="1171" w:right="91" w:hanging="1080"/>
    </w:pPr>
    <w:rPr>
      <w:rFonts w:eastAsia="楷体_GB2312"/>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12">
    <w:name w:val="10_171"/>
    <w:basedOn w:val="10"/>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06B5CF-AA8F-4320-8202-629D6A9AA44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13</Pages>
  <Words>577</Words>
  <Characters>659</Characters>
  <Lines>76</Lines>
  <Paragraphs>21</Paragraphs>
  <TotalTime>0</TotalTime>
  <ScaleCrop>false</ScaleCrop>
  <LinksUpToDate>false</LinksUpToDate>
  <CharactersWithSpaces>672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2020-01-14T02:09:00Z</dcterms:created>
  <dc:creator>Bill</dc:creator>
  <cp:lastModifiedBy>滨之缘</cp:lastModifiedBy>
  <cp:lastPrinted>2025-07-14T07:51:00Z</cp:lastPrinted>
  <dcterms:modified xsi:type="dcterms:W3CDTF">2025-07-15T08:15:06Z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437F80AE98C64D829E3C8D3527E458A4_13</vt:lpwstr>
  </property>
  <property fmtid="{D5CDD505-2E9C-101B-9397-08002B2CF9AE}" pid="4" name="KSOTemplateDocerSaveRecord">
    <vt:lpwstr>eyJoZGlkIjoiMWU5NGJkOTEzNmFiNjUwNGFmMWYzNDlkNmZiOWZkMTEiLCJ1c2VySWQiOiI2ODkzOTI4NDgifQ==</vt:lpwstr>
  </property>
</Properties>
</file>