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说明：以下为保险协议格式，最终协议将根据中标结果（承保形式、保险条件等）进行相应调整，如下协议最终将由本项目招标人与中标人进行签订。</w:t>
      </w:r>
    </w:p>
    <w:p>
      <w:pPr>
        <w:spacing w:line="560" w:lineRule="exact"/>
        <w:ind w:firstLine="480" w:firstLineChars="200"/>
        <w:rPr>
          <w:rFonts w:ascii="仿宋" w:hAnsi="仿宋" w:eastAsia="仿宋" w:cs="仿宋"/>
          <w:sz w:val="24"/>
          <w:szCs w:val="24"/>
        </w:rPr>
      </w:pPr>
    </w:p>
    <w:p>
      <w:pPr>
        <w:spacing w:line="560" w:lineRule="exact"/>
        <w:jc w:val="center"/>
        <w:rPr>
          <w:rFonts w:ascii="仿宋" w:hAnsi="仿宋" w:eastAsia="仿宋" w:cs="仿宋"/>
          <w:b/>
          <w:bCs/>
          <w:sz w:val="28"/>
          <w:szCs w:val="28"/>
        </w:rPr>
      </w:pPr>
      <w:bookmarkStart w:id="0" w:name="OLE_LINK2"/>
      <w:r>
        <w:rPr>
          <w:rFonts w:ascii="仿宋" w:hAnsi="仿宋" w:eastAsia="仿宋" w:cs="仿宋"/>
          <w:b/>
          <w:bCs/>
          <w:sz w:val="28"/>
          <w:szCs w:val="28"/>
        </w:rPr>
        <w:t>AW1</w:t>
      </w:r>
      <w:r>
        <w:rPr>
          <w:rFonts w:hint="eastAsia" w:ascii="仿宋" w:hAnsi="仿宋" w:eastAsia="仿宋" w:cs="仿宋"/>
          <w:b/>
          <w:bCs/>
          <w:sz w:val="28"/>
          <w:szCs w:val="28"/>
        </w:rPr>
        <w:t>0</w:t>
      </w:r>
      <w:r>
        <w:rPr>
          <w:rFonts w:ascii="仿宋" w:hAnsi="仿宋" w:eastAsia="仿宋" w:cs="仿宋"/>
          <w:b/>
          <w:bCs/>
          <w:sz w:val="28"/>
          <w:szCs w:val="28"/>
        </w:rPr>
        <w:t>9直升机(</w:t>
      </w:r>
      <w:r>
        <w:rPr>
          <w:rFonts w:hint="eastAsia" w:ascii="仿宋" w:hAnsi="仿宋" w:eastAsia="仿宋" w:cs="仿宋"/>
          <w:b/>
          <w:bCs/>
          <w:sz w:val="28"/>
          <w:szCs w:val="28"/>
        </w:rPr>
        <w:t>序列号22747</w:t>
      </w:r>
      <w:r>
        <w:rPr>
          <w:rFonts w:ascii="仿宋" w:hAnsi="仿宋" w:eastAsia="仿宋" w:cs="仿宋"/>
          <w:b/>
          <w:bCs/>
          <w:sz w:val="28"/>
          <w:szCs w:val="28"/>
        </w:rPr>
        <w:t>)</w:t>
      </w:r>
    </w:p>
    <w:p>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保险服务协议</w:t>
      </w:r>
      <w:bookmarkEnd w:id="0"/>
    </w:p>
    <w:p>
      <w:pPr>
        <w:spacing w:line="560" w:lineRule="exact"/>
        <w:ind w:firstLine="420" w:firstLineChars="200"/>
        <w:rPr>
          <w:rFonts w:ascii="仿宋" w:hAnsi="仿宋" w:eastAsia="仿宋" w:cs="仿宋"/>
        </w:rPr>
      </w:pP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甲  方：长沙湘江通用航空发展有限公司</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地  址</w:t>
      </w:r>
      <w:r>
        <w:rPr>
          <w:rFonts w:hint="eastAsia" w:ascii="仿宋" w:hAnsi="仿宋" w:eastAsia="仿宋"/>
          <w:sz w:val="24"/>
          <w:szCs w:val="24"/>
        </w:rPr>
        <w:t>：</w:t>
      </w:r>
      <w:r>
        <w:rPr>
          <w:rFonts w:hint="eastAsia" w:ascii="仿宋_GB2312" w:hAnsi="仿宋_GB2312" w:eastAsia="仿宋_GB2312" w:cs="仿宋_GB2312"/>
          <w:sz w:val="24"/>
          <w:szCs w:val="24"/>
        </w:rPr>
        <w:t>湖南省长沙市岳麓区坪塘街道石门塘路15号旅游服务中心201-6层</w:t>
      </w:r>
    </w:p>
    <w:p>
      <w:pPr>
        <w:spacing w:line="560" w:lineRule="exact"/>
        <w:ind w:firstLine="480" w:firstLineChars="200"/>
        <w:rPr>
          <w:rFonts w:ascii="仿宋_GB2312" w:hAnsi="仿宋_GB2312" w:eastAsia="仿宋_GB2312" w:cs="仿宋_GB2312"/>
          <w:sz w:val="24"/>
          <w:szCs w:val="24"/>
        </w:rPr>
      </w:pP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乙  方：</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地  址：</w:t>
      </w:r>
    </w:p>
    <w:p>
      <w:pPr>
        <w:spacing w:line="560" w:lineRule="exact"/>
        <w:ind w:firstLine="480" w:firstLineChars="200"/>
        <w:rPr>
          <w:rFonts w:ascii="仿宋_GB2312" w:hAnsi="仿宋_GB2312" w:eastAsia="仿宋_GB2312" w:cs="仿宋_GB2312"/>
          <w:sz w:val="24"/>
          <w:szCs w:val="24"/>
        </w:rPr>
      </w:pP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甲、乙双方就</w:t>
      </w:r>
      <w:r>
        <w:rPr>
          <w:rFonts w:hint="eastAsia" w:ascii="仿宋_GB2312" w:hAnsi="仿宋_GB2312" w:eastAsia="仿宋_GB2312" w:cs="仿宋_GB2312"/>
          <w:sz w:val="24"/>
          <w:szCs w:val="24"/>
          <w:u w:val="single"/>
        </w:rPr>
        <w:t>AW109直升机</w:t>
      </w:r>
      <w:r>
        <w:rPr>
          <w:rFonts w:hint="eastAsia" w:ascii="仿宋_GB2312" w:hAnsi="仿宋_GB2312" w:eastAsia="仿宋_GB2312" w:cs="仿宋_GB2312"/>
          <w:sz w:val="24"/>
          <w:szCs w:val="24"/>
        </w:rPr>
        <w:t>保险服务事宜，根据《中华人民共和国民法典》《中华人民共和国保险法》等有关法律法规的规定，遵循平等、自愿、公平和诚实信用的原则，经协商签订如下协议，以兹共同遵守。</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一、协议组成</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下列文件应作为本协议的组成部分：</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1.本保险协议书；</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2.投保单、暂保单、保险单及批单；</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3.中标通知书；</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4.投标文件澄清及承诺；</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5.投标文件；</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6.招标文件；</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7.形成协议的其他有关文件。</w:t>
      </w:r>
    </w:p>
    <w:p>
      <w:pPr>
        <w:spacing w:line="560" w:lineRule="exact"/>
        <w:ind w:firstLine="480" w:firstLineChars="200"/>
        <w:rPr>
          <w:rFonts w:ascii="仿宋_GB2312" w:hAnsi="仿宋_GB2312" w:eastAsia="仿宋_GB2312" w:cs="仿宋_GB2312"/>
          <w:b/>
          <w:sz w:val="24"/>
          <w:szCs w:val="24"/>
        </w:rPr>
      </w:pPr>
      <w:r>
        <w:rPr>
          <w:rFonts w:hint="eastAsia" w:ascii="仿宋_GB2312" w:hAnsi="仿宋_GB2312" w:eastAsia="仿宋_GB2312" w:cs="仿宋_GB2312"/>
          <w:sz w:val="24"/>
          <w:szCs w:val="24"/>
        </w:rPr>
        <w:t>上述文件应互为补充和解释，如有不明确或不一致之处，以上面所列顺序在前的为准。</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二、保险项目</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sz w:val="24"/>
          <w:szCs w:val="24"/>
          <w:u w:val="single"/>
        </w:rPr>
        <w:t>AW109</w:t>
      </w:r>
      <w:r>
        <w:rPr>
          <w:rFonts w:hint="eastAsia" w:ascii="仿宋_GB2312" w:hAnsi="仿宋_GB2312" w:eastAsia="仿宋_GB2312" w:cs="仿宋_GB2312"/>
          <w:kern w:val="0"/>
          <w:sz w:val="24"/>
          <w:szCs w:val="24"/>
        </w:rPr>
        <w:t>直升机</w:t>
      </w:r>
      <w:r>
        <w:rPr>
          <w:rFonts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序列号：22747</w:t>
      </w:r>
      <w:r>
        <w:rPr>
          <w:rFonts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保险服务项目</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三、保险险种</w:t>
      </w:r>
    </w:p>
    <w:p>
      <w:pPr>
        <w:spacing w:line="560" w:lineRule="exact"/>
        <w:ind w:firstLine="480" w:firstLineChars="200"/>
        <w:rPr>
          <w:rFonts w:ascii="仿宋_GB2312" w:hAnsi="仿宋_GB2312" w:eastAsia="仿宋_GB2312" w:cs="仿宋_GB2312"/>
          <w:kern w:val="0"/>
          <w:sz w:val="24"/>
          <w:szCs w:val="24"/>
        </w:rPr>
      </w:pPr>
      <w:r>
        <w:rPr>
          <w:rFonts w:ascii="仿宋_GB2312" w:hAnsi="仿宋_GB2312" w:eastAsia="仿宋_GB2312" w:cs="仿宋_GB2312"/>
          <w:kern w:val="0"/>
          <w:sz w:val="24"/>
          <w:szCs w:val="24"/>
        </w:rPr>
        <w:t>1.</w:t>
      </w:r>
      <w:r>
        <w:rPr>
          <w:rFonts w:hint="eastAsia" w:ascii="仿宋_GB2312" w:hAnsi="仿宋_GB2312" w:eastAsia="仿宋_GB2312" w:cs="仿宋_GB2312"/>
          <w:kern w:val="0"/>
          <w:sz w:val="24"/>
          <w:szCs w:val="24"/>
        </w:rPr>
        <w:t>机身一切险：保障由承保风险导致承保航空器的被保险人拥有、运营、使用或其同意负有责任的航空器的损失或灭失。</w:t>
      </w:r>
    </w:p>
    <w:p>
      <w:pPr>
        <w:spacing w:line="560" w:lineRule="exact"/>
        <w:ind w:firstLine="480" w:firstLineChars="200"/>
        <w:rPr>
          <w:rFonts w:ascii="仿宋_GB2312" w:hAnsi="仿宋_GB2312" w:eastAsia="仿宋_GB2312" w:cs="仿宋_GB2312"/>
          <w:kern w:val="0"/>
          <w:sz w:val="24"/>
          <w:szCs w:val="24"/>
        </w:rPr>
      </w:pPr>
      <w:r>
        <w:rPr>
          <w:rFonts w:ascii="仿宋_GB2312" w:hAnsi="仿宋_GB2312" w:eastAsia="仿宋_GB2312" w:cs="仿宋_GB2312"/>
          <w:kern w:val="0"/>
          <w:sz w:val="24"/>
          <w:szCs w:val="24"/>
        </w:rPr>
        <w:t>2.</w:t>
      </w:r>
      <w:r>
        <w:rPr>
          <w:rFonts w:hint="eastAsia" w:ascii="仿宋_GB2312" w:hAnsi="仿宋_GB2312" w:eastAsia="仿宋_GB2312" w:cs="仿宋_GB2312"/>
          <w:kern w:val="0"/>
          <w:sz w:val="24"/>
          <w:szCs w:val="24"/>
        </w:rPr>
        <w:t>第三者责任险：保险金额为</w:t>
      </w:r>
      <w:r>
        <w:rPr>
          <w:rFonts w:ascii="仿宋_GB2312" w:hAnsi="仿宋_GB2312" w:eastAsia="仿宋_GB2312" w:cs="仿宋_GB2312"/>
          <w:kern w:val="0"/>
          <w:sz w:val="24"/>
          <w:szCs w:val="24"/>
        </w:rPr>
        <w:t>200</w:t>
      </w:r>
      <w:r>
        <w:rPr>
          <w:rFonts w:hint="eastAsia" w:ascii="仿宋_GB2312" w:hAnsi="仿宋_GB2312" w:eastAsia="仿宋_GB2312" w:cs="仿宋_GB2312"/>
          <w:kern w:val="0"/>
          <w:sz w:val="24"/>
          <w:szCs w:val="24"/>
        </w:rPr>
        <w:t>,</w:t>
      </w:r>
      <w:r>
        <w:rPr>
          <w:rFonts w:ascii="仿宋_GB2312" w:hAnsi="仿宋_GB2312" w:eastAsia="仿宋_GB2312" w:cs="仿宋_GB2312"/>
          <w:kern w:val="0"/>
          <w:sz w:val="24"/>
          <w:szCs w:val="24"/>
        </w:rPr>
        <w:t>000</w:t>
      </w:r>
      <w:r>
        <w:rPr>
          <w:rFonts w:hint="eastAsia" w:ascii="仿宋_GB2312" w:hAnsi="仿宋_GB2312" w:eastAsia="仿宋_GB2312" w:cs="仿宋_GB2312"/>
          <w:kern w:val="0"/>
          <w:sz w:val="24"/>
          <w:szCs w:val="24"/>
        </w:rPr>
        <w:t>,</w:t>
      </w:r>
      <w:r>
        <w:rPr>
          <w:rFonts w:ascii="仿宋_GB2312" w:hAnsi="仿宋_GB2312" w:eastAsia="仿宋_GB2312" w:cs="仿宋_GB2312"/>
          <w:kern w:val="0"/>
          <w:sz w:val="24"/>
          <w:szCs w:val="24"/>
        </w:rPr>
        <w:t>000元人民币。</w:t>
      </w:r>
    </w:p>
    <w:p>
      <w:pPr>
        <w:spacing w:line="560" w:lineRule="exact"/>
        <w:ind w:firstLine="480" w:firstLineChars="200"/>
        <w:rPr>
          <w:rFonts w:ascii="仿宋_GB2312" w:hAnsi="仿宋_GB2312" w:eastAsia="仿宋_GB2312" w:cs="仿宋_GB2312"/>
          <w:kern w:val="0"/>
          <w:sz w:val="24"/>
          <w:szCs w:val="24"/>
        </w:rPr>
      </w:pPr>
      <w:r>
        <w:rPr>
          <w:rFonts w:ascii="仿宋_GB2312" w:hAnsi="仿宋_GB2312" w:eastAsia="仿宋_GB2312" w:cs="仿宋_GB2312"/>
          <w:kern w:val="0"/>
          <w:sz w:val="24"/>
          <w:szCs w:val="24"/>
        </w:rPr>
        <w:t>3.乘客责任险（含飞行员及机组人员）</w:t>
      </w:r>
      <w:bookmarkStart w:id="1" w:name="OLE_LINK1"/>
      <w:r>
        <w:rPr>
          <w:rFonts w:hint="eastAsia" w:ascii="仿宋_GB2312" w:hAnsi="仿宋_GB2312" w:eastAsia="仿宋_GB2312" w:cs="仿宋_GB2312"/>
          <w:kern w:val="0"/>
          <w:sz w:val="24"/>
          <w:szCs w:val="24"/>
        </w:rPr>
        <w:t>机组保险金额为</w:t>
      </w:r>
      <w:r>
        <w:rPr>
          <w:rFonts w:ascii="仿宋_GB2312" w:hAnsi="仿宋_GB2312" w:eastAsia="仿宋_GB2312" w:cs="仿宋_GB2312"/>
          <w:kern w:val="0"/>
          <w:sz w:val="24"/>
          <w:szCs w:val="24"/>
        </w:rPr>
        <w:t>3</w:t>
      </w:r>
      <w:r>
        <w:rPr>
          <w:rFonts w:hint="eastAsia" w:ascii="仿宋_GB2312" w:hAnsi="仿宋_GB2312" w:eastAsia="仿宋_GB2312" w:cs="仿宋_GB2312"/>
          <w:kern w:val="0"/>
          <w:sz w:val="24"/>
          <w:szCs w:val="24"/>
        </w:rPr>
        <w:t>,</w:t>
      </w:r>
      <w:r>
        <w:rPr>
          <w:rFonts w:ascii="仿宋_GB2312" w:hAnsi="仿宋_GB2312" w:eastAsia="仿宋_GB2312" w:cs="仿宋_GB2312"/>
          <w:kern w:val="0"/>
          <w:sz w:val="24"/>
          <w:szCs w:val="24"/>
        </w:rPr>
        <w:t>000</w:t>
      </w:r>
      <w:r>
        <w:rPr>
          <w:rFonts w:hint="eastAsia" w:ascii="仿宋_GB2312" w:hAnsi="仿宋_GB2312" w:eastAsia="仿宋_GB2312" w:cs="仿宋_GB2312"/>
          <w:kern w:val="0"/>
          <w:sz w:val="24"/>
          <w:szCs w:val="24"/>
        </w:rPr>
        <w:t>,</w:t>
      </w:r>
      <w:r>
        <w:rPr>
          <w:rFonts w:ascii="仿宋_GB2312" w:hAnsi="仿宋_GB2312" w:eastAsia="仿宋_GB2312" w:cs="仿宋_GB2312"/>
          <w:kern w:val="0"/>
          <w:sz w:val="24"/>
          <w:szCs w:val="24"/>
        </w:rPr>
        <w:t>000元人民币/座，机组为2座；乘客保险金额为</w:t>
      </w:r>
      <w:r>
        <w:rPr>
          <w:rFonts w:hint="eastAsia" w:ascii="仿宋_GB2312" w:hAnsi="仿宋_GB2312" w:eastAsia="仿宋_GB2312" w:cs="仿宋_GB2312"/>
          <w:kern w:val="0"/>
          <w:sz w:val="24"/>
          <w:szCs w:val="24"/>
        </w:rPr>
        <w:t>3,</w:t>
      </w:r>
      <w:r>
        <w:rPr>
          <w:rFonts w:ascii="仿宋_GB2312" w:hAnsi="仿宋_GB2312" w:eastAsia="仿宋_GB2312" w:cs="仿宋_GB2312"/>
          <w:kern w:val="0"/>
          <w:sz w:val="24"/>
          <w:szCs w:val="24"/>
        </w:rPr>
        <w:t>000</w:t>
      </w:r>
      <w:r>
        <w:rPr>
          <w:rFonts w:hint="eastAsia" w:ascii="仿宋_GB2312" w:hAnsi="仿宋_GB2312" w:eastAsia="仿宋_GB2312" w:cs="仿宋_GB2312"/>
          <w:kern w:val="0"/>
          <w:sz w:val="24"/>
          <w:szCs w:val="24"/>
        </w:rPr>
        <w:t>,</w:t>
      </w:r>
      <w:r>
        <w:rPr>
          <w:rFonts w:ascii="仿宋_GB2312" w:hAnsi="仿宋_GB2312" w:eastAsia="仿宋_GB2312" w:cs="仿宋_GB2312"/>
          <w:kern w:val="0"/>
          <w:sz w:val="24"/>
          <w:szCs w:val="24"/>
        </w:rPr>
        <w:t>000元人民币/座，乘客为</w:t>
      </w:r>
      <w:r>
        <w:rPr>
          <w:rFonts w:hint="eastAsia" w:ascii="仿宋_GB2312" w:hAnsi="仿宋_GB2312" w:eastAsia="仿宋_GB2312" w:cs="仿宋_GB2312"/>
          <w:kern w:val="0"/>
          <w:sz w:val="24"/>
          <w:szCs w:val="24"/>
        </w:rPr>
        <w:t>6</w:t>
      </w:r>
      <w:r>
        <w:rPr>
          <w:rFonts w:ascii="仿宋_GB2312" w:hAnsi="仿宋_GB2312" w:eastAsia="仿宋_GB2312" w:cs="仿宋_GB2312"/>
          <w:kern w:val="0"/>
          <w:sz w:val="24"/>
          <w:szCs w:val="24"/>
        </w:rPr>
        <w:t>座。</w:t>
      </w:r>
      <w:bookmarkEnd w:id="1"/>
    </w:p>
    <w:p>
      <w:pPr>
        <w:spacing w:before="156" w:beforeLines="50" w:line="36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四、保险经纪人</w:t>
      </w:r>
    </w:p>
    <w:p>
      <w:pPr>
        <w:spacing w:line="360" w:lineRule="auto"/>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甲方聘请航联保险经纪有限公司为本协议下保险项目的保险经纪人。保险经纪人在保险法及相关法律法规、监管政策约束下，根据甲方与其签订的授权委托书的有关内容，为本协议下保险项目提供全程的保险经纪服务。</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五、投保与出单</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本协议签订后，甲方的保险经纪人根据甲方飞机引进计划，协助甲方出具投保单，并向乙方发送盖章确认的投保单；乙方应依据本协议的约定，在收到投保单后的3个工作日内出具正式保单。</w:t>
      </w:r>
    </w:p>
    <w:p>
      <w:pPr>
        <w:spacing w:line="560" w:lineRule="exact"/>
        <w:ind w:firstLine="480" w:firstLineChars="200"/>
        <w:rPr>
          <w:rFonts w:ascii="仿宋_GB2312" w:hAnsi="仿宋_GB2312" w:eastAsia="仿宋_GB2312" w:cs="仿宋_GB2312"/>
        </w:rPr>
      </w:pPr>
      <w:r>
        <w:rPr>
          <w:rFonts w:ascii="仿宋_GB2312" w:hAnsi="仿宋_GB2312" w:eastAsia="仿宋_GB2312" w:cs="仿宋_GB2312"/>
          <w:sz w:val="24"/>
          <w:szCs w:val="24"/>
        </w:rPr>
        <w:t>六</w:t>
      </w:r>
      <w:r>
        <w:rPr>
          <w:rFonts w:hint="eastAsia" w:ascii="仿宋_GB2312" w:hAnsi="仿宋_GB2312" w:eastAsia="仿宋_GB2312" w:cs="仿宋_GB2312"/>
          <w:sz w:val="24"/>
          <w:szCs w:val="24"/>
        </w:rPr>
        <w:t>、保险费与支付方式</w:t>
      </w:r>
    </w:p>
    <w:p>
      <w:pPr>
        <w:spacing w:line="560" w:lineRule="exact"/>
        <w:ind w:firstLine="480" w:firstLineChars="200"/>
      </w:pPr>
      <w:r>
        <w:rPr>
          <w:rFonts w:hint="eastAsia" w:ascii="仿宋_GB2312" w:hAnsi="仿宋_GB2312" w:eastAsia="仿宋_GB2312" w:cs="仿宋_GB2312"/>
          <w:kern w:val="0"/>
          <w:sz w:val="24"/>
          <w:szCs w:val="24"/>
        </w:rPr>
        <w:t>（一）保险费率与保险费</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本协议期限内，保险费率维持不变，如甲方增加投保相同型号的航空器，费率按照下表执行。</w:t>
      </w:r>
    </w:p>
    <w:p>
      <w:pPr>
        <w:spacing w:line="560" w:lineRule="exact"/>
        <w:ind w:firstLine="440" w:firstLineChars="200"/>
        <w:jc w:val="right"/>
        <w:rPr>
          <w:rFonts w:ascii="仿宋_GB2312" w:hAnsi="仿宋_GB2312" w:eastAsia="仿宋_GB2312" w:cs="仿宋_GB2312"/>
          <w:kern w:val="0"/>
          <w:sz w:val="22"/>
          <w:szCs w:val="20"/>
        </w:rPr>
      </w:pPr>
    </w:p>
    <w:p>
      <w:pPr>
        <w:spacing w:line="560" w:lineRule="exact"/>
        <w:ind w:firstLine="440" w:firstLineChars="200"/>
        <w:jc w:val="right"/>
        <w:rPr>
          <w:rFonts w:ascii="仿宋_GB2312" w:hAnsi="仿宋_GB2312" w:eastAsia="仿宋_GB2312" w:cs="仿宋_GB2312"/>
          <w:kern w:val="0"/>
          <w:sz w:val="22"/>
          <w:szCs w:val="20"/>
        </w:rPr>
      </w:pPr>
    </w:p>
    <w:p>
      <w:pPr>
        <w:spacing w:line="560" w:lineRule="exact"/>
        <w:ind w:firstLine="440" w:firstLineChars="200"/>
        <w:jc w:val="right"/>
        <w:rPr>
          <w:rFonts w:ascii="仿宋_GB2312" w:hAnsi="仿宋_GB2312" w:eastAsia="仿宋_GB2312" w:cs="仿宋_GB2312"/>
          <w:kern w:val="0"/>
          <w:sz w:val="22"/>
          <w:szCs w:val="20"/>
        </w:rPr>
      </w:pPr>
      <w:r>
        <w:rPr>
          <w:rFonts w:hint="eastAsia" w:ascii="仿宋_GB2312" w:hAnsi="仿宋_GB2312" w:eastAsia="仿宋_GB2312" w:cs="仿宋_GB2312"/>
          <w:kern w:val="0"/>
          <w:sz w:val="22"/>
          <w:szCs w:val="20"/>
        </w:rPr>
        <w:t>货币单位：人民币万元</w:t>
      </w:r>
    </w:p>
    <w:tbl>
      <w:tblPr>
        <w:tblStyle w:val="9"/>
        <w:tblW w:w="8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2"/>
        <w:gridCol w:w="1900"/>
        <w:gridCol w:w="1633"/>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2732" w:type="dxa"/>
            <w:vAlign w:val="center"/>
          </w:tcPr>
          <w:p>
            <w:pPr>
              <w:tabs>
                <w:tab w:val="left" w:pos="0"/>
              </w:tabs>
              <w:spacing w:line="560" w:lineRule="exact"/>
              <w:jc w:val="center"/>
              <w:rPr>
                <w:rFonts w:ascii="仿宋" w:hAnsi="仿宋" w:eastAsia="仿宋" w:cs="仿宋"/>
                <w:kern w:val="0"/>
                <w:szCs w:val="21"/>
              </w:rPr>
            </w:pPr>
            <w:r>
              <w:rPr>
                <w:rFonts w:hint="eastAsia" w:ascii="仿宋" w:hAnsi="仿宋" w:eastAsia="仿宋" w:cs="仿宋"/>
                <w:kern w:val="0"/>
                <w:szCs w:val="21"/>
              </w:rPr>
              <w:t>险种</w:t>
            </w:r>
          </w:p>
        </w:tc>
        <w:tc>
          <w:tcPr>
            <w:tcW w:w="1900" w:type="dxa"/>
            <w:vAlign w:val="center"/>
          </w:tcPr>
          <w:p>
            <w:pPr>
              <w:tabs>
                <w:tab w:val="left" w:pos="0"/>
              </w:tabs>
              <w:spacing w:line="560" w:lineRule="exact"/>
              <w:jc w:val="center"/>
              <w:rPr>
                <w:rFonts w:ascii="仿宋" w:hAnsi="仿宋" w:eastAsia="仿宋" w:cs="仿宋"/>
                <w:kern w:val="0"/>
                <w:szCs w:val="21"/>
              </w:rPr>
            </w:pPr>
            <w:r>
              <w:rPr>
                <w:rFonts w:hint="eastAsia" w:ascii="仿宋" w:hAnsi="仿宋" w:eastAsia="仿宋" w:cs="仿宋"/>
                <w:kern w:val="0"/>
                <w:szCs w:val="21"/>
              </w:rPr>
              <w:t>保险金额/</w:t>
            </w:r>
          </w:p>
          <w:p>
            <w:pPr>
              <w:tabs>
                <w:tab w:val="left" w:pos="0"/>
              </w:tabs>
              <w:spacing w:line="560" w:lineRule="exact"/>
              <w:jc w:val="center"/>
              <w:rPr>
                <w:rFonts w:ascii="仿宋" w:hAnsi="仿宋" w:eastAsia="仿宋" w:cs="仿宋"/>
                <w:kern w:val="0"/>
                <w:szCs w:val="21"/>
              </w:rPr>
            </w:pPr>
            <w:r>
              <w:rPr>
                <w:rFonts w:hint="eastAsia" w:ascii="仿宋" w:hAnsi="仿宋" w:eastAsia="仿宋" w:cs="仿宋"/>
                <w:kern w:val="0"/>
                <w:szCs w:val="21"/>
              </w:rPr>
              <w:t>累计赔偿限额</w:t>
            </w:r>
          </w:p>
        </w:tc>
        <w:tc>
          <w:tcPr>
            <w:tcW w:w="1633" w:type="dxa"/>
            <w:vAlign w:val="center"/>
          </w:tcPr>
          <w:p>
            <w:pPr>
              <w:tabs>
                <w:tab w:val="left" w:pos="0"/>
              </w:tabs>
              <w:spacing w:line="560" w:lineRule="exact"/>
              <w:jc w:val="center"/>
              <w:rPr>
                <w:rFonts w:ascii="仿宋" w:hAnsi="仿宋" w:eastAsia="仿宋" w:cs="仿宋"/>
                <w:kern w:val="0"/>
                <w:szCs w:val="21"/>
              </w:rPr>
            </w:pPr>
            <w:r>
              <w:rPr>
                <w:rFonts w:hint="eastAsia" w:ascii="仿宋" w:hAnsi="仿宋" w:eastAsia="仿宋" w:cs="仿宋"/>
                <w:kern w:val="0"/>
                <w:szCs w:val="21"/>
              </w:rPr>
              <w:t>费率（‰）</w:t>
            </w:r>
          </w:p>
        </w:tc>
        <w:tc>
          <w:tcPr>
            <w:tcW w:w="1981" w:type="dxa"/>
            <w:vAlign w:val="center"/>
          </w:tcPr>
          <w:p>
            <w:pPr>
              <w:tabs>
                <w:tab w:val="left" w:pos="0"/>
              </w:tabs>
              <w:spacing w:line="560" w:lineRule="exact"/>
              <w:jc w:val="center"/>
              <w:rPr>
                <w:rFonts w:ascii="仿宋" w:hAnsi="仿宋" w:eastAsia="仿宋" w:cs="仿宋"/>
                <w:kern w:val="0"/>
                <w:szCs w:val="21"/>
              </w:rPr>
            </w:pPr>
            <w:r>
              <w:rPr>
                <w:rFonts w:hint="eastAsia" w:ascii="仿宋" w:hAnsi="仿宋" w:eastAsia="仿宋" w:cs="仿宋"/>
                <w:kern w:val="0"/>
                <w:szCs w:val="21"/>
              </w:rPr>
              <w:t>保险费/万元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2732" w:type="dxa"/>
            <w:vAlign w:val="center"/>
          </w:tcPr>
          <w:p>
            <w:pPr>
              <w:tabs>
                <w:tab w:val="left" w:pos="0"/>
              </w:tabs>
              <w:spacing w:line="560" w:lineRule="exact"/>
              <w:jc w:val="center"/>
              <w:rPr>
                <w:rFonts w:ascii="仿宋" w:hAnsi="仿宋" w:eastAsia="仿宋" w:cs="仿宋"/>
                <w:kern w:val="0"/>
                <w:szCs w:val="21"/>
              </w:rPr>
            </w:pPr>
            <w:r>
              <w:rPr>
                <w:rFonts w:hint="eastAsia" w:ascii="仿宋_GB2312" w:hAnsi="仿宋_GB2312" w:eastAsia="仿宋_GB2312" w:cs="仿宋_GB2312"/>
                <w:kern w:val="0"/>
                <w:sz w:val="24"/>
                <w:szCs w:val="24"/>
              </w:rPr>
              <w:t>机身一切险</w:t>
            </w:r>
          </w:p>
        </w:tc>
        <w:tc>
          <w:tcPr>
            <w:tcW w:w="1900" w:type="dxa"/>
            <w:vAlign w:val="center"/>
          </w:tcPr>
          <w:p>
            <w:pPr>
              <w:spacing w:line="560" w:lineRule="exact"/>
              <w:jc w:val="center"/>
              <w:rPr>
                <w:rFonts w:ascii="仿宋" w:hAnsi="仿宋" w:eastAsia="仿宋" w:cs="仿宋"/>
                <w:kern w:val="0"/>
                <w:szCs w:val="21"/>
              </w:rPr>
            </w:pPr>
            <w:r>
              <w:rPr>
                <w:rFonts w:hint="eastAsia" w:ascii="仿宋" w:hAnsi="仿宋" w:eastAsia="仿宋" w:cs="仿宋"/>
                <w:kern w:val="0"/>
                <w:szCs w:val="21"/>
              </w:rPr>
              <w:t>5500万元</w:t>
            </w:r>
          </w:p>
          <w:p>
            <w:pPr>
              <w:spacing w:line="560" w:lineRule="exact"/>
              <w:jc w:val="center"/>
              <w:rPr>
                <w:rFonts w:ascii="仿宋" w:hAnsi="仿宋" w:eastAsia="仿宋" w:cs="仿宋"/>
                <w:kern w:val="0"/>
                <w:szCs w:val="21"/>
              </w:rPr>
            </w:pPr>
            <w:r>
              <w:rPr>
                <w:rFonts w:hint="eastAsia" w:ascii="仿宋" w:hAnsi="仿宋" w:eastAsia="仿宋" w:cs="仿宋"/>
                <w:kern w:val="0"/>
                <w:szCs w:val="21"/>
              </w:rPr>
              <w:t>(含机载设备）</w:t>
            </w:r>
          </w:p>
        </w:tc>
        <w:tc>
          <w:tcPr>
            <w:tcW w:w="1633" w:type="dxa"/>
            <w:vAlign w:val="center"/>
          </w:tcPr>
          <w:p>
            <w:pPr>
              <w:tabs>
                <w:tab w:val="left" w:pos="0"/>
              </w:tabs>
              <w:spacing w:line="560" w:lineRule="exact"/>
              <w:jc w:val="center"/>
              <w:rPr>
                <w:rFonts w:ascii="仿宋" w:hAnsi="仿宋" w:eastAsia="仿宋" w:cs="仿宋"/>
                <w:kern w:val="0"/>
                <w:szCs w:val="21"/>
              </w:rPr>
            </w:pPr>
          </w:p>
        </w:tc>
        <w:tc>
          <w:tcPr>
            <w:tcW w:w="1981" w:type="dxa"/>
            <w:vAlign w:val="center"/>
          </w:tcPr>
          <w:p>
            <w:pPr>
              <w:tabs>
                <w:tab w:val="left" w:pos="0"/>
              </w:tabs>
              <w:spacing w:line="560" w:lineRule="exact"/>
              <w:jc w:val="center"/>
              <w:rPr>
                <w:rFonts w:ascii="仿宋" w:hAnsi="仿宋" w:eastAsia="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2732" w:type="dxa"/>
            <w:vAlign w:val="center"/>
          </w:tcPr>
          <w:p>
            <w:pPr>
              <w:tabs>
                <w:tab w:val="left" w:pos="0"/>
              </w:tabs>
              <w:spacing w:line="560" w:lineRule="exact"/>
              <w:jc w:val="center"/>
              <w:rPr>
                <w:rFonts w:ascii="仿宋" w:hAnsi="仿宋" w:eastAsia="仿宋" w:cs="仿宋"/>
                <w:szCs w:val="21"/>
              </w:rPr>
            </w:pPr>
            <w:r>
              <w:rPr>
                <w:rFonts w:hint="eastAsia" w:ascii="仿宋_GB2312" w:hAnsi="仿宋_GB2312" w:eastAsia="仿宋_GB2312" w:cs="仿宋_GB2312"/>
                <w:kern w:val="0"/>
                <w:sz w:val="24"/>
                <w:szCs w:val="24"/>
              </w:rPr>
              <w:t>第三者责任险</w:t>
            </w:r>
          </w:p>
        </w:tc>
        <w:tc>
          <w:tcPr>
            <w:tcW w:w="1900" w:type="dxa"/>
            <w:vAlign w:val="center"/>
          </w:tcPr>
          <w:p>
            <w:pPr>
              <w:spacing w:line="560" w:lineRule="exact"/>
              <w:jc w:val="center"/>
              <w:rPr>
                <w:rFonts w:ascii="仿宋" w:hAnsi="仿宋" w:eastAsia="仿宋" w:cs="仿宋"/>
                <w:kern w:val="0"/>
                <w:szCs w:val="21"/>
              </w:rPr>
            </w:pPr>
            <w:r>
              <w:rPr>
                <w:rFonts w:hint="eastAsia" w:ascii="仿宋" w:hAnsi="仿宋" w:eastAsia="仿宋" w:cs="仿宋"/>
                <w:kern w:val="0"/>
                <w:szCs w:val="21"/>
              </w:rPr>
              <w:t>20,000万元</w:t>
            </w:r>
          </w:p>
        </w:tc>
        <w:tc>
          <w:tcPr>
            <w:tcW w:w="1633" w:type="dxa"/>
            <w:vAlign w:val="center"/>
          </w:tcPr>
          <w:p>
            <w:pPr>
              <w:tabs>
                <w:tab w:val="left" w:pos="0"/>
              </w:tabs>
              <w:spacing w:line="560" w:lineRule="exact"/>
              <w:jc w:val="center"/>
              <w:rPr>
                <w:rFonts w:ascii="仿宋" w:hAnsi="仿宋" w:eastAsia="仿宋" w:cs="仿宋"/>
                <w:kern w:val="0"/>
                <w:szCs w:val="21"/>
              </w:rPr>
            </w:pPr>
          </w:p>
        </w:tc>
        <w:tc>
          <w:tcPr>
            <w:tcW w:w="1981" w:type="dxa"/>
            <w:vAlign w:val="center"/>
          </w:tcPr>
          <w:p>
            <w:pPr>
              <w:tabs>
                <w:tab w:val="left" w:pos="0"/>
              </w:tabs>
              <w:spacing w:line="560" w:lineRule="exact"/>
              <w:jc w:val="center"/>
              <w:rPr>
                <w:rFonts w:ascii="仿宋" w:hAnsi="仿宋" w:eastAsia="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2732" w:type="dxa"/>
            <w:vAlign w:val="center"/>
          </w:tcPr>
          <w:p>
            <w:pPr>
              <w:tabs>
                <w:tab w:val="left" w:pos="0"/>
              </w:tabs>
              <w:spacing w:line="560" w:lineRule="exact"/>
              <w:jc w:val="center"/>
              <w:rPr>
                <w:rFonts w:ascii="仿宋" w:hAnsi="仿宋" w:eastAsia="仿宋" w:cs="仿宋"/>
                <w:kern w:val="0"/>
                <w:szCs w:val="21"/>
              </w:rPr>
            </w:pPr>
            <w:r>
              <w:rPr>
                <w:rFonts w:hint="eastAsia" w:ascii="仿宋_GB2312" w:hAnsi="仿宋_GB2312" w:eastAsia="仿宋_GB2312" w:cs="仿宋_GB2312"/>
                <w:kern w:val="0"/>
                <w:sz w:val="24"/>
                <w:szCs w:val="24"/>
              </w:rPr>
              <w:t>乘客责任险（含飞行员及机组人员）</w:t>
            </w:r>
          </w:p>
        </w:tc>
        <w:tc>
          <w:tcPr>
            <w:tcW w:w="1900" w:type="dxa"/>
            <w:vAlign w:val="center"/>
          </w:tcPr>
          <w:p>
            <w:pPr>
              <w:spacing w:line="560" w:lineRule="exact"/>
              <w:jc w:val="center"/>
              <w:rPr>
                <w:rFonts w:ascii="仿宋" w:hAnsi="仿宋" w:eastAsia="仿宋" w:cs="仿宋"/>
                <w:kern w:val="0"/>
                <w:szCs w:val="21"/>
              </w:rPr>
            </w:pPr>
            <w:r>
              <w:rPr>
                <w:rFonts w:hint="eastAsia" w:ascii="仿宋" w:hAnsi="仿宋" w:eastAsia="仿宋" w:cs="仿宋"/>
                <w:kern w:val="0"/>
                <w:szCs w:val="21"/>
              </w:rPr>
              <w:t>2400万元（机组2人+乘客6人）</w:t>
            </w:r>
          </w:p>
        </w:tc>
        <w:tc>
          <w:tcPr>
            <w:tcW w:w="1633" w:type="dxa"/>
            <w:vAlign w:val="center"/>
          </w:tcPr>
          <w:p>
            <w:pPr>
              <w:tabs>
                <w:tab w:val="left" w:pos="0"/>
              </w:tabs>
              <w:spacing w:line="560" w:lineRule="exact"/>
              <w:jc w:val="center"/>
              <w:rPr>
                <w:rFonts w:ascii="仿宋" w:hAnsi="仿宋" w:eastAsia="仿宋" w:cs="仿宋"/>
                <w:kern w:val="0"/>
                <w:szCs w:val="21"/>
              </w:rPr>
            </w:pPr>
          </w:p>
        </w:tc>
        <w:tc>
          <w:tcPr>
            <w:tcW w:w="1981" w:type="dxa"/>
            <w:vAlign w:val="center"/>
          </w:tcPr>
          <w:p>
            <w:pPr>
              <w:tabs>
                <w:tab w:val="left" w:pos="0"/>
              </w:tabs>
              <w:spacing w:line="560" w:lineRule="exact"/>
              <w:jc w:val="center"/>
              <w:rPr>
                <w:rFonts w:ascii="仿宋" w:hAnsi="仿宋" w:eastAsia="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6265" w:type="dxa"/>
            <w:gridSpan w:val="3"/>
            <w:vAlign w:val="center"/>
          </w:tcPr>
          <w:p>
            <w:pPr>
              <w:tabs>
                <w:tab w:val="left" w:pos="0"/>
              </w:tabs>
              <w:spacing w:line="560" w:lineRule="exact"/>
              <w:jc w:val="center"/>
              <w:rPr>
                <w:rFonts w:ascii="仿宋" w:hAnsi="仿宋" w:eastAsia="仿宋_GB2312" w:cs="仿宋"/>
                <w:kern w:val="0"/>
                <w:szCs w:val="21"/>
              </w:rPr>
            </w:pPr>
            <w:r>
              <w:rPr>
                <w:rFonts w:hint="eastAsia" w:ascii="仿宋_GB2312" w:hAnsi="仿宋_GB2312" w:eastAsia="仿宋_GB2312" w:cs="仿宋_GB2312"/>
                <w:kern w:val="0"/>
                <w:sz w:val="24"/>
                <w:szCs w:val="24"/>
              </w:rPr>
              <w:t>合计/万元</w:t>
            </w:r>
          </w:p>
        </w:tc>
        <w:tc>
          <w:tcPr>
            <w:tcW w:w="1981" w:type="dxa"/>
            <w:vAlign w:val="center"/>
          </w:tcPr>
          <w:p>
            <w:pPr>
              <w:tabs>
                <w:tab w:val="left" w:pos="0"/>
              </w:tabs>
              <w:spacing w:line="560" w:lineRule="exact"/>
              <w:jc w:val="center"/>
              <w:rPr>
                <w:rFonts w:ascii="仿宋" w:hAnsi="仿宋" w:eastAsia="仿宋" w:cs="仿宋"/>
                <w:kern w:val="0"/>
                <w:szCs w:val="21"/>
              </w:rPr>
            </w:pPr>
          </w:p>
        </w:tc>
      </w:tr>
    </w:tbl>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（二）保费支付方式</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1.办理保费支付时，由乙方向甲方递交缴费通知书，并按甲方规定提供相应正规增值税专用发票。</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2.增值税专用发票信息</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名称：长沙湘江通用航空发展有限公司</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税号：91430100MA4RK3HB4D</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电话：0731-88508720</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开户行银行：中国工商银行长沙后湖路支行</w:t>
      </w:r>
    </w:p>
    <w:p>
      <w:pPr>
        <w:spacing w:line="56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银行账号：1901102909100014779</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3.保费按年支付，乙方同意保费在保险生效后3个日历月内支付，保费款项自甲方账户划出即视为甲方完成支付，本协议约定费率和保费均为含税价。</w:t>
      </w:r>
    </w:p>
    <w:p>
      <w:pPr>
        <w:spacing w:line="560" w:lineRule="exact"/>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七</w:t>
      </w:r>
      <w:r>
        <w:rPr>
          <w:rFonts w:hint="eastAsia" w:ascii="仿宋_GB2312" w:hAnsi="仿宋_GB2312" w:eastAsia="仿宋_GB2312" w:cs="仿宋_GB2312"/>
          <w:sz w:val="24"/>
          <w:szCs w:val="24"/>
        </w:rPr>
        <w:t>、保险条件</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保险条件如附件一所示，最终根据中标结果确定。</w:t>
      </w:r>
    </w:p>
    <w:p>
      <w:pPr>
        <w:spacing w:before="156" w:beforeLines="50" w:line="360" w:lineRule="auto"/>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八</w:t>
      </w:r>
      <w:r>
        <w:rPr>
          <w:rFonts w:hint="eastAsia" w:ascii="仿宋_GB2312" w:hAnsi="仿宋_GB2312" w:eastAsia="仿宋_GB2312" w:cs="仿宋_GB2312"/>
          <w:sz w:val="24"/>
          <w:szCs w:val="24"/>
        </w:rPr>
        <w:t>、乙方服务组织设置</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为确保能够为本项目提供及时有效的保险服务，乙方成立专项保险服务小组，为本项目提供服务。人员组成如下：</w:t>
      </w:r>
    </w:p>
    <w:tbl>
      <w:tblPr>
        <w:tblStyle w:val="9"/>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900"/>
        <w:gridCol w:w="1500"/>
        <w:gridCol w:w="1410"/>
        <w:gridCol w:w="1575"/>
        <w:gridCol w:w="2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2" w:type="dxa"/>
            <w:vAlign w:val="center"/>
          </w:tcPr>
          <w:p>
            <w:pPr>
              <w:spacing w:line="560" w:lineRule="exact"/>
              <w:rPr>
                <w:rFonts w:ascii="仿宋_GB2312" w:hAnsi="仿宋_GB2312" w:eastAsia="仿宋_GB2312" w:cs="仿宋_GB2312"/>
                <w:kern w:val="0"/>
                <w:szCs w:val="21"/>
              </w:rPr>
            </w:pPr>
          </w:p>
        </w:tc>
        <w:tc>
          <w:tcPr>
            <w:tcW w:w="900" w:type="dxa"/>
            <w:vAlign w:val="center"/>
          </w:tcPr>
          <w:p>
            <w:pPr>
              <w:spacing w:line="5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姓名</w:t>
            </w:r>
          </w:p>
        </w:tc>
        <w:tc>
          <w:tcPr>
            <w:tcW w:w="1500" w:type="dxa"/>
            <w:vAlign w:val="center"/>
          </w:tcPr>
          <w:p>
            <w:pPr>
              <w:spacing w:line="5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职务</w:t>
            </w:r>
          </w:p>
        </w:tc>
        <w:tc>
          <w:tcPr>
            <w:tcW w:w="1410" w:type="dxa"/>
            <w:vAlign w:val="center"/>
          </w:tcPr>
          <w:p>
            <w:pPr>
              <w:spacing w:line="5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组内职责</w:t>
            </w:r>
          </w:p>
        </w:tc>
        <w:tc>
          <w:tcPr>
            <w:tcW w:w="1575" w:type="dxa"/>
            <w:vAlign w:val="center"/>
          </w:tcPr>
          <w:p>
            <w:pPr>
              <w:spacing w:line="5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联系电话</w:t>
            </w:r>
          </w:p>
        </w:tc>
        <w:tc>
          <w:tcPr>
            <w:tcW w:w="2530" w:type="dxa"/>
            <w:vAlign w:val="center"/>
          </w:tcPr>
          <w:p>
            <w:pPr>
              <w:spacing w:line="5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2" w:type="dxa"/>
            <w:vAlign w:val="center"/>
          </w:tcPr>
          <w:p>
            <w:pPr>
              <w:spacing w:line="5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组长</w:t>
            </w:r>
          </w:p>
        </w:tc>
        <w:tc>
          <w:tcPr>
            <w:tcW w:w="900" w:type="dxa"/>
            <w:vAlign w:val="center"/>
          </w:tcPr>
          <w:p>
            <w:pPr>
              <w:spacing w:line="560" w:lineRule="exact"/>
              <w:rPr>
                <w:rFonts w:ascii="仿宋_GB2312" w:hAnsi="仿宋_GB2312" w:eastAsia="仿宋_GB2312" w:cs="仿宋_GB2312"/>
                <w:kern w:val="0"/>
                <w:szCs w:val="21"/>
              </w:rPr>
            </w:pPr>
          </w:p>
        </w:tc>
        <w:tc>
          <w:tcPr>
            <w:tcW w:w="1500" w:type="dxa"/>
            <w:vAlign w:val="center"/>
          </w:tcPr>
          <w:p>
            <w:pPr>
              <w:spacing w:line="560" w:lineRule="exact"/>
              <w:rPr>
                <w:rFonts w:ascii="仿宋_GB2312" w:hAnsi="仿宋_GB2312" w:eastAsia="仿宋_GB2312" w:cs="仿宋_GB2312"/>
                <w:kern w:val="0"/>
                <w:szCs w:val="21"/>
              </w:rPr>
            </w:pPr>
          </w:p>
        </w:tc>
        <w:tc>
          <w:tcPr>
            <w:tcW w:w="1410" w:type="dxa"/>
            <w:vAlign w:val="center"/>
          </w:tcPr>
          <w:p>
            <w:pPr>
              <w:spacing w:line="560" w:lineRule="exact"/>
              <w:rPr>
                <w:rFonts w:ascii="仿宋_GB2312" w:hAnsi="仿宋_GB2312" w:eastAsia="仿宋_GB2312" w:cs="仿宋_GB2312"/>
                <w:kern w:val="0"/>
                <w:szCs w:val="21"/>
              </w:rPr>
            </w:pPr>
          </w:p>
        </w:tc>
        <w:tc>
          <w:tcPr>
            <w:tcW w:w="1575" w:type="dxa"/>
            <w:vAlign w:val="center"/>
          </w:tcPr>
          <w:p>
            <w:pPr>
              <w:spacing w:line="560" w:lineRule="exact"/>
              <w:rPr>
                <w:rFonts w:ascii="仿宋_GB2312" w:hAnsi="仿宋_GB2312" w:eastAsia="仿宋_GB2312" w:cs="仿宋_GB2312"/>
                <w:kern w:val="0"/>
                <w:szCs w:val="21"/>
              </w:rPr>
            </w:pPr>
          </w:p>
        </w:tc>
        <w:tc>
          <w:tcPr>
            <w:tcW w:w="2530" w:type="dxa"/>
            <w:vAlign w:val="center"/>
          </w:tcPr>
          <w:p>
            <w:pPr>
              <w:spacing w:line="560" w:lineRule="exact"/>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2" w:type="dxa"/>
            <w:vAlign w:val="center"/>
          </w:tcPr>
          <w:p>
            <w:pPr>
              <w:spacing w:line="5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副组长</w:t>
            </w:r>
          </w:p>
        </w:tc>
        <w:tc>
          <w:tcPr>
            <w:tcW w:w="900" w:type="dxa"/>
            <w:vAlign w:val="center"/>
          </w:tcPr>
          <w:p>
            <w:pPr>
              <w:spacing w:line="560" w:lineRule="exact"/>
              <w:rPr>
                <w:rFonts w:ascii="仿宋_GB2312" w:hAnsi="仿宋_GB2312" w:eastAsia="仿宋_GB2312" w:cs="仿宋_GB2312"/>
                <w:kern w:val="0"/>
                <w:szCs w:val="21"/>
              </w:rPr>
            </w:pPr>
          </w:p>
        </w:tc>
        <w:tc>
          <w:tcPr>
            <w:tcW w:w="1500" w:type="dxa"/>
            <w:vAlign w:val="center"/>
          </w:tcPr>
          <w:p>
            <w:pPr>
              <w:spacing w:line="560" w:lineRule="exact"/>
              <w:rPr>
                <w:rFonts w:ascii="仿宋_GB2312" w:hAnsi="仿宋_GB2312" w:eastAsia="仿宋_GB2312" w:cs="仿宋_GB2312"/>
                <w:kern w:val="0"/>
                <w:szCs w:val="21"/>
              </w:rPr>
            </w:pPr>
          </w:p>
        </w:tc>
        <w:tc>
          <w:tcPr>
            <w:tcW w:w="1410" w:type="dxa"/>
            <w:vAlign w:val="center"/>
          </w:tcPr>
          <w:p>
            <w:pPr>
              <w:spacing w:line="560" w:lineRule="exact"/>
              <w:rPr>
                <w:rFonts w:ascii="仿宋_GB2312" w:hAnsi="仿宋_GB2312" w:eastAsia="仿宋_GB2312" w:cs="仿宋_GB2312"/>
                <w:kern w:val="0"/>
                <w:szCs w:val="21"/>
              </w:rPr>
            </w:pPr>
          </w:p>
        </w:tc>
        <w:tc>
          <w:tcPr>
            <w:tcW w:w="1575" w:type="dxa"/>
            <w:vAlign w:val="center"/>
          </w:tcPr>
          <w:p>
            <w:pPr>
              <w:spacing w:line="560" w:lineRule="exact"/>
              <w:rPr>
                <w:rFonts w:ascii="仿宋_GB2312" w:hAnsi="仿宋_GB2312" w:eastAsia="仿宋_GB2312" w:cs="仿宋_GB2312"/>
                <w:kern w:val="0"/>
                <w:szCs w:val="21"/>
              </w:rPr>
            </w:pPr>
          </w:p>
        </w:tc>
        <w:tc>
          <w:tcPr>
            <w:tcW w:w="2530" w:type="dxa"/>
            <w:vAlign w:val="center"/>
          </w:tcPr>
          <w:p>
            <w:pPr>
              <w:spacing w:line="560" w:lineRule="exact"/>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2" w:type="dxa"/>
            <w:vMerge w:val="restart"/>
            <w:vAlign w:val="center"/>
          </w:tcPr>
          <w:p>
            <w:pPr>
              <w:spacing w:line="560" w:lineRule="exac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成员</w:t>
            </w:r>
          </w:p>
        </w:tc>
        <w:tc>
          <w:tcPr>
            <w:tcW w:w="900" w:type="dxa"/>
            <w:vAlign w:val="center"/>
          </w:tcPr>
          <w:p>
            <w:pPr>
              <w:spacing w:line="560" w:lineRule="exact"/>
              <w:rPr>
                <w:rFonts w:ascii="仿宋_GB2312" w:hAnsi="仿宋_GB2312" w:eastAsia="仿宋_GB2312" w:cs="仿宋_GB2312"/>
                <w:kern w:val="0"/>
                <w:szCs w:val="21"/>
              </w:rPr>
            </w:pPr>
          </w:p>
        </w:tc>
        <w:tc>
          <w:tcPr>
            <w:tcW w:w="1500" w:type="dxa"/>
            <w:vAlign w:val="center"/>
          </w:tcPr>
          <w:p>
            <w:pPr>
              <w:spacing w:line="560" w:lineRule="exact"/>
              <w:rPr>
                <w:rFonts w:ascii="仿宋_GB2312" w:hAnsi="仿宋_GB2312" w:eastAsia="仿宋_GB2312" w:cs="仿宋_GB2312"/>
                <w:kern w:val="0"/>
                <w:szCs w:val="21"/>
              </w:rPr>
            </w:pPr>
          </w:p>
        </w:tc>
        <w:tc>
          <w:tcPr>
            <w:tcW w:w="1410" w:type="dxa"/>
            <w:vAlign w:val="center"/>
          </w:tcPr>
          <w:p>
            <w:pPr>
              <w:spacing w:line="560" w:lineRule="exact"/>
              <w:rPr>
                <w:rFonts w:ascii="仿宋_GB2312" w:hAnsi="仿宋_GB2312" w:eastAsia="仿宋_GB2312" w:cs="仿宋_GB2312"/>
                <w:kern w:val="0"/>
                <w:szCs w:val="21"/>
              </w:rPr>
            </w:pPr>
          </w:p>
        </w:tc>
        <w:tc>
          <w:tcPr>
            <w:tcW w:w="1575" w:type="dxa"/>
            <w:vAlign w:val="center"/>
          </w:tcPr>
          <w:p>
            <w:pPr>
              <w:spacing w:line="560" w:lineRule="exact"/>
              <w:rPr>
                <w:rFonts w:ascii="仿宋_GB2312" w:hAnsi="仿宋_GB2312" w:eastAsia="仿宋_GB2312" w:cs="仿宋_GB2312"/>
                <w:kern w:val="0"/>
                <w:szCs w:val="21"/>
              </w:rPr>
            </w:pPr>
          </w:p>
        </w:tc>
        <w:tc>
          <w:tcPr>
            <w:tcW w:w="2530" w:type="dxa"/>
            <w:vAlign w:val="center"/>
          </w:tcPr>
          <w:p>
            <w:pPr>
              <w:spacing w:line="560" w:lineRule="exact"/>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2" w:type="dxa"/>
            <w:vMerge w:val="continue"/>
            <w:vAlign w:val="center"/>
          </w:tcPr>
          <w:p>
            <w:pPr>
              <w:spacing w:line="560" w:lineRule="exact"/>
              <w:jc w:val="center"/>
              <w:rPr>
                <w:rFonts w:ascii="仿宋_GB2312" w:hAnsi="仿宋_GB2312" w:eastAsia="仿宋_GB2312" w:cs="仿宋_GB2312"/>
                <w:kern w:val="0"/>
                <w:szCs w:val="21"/>
              </w:rPr>
            </w:pPr>
          </w:p>
        </w:tc>
        <w:tc>
          <w:tcPr>
            <w:tcW w:w="900" w:type="dxa"/>
            <w:vAlign w:val="center"/>
          </w:tcPr>
          <w:p>
            <w:pPr>
              <w:spacing w:line="560" w:lineRule="exact"/>
              <w:rPr>
                <w:rFonts w:ascii="仿宋_GB2312" w:hAnsi="仿宋_GB2312" w:eastAsia="仿宋_GB2312" w:cs="仿宋_GB2312"/>
                <w:kern w:val="0"/>
                <w:szCs w:val="21"/>
              </w:rPr>
            </w:pPr>
          </w:p>
        </w:tc>
        <w:tc>
          <w:tcPr>
            <w:tcW w:w="1500" w:type="dxa"/>
            <w:vAlign w:val="center"/>
          </w:tcPr>
          <w:p>
            <w:pPr>
              <w:spacing w:line="560" w:lineRule="exact"/>
              <w:rPr>
                <w:rFonts w:ascii="仿宋_GB2312" w:hAnsi="仿宋_GB2312" w:eastAsia="仿宋_GB2312" w:cs="仿宋_GB2312"/>
                <w:kern w:val="0"/>
                <w:szCs w:val="21"/>
              </w:rPr>
            </w:pPr>
          </w:p>
        </w:tc>
        <w:tc>
          <w:tcPr>
            <w:tcW w:w="1410" w:type="dxa"/>
            <w:vAlign w:val="center"/>
          </w:tcPr>
          <w:p>
            <w:pPr>
              <w:spacing w:line="560" w:lineRule="exact"/>
              <w:rPr>
                <w:rFonts w:ascii="仿宋_GB2312" w:hAnsi="仿宋_GB2312" w:eastAsia="仿宋_GB2312" w:cs="仿宋_GB2312"/>
                <w:kern w:val="0"/>
                <w:szCs w:val="21"/>
              </w:rPr>
            </w:pPr>
          </w:p>
        </w:tc>
        <w:tc>
          <w:tcPr>
            <w:tcW w:w="1575" w:type="dxa"/>
            <w:vAlign w:val="center"/>
          </w:tcPr>
          <w:p>
            <w:pPr>
              <w:spacing w:line="560" w:lineRule="exact"/>
              <w:rPr>
                <w:rFonts w:ascii="仿宋_GB2312" w:hAnsi="仿宋_GB2312" w:eastAsia="仿宋_GB2312" w:cs="仿宋_GB2312"/>
                <w:kern w:val="0"/>
                <w:szCs w:val="21"/>
              </w:rPr>
            </w:pPr>
          </w:p>
        </w:tc>
        <w:tc>
          <w:tcPr>
            <w:tcW w:w="2530" w:type="dxa"/>
            <w:vAlign w:val="center"/>
          </w:tcPr>
          <w:p>
            <w:pPr>
              <w:spacing w:line="560" w:lineRule="exact"/>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2" w:type="dxa"/>
            <w:vMerge w:val="continue"/>
            <w:vAlign w:val="center"/>
          </w:tcPr>
          <w:p>
            <w:pPr>
              <w:spacing w:line="560" w:lineRule="exact"/>
              <w:jc w:val="center"/>
              <w:rPr>
                <w:rFonts w:ascii="仿宋_GB2312" w:hAnsi="仿宋_GB2312" w:eastAsia="仿宋_GB2312" w:cs="仿宋_GB2312"/>
                <w:kern w:val="0"/>
                <w:szCs w:val="21"/>
              </w:rPr>
            </w:pPr>
          </w:p>
        </w:tc>
        <w:tc>
          <w:tcPr>
            <w:tcW w:w="900" w:type="dxa"/>
            <w:vAlign w:val="center"/>
          </w:tcPr>
          <w:p>
            <w:pPr>
              <w:spacing w:line="560" w:lineRule="exact"/>
              <w:rPr>
                <w:rFonts w:ascii="仿宋_GB2312" w:hAnsi="仿宋_GB2312" w:eastAsia="仿宋_GB2312" w:cs="仿宋_GB2312"/>
                <w:kern w:val="0"/>
                <w:szCs w:val="21"/>
              </w:rPr>
            </w:pPr>
          </w:p>
        </w:tc>
        <w:tc>
          <w:tcPr>
            <w:tcW w:w="1500" w:type="dxa"/>
            <w:vAlign w:val="center"/>
          </w:tcPr>
          <w:p>
            <w:pPr>
              <w:spacing w:line="560" w:lineRule="exact"/>
              <w:rPr>
                <w:rFonts w:ascii="仿宋_GB2312" w:hAnsi="仿宋_GB2312" w:eastAsia="仿宋_GB2312" w:cs="仿宋_GB2312"/>
                <w:kern w:val="0"/>
                <w:szCs w:val="21"/>
              </w:rPr>
            </w:pPr>
          </w:p>
        </w:tc>
        <w:tc>
          <w:tcPr>
            <w:tcW w:w="1410" w:type="dxa"/>
            <w:vAlign w:val="center"/>
          </w:tcPr>
          <w:p>
            <w:pPr>
              <w:spacing w:line="560" w:lineRule="exact"/>
              <w:rPr>
                <w:rFonts w:ascii="仿宋_GB2312" w:hAnsi="仿宋_GB2312" w:eastAsia="仿宋_GB2312" w:cs="仿宋_GB2312"/>
                <w:kern w:val="0"/>
                <w:szCs w:val="21"/>
              </w:rPr>
            </w:pPr>
          </w:p>
        </w:tc>
        <w:tc>
          <w:tcPr>
            <w:tcW w:w="1575" w:type="dxa"/>
            <w:vAlign w:val="center"/>
          </w:tcPr>
          <w:p>
            <w:pPr>
              <w:spacing w:line="560" w:lineRule="exact"/>
              <w:rPr>
                <w:rFonts w:ascii="仿宋_GB2312" w:hAnsi="仿宋_GB2312" w:eastAsia="仿宋_GB2312" w:cs="仿宋_GB2312"/>
                <w:kern w:val="0"/>
                <w:szCs w:val="21"/>
              </w:rPr>
            </w:pPr>
          </w:p>
        </w:tc>
        <w:tc>
          <w:tcPr>
            <w:tcW w:w="2530" w:type="dxa"/>
            <w:vAlign w:val="center"/>
          </w:tcPr>
          <w:p>
            <w:pPr>
              <w:spacing w:line="560" w:lineRule="exact"/>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2" w:hRule="exact"/>
          <w:jc w:val="center"/>
        </w:trPr>
        <w:tc>
          <w:tcPr>
            <w:tcW w:w="8767" w:type="dxa"/>
            <w:gridSpan w:val="6"/>
            <w:vAlign w:val="center"/>
          </w:tcPr>
          <w:p>
            <w:pPr>
              <w:spacing w:line="560" w:lineRule="exact"/>
              <w:rPr>
                <w:rFonts w:ascii="仿宋_GB2312" w:hAnsi="仿宋_GB2312" w:eastAsia="仿宋_GB2312" w:cs="仿宋_GB2312"/>
                <w:kern w:val="0"/>
                <w:szCs w:val="21"/>
              </w:rPr>
            </w:pPr>
            <w:r>
              <w:rPr>
                <w:rFonts w:hint="eastAsia" w:ascii="仿宋_GB2312" w:hAnsi="仿宋_GB2312" w:eastAsia="仿宋_GB2312" w:cs="仿宋_GB2312"/>
                <w:kern w:val="0"/>
                <w:szCs w:val="21"/>
              </w:rPr>
              <w:t>第一联系人：</w:t>
            </w:r>
          </w:p>
          <w:p>
            <w:pPr>
              <w:spacing w:line="560" w:lineRule="exact"/>
              <w:rPr>
                <w:rFonts w:ascii="仿宋_GB2312" w:hAnsi="仿宋_GB2312" w:eastAsia="仿宋_GB2312" w:cs="仿宋_GB2312"/>
                <w:kern w:val="0"/>
                <w:szCs w:val="21"/>
              </w:rPr>
            </w:pPr>
            <w:r>
              <w:rPr>
                <w:rFonts w:hint="eastAsia" w:ascii="仿宋_GB2312" w:hAnsi="仿宋_GB2312" w:eastAsia="仿宋_GB2312" w:cs="仿宋_GB2312"/>
                <w:kern w:val="0"/>
                <w:szCs w:val="21"/>
              </w:rPr>
              <w:t>邮  箱：</w:t>
            </w:r>
          </w:p>
          <w:p>
            <w:pPr>
              <w:spacing w:line="560" w:lineRule="exact"/>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p>
          <w:p>
            <w:pPr>
              <w:spacing w:line="560" w:lineRule="exact"/>
              <w:rPr>
                <w:rFonts w:ascii="仿宋_GB2312" w:hAnsi="仿宋_GB2312" w:eastAsia="仿宋_GB2312" w:cs="仿宋_GB2312"/>
                <w:kern w:val="0"/>
                <w:szCs w:val="21"/>
              </w:rPr>
            </w:pPr>
            <w:r>
              <w:rPr>
                <w:rFonts w:hint="eastAsia" w:ascii="仿宋_GB2312" w:hAnsi="仿宋_GB2312" w:eastAsia="仿宋_GB2312" w:cs="仿宋_GB2312"/>
                <w:kern w:val="0"/>
                <w:szCs w:val="21"/>
              </w:rPr>
              <w:t>传  真：</w:t>
            </w:r>
          </w:p>
        </w:tc>
      </w:tr>
    </w:tbl>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上述人员如有变动，乙方将第一时间通知甲方。</w:t>
      </w:r>
    </w:p>
    <w:p>
      <w:pPr>
        <w:spacing w:before="156" w:beforeLines="50" w:line="360" w:lineRule="auto"/>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九</w:t>
      </w:r>
      <w:r>
        <w:rPr>
          <w:rFonts w:hint="eastAsia" w:ascii="仿宋_GB2312" w:hAnsi="仿宋_GB2312" w:eastAsia="仿宋_GB2312" w:cs="仿宋_GB2312"/>
          <w:sz w:val="24"/>
          <w:szCs w:val="24"/>
        </w:rPr>
        <w:t>、乙方理赔服务承诺</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乙方应就本协议下的保险项目建立VIP客户理赔服务绿色通道，切实遵守以下保险理赔服务条款，主动迅速地为甲方提供优质的理赔服务。</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（一）接报案</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发生保险事故时,被保险人可通过如下方式向乙方报案：</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1.365天24小时全国统一报案电话。</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2.设立专人手机报案电话：             ，全年365天24小时接受被保险人报案。</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3.乙方认可甲方向保险经纪人的报案申请。</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（二）现场查勘</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乙方接到报案后，将在30分钟以书面（传真）或者网络方式给予处理意见，并明确告知是否前往查勘。如果乙方未按上述规定进行回复，被保险人可认同乙方不去现场查勘，乙方同意以被保险人提供的索赔材料为理赔依据。</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1.需要前往现场查勘的，乙方将调配理赔查勘经验最为丰富的工作人员，在接到报案后2小时内到达事故现场或在4小时内委托业内信誉良好的公估公司赶到损失现场，进行现场查勘。</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2.超过上述时限，被保险人可对事故现场进行必要的处理，乙方认可被保险人所申报的事故经过属实，并认可被保险人采取的有关施救处理措施及发生的有关施救费用，乙方以被保险人提供的现场照片为准。</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3.乙方（或乙方委托代查勘机构）查勘人员到达现场后，将立即查明出险时间、地点、原因，并将配合被保险人作好必要的施救工作，做好受损财产的保护和整理工作。</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4.若因抢险、施救或减少损失的需要，在查勘人员到达现场前或未拍照前已破坏了现场，乙方承诺由此引起的后果不能作为今后拒赔的理由。</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5.在与被保险人共同进行初步查验后，乙方将在双方约定的时间内填写现场查勘报告表，提出下一步处理意见，并一次性书面明确被保险人应提交的各种索赔单证。</w:t>
      </w:r>
    </w:p>
    <w:p>
      <w:pPr>
        <w:spacing w:line="560" w:lineRule="exact"/>
        <w:ind w:firstLine="480" w:firstLineChars="200"/>
        <w:rPr>
          <w:rFonts w:ascii="仿宋_GB2312" w:hAnsi="仿宋_GB2312" w:eastAsia="仿宋_GB2312" w:cs="仿宋_GB2312"/>
          <w:kern w:val="0"/>
          <w:sz w:val="24"/>
          <w:szCs w:val="24"/>
        </w:rPr>
      </w:pPr>
      <w:bookmarkStart w:id="2" w:name="_Toc410025188"/>
      <w:r>
        <w:rPr>
          <w:rFonts w:hint="eastAsia" w:ascii="仿宋_GB2312" w:hAnsi="仿宋_GB2312" w:eastAsia="仿宋_GB2312" w:cs="仿宋_GB2312"/>
          <w:kern w:val="0"/>
          <w:sz w:val="24"/>
          <w:szCs w:val="24"/>
        </w:rPr>
        <w:t>（三）损失恢复和人员救治</w:t>
      </w:r>
      <w:bookmarkEnd w:id="2"/>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乙方到达查勘现场后或未到现场但以任何方式同意的，出险单位即可着手进行损失恢复。若发生人伤事故，乙方同意出险单位即刻采取任何合理的方式进行人员救治。</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对于第三者责任案件，乙方将积极参与第三方之间的事故调解。应出险单位要求，乙方可以派员参与事故调解；涉及人伤时，乙方医疗核赔人员对伤者在治疗过程中用药给出建议，并以书面形式明确索赔项目的赔偿标准与索赔所需单证。</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（四）赔案受理</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1.被保险人按照本协议约定的保险索赔基本单证要求准备并提交（以书面形式、传真、网络邮件等方式）索赔资料，乙方接到后应签收，并立即审查核实。</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2.乙方在接到被保险人提交的索赔资料后，立即审查核实，若认为有关证明和材料不完整，立即以邮件或其他书面形式一次性通知被保险人或保险经纪人补充应提供的有关证明或资料。若在接到索赔资料后</w:t>
      </w:r>
      <w:r>
        <w:rPr>
          <w:rFonts w:ascii="仿宋_GB2312" w:hAnsi="仿宋_GB2312" w:eastAsia="仿宋_GB2312" w:cs="仿宋_GB2312"/>
          <w:kern w:val="0"/>
          <w:sz w:val="24"/>
          <w:szCs w:val="24"/>
        </w:rPr>
        <w:t>5</w:t>
      </w:r>
      <w:r>
        <w:rPr>
          <w:rFonts w:hint="eastAsia" w:ascii="仿宋_GB2312" w:hAnsi="仿宋_GB2312" w:eastAsia="仿宋_GB2312" w:cs="仿宋_GB2312"/>
          <w:kern w:val="0"/>
          <w:sz w:val="24"/>
          <w:szCs w:val="24"/>
        </w:rPr>
        <w:t>个工作日内未提出有关审核意见，则视为已认可索赔资料的完整性。</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乙方自接到完整的索赔资料之日起，应当及时定责定损。索赔金额在人民币100万元以下的，应在3个工作日内提出异议；索赔金额在人民币100万元以上的，应在5个工作日内提出异议。若在上述时间内未提出异议的，即为双方就赔偿结果达成一致。</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（五）小额赔案的处理</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乙方对于估损金额在人民币50万元以下的保险事故简化索赔资料，提高赔案处理效率。仅提供如下资料即可进行理算：①出险通知书；②现场照片；③事故原因和损失分析报告；④事故证明书（如警察、消防、气象）；⑤修复或重置受损标的的工程预算；⑥赔偿证明；⑦相关单证和票据。</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（六）预付赔款机制</w:t>
      </w:r>
    </w:p>
    <w:p>
      <w:pPr>
        <w:spacing w:line="560" w:lineRule="exact"/>
        <w:ind w:firstLine="480" w:firstLineChars="200"/>
        <w:rPr>
          <w:rFonts w:ascii="仿宋_GB2312" w:hAnsi="仿宋_GB2312" w:eastAsia="仿宋_GB2312" w:cs="仿宋_GB2312"/>
          <w:bCs/>
          <w:kern w:val="40"/>
          <w:sz w:val="24"/>
        </w:rPr>
      </w:pPr>
      <w:r>
        <w:rPr>
          <w:rFonts w:hint="eastAsia" w:ascii="仿宋_GB2312" w:hAnsi="仿宋_GB2312" w:eastAsia="仿宋_GB2312" w:cs="仿宋_GB2312"/>
          <w:bCs/>
          <w:kern w:val="40"/>
          <w:sz w:val="24"/>
        </w:rPr>
        <w:t>若发生保险责任范围内的损失，在保险责任明确但损失金额尚不能确定的情况下，以现场查勘记录或被保险人提供的相关资料为依据，乙方均</w:t>
      </w:r>
      <w:r>
        <w:rPr>
          <w:rFonts w:hint="eastAsia" w:ascii="仿宋_GB2312" w:hAnsi="仿宋_GB2312" w:eastAsia="仿宋_GB2312" w:cs="仿宋_GB2312"/>
          <w:sz w:val="24"/>
          <w:szCs w:val="24"/>
        </w:rPr>
        <w:t>可预先支付50%赔款</w:t>
      </w:r>
      <w:r>
        <w:rPr>
          <w:rFonts w:hint="eastAsia" w:ascii="仿宋_GB2312" w:hAnsi="仿宋_GB2312" w:eastAsia="仿宋_GB2312" w:cs="仿宋_GB2312"/>
          <w:bCs/>
          <w:kern w:val="40"/>
          <w:sz w:val="24"/>
        </w:rPr>
        <w:t>，并在被保险人提供预付申请后，按照如下预付赔款时效支付：</w:t>
      </w:r>
    </w:p>
    <w:tbl>
      <w:tblPr>
        <w:tblStyle w:val="9"/>
        <w:tblW w:w="7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562"/>
        <w:gridCol w:w="36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3562" w:type="dxa"/>
            <w:vAlign w:val="center"/>
          </w:tcPr>
          <w:p>
            <w:pPr>
              <w:spacing w:line="560" w:lineRule="exact"/>
              <w:jc w:val="center"/>
              <w:rPr>
                <w:rFonts w:ascii="仿宋_GB2312" w:hAnsi="仿宋_GB2312" w:eastAsia="仿宋_GB2312" w:cs="仿宋_GB2312"/>
                <w:bCs/>
                <w:szCs w:val="20"/>
              </w:rPr>
            </w:pPr>
            <w:r>
              <w:rPr>
                <w:rFonts w:hint="eastAsia" w:ascii="仿宋_GB2312" w:hAnsi="仿宋_GB2312" w:eastAsia="仿宋_GB2312" w:cs="仿宋_GB2312"/>
                <w:bCs/>
                <w:szCs w:val="20"/>
              </w:rPr>
              <w:t>预付赔款金额</w:t>
            </w:r>
          </w:p>
        </w:tc>
        <w:tc>
          <w:tcPr>
            <w:tcW w:w="3600" w:type="dxa"/>
            <w:vAlign w:val="center"/>
          </w:tcPr>
          <w:p>
            <w:pPr>
              <w:spacing w:line="560" w:lineRule="exact"/>
              <w:jc w:val="center"/>
              <w:rPr>
                <w:rFonts w:ascii="仿宋_GB2312" w:hAnsi="仿宋_GB2312" w:eastAsia="仿宋_GB2312" w:cs="仿宋_GB2312"/>
                <w:bCs/>
                <w:szCs w:val="20"/>
              </w:rPr>
            </w:pPr>
            <w:r>
              <w:rPr>
                <w:rFonts w:hint="eastAsia" w:ascii="仿宋_GB2312" w:hAnsi="仿宋_GB2312" w:eastAsia="仿宋_GB2312" w:cs="仿宋_GB2312"/>
                <w:bCs/>
                <w:szCs w:val="20"/>
              </w:rPr>
              <w:t>赔付时效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hAnsi="仿宋_GB2312" w:eastAsia="仿宋_GB2312" w:cs="仿宋_GB2312"/>
                <w:szCs w:val="20"/>
              </w:rPr>
            </w:pPr>
            <w:r>
              <w:rPr>
                <w:rFonts w:hint="eastAsia" w:ascii="仿宋_GB2312" w:hAnsi="仿宋_GB2312" w:eastAsia="仿宋_GB2312" w:cs="仿宋_GB2312"/>
                <w:szCs w:val="20"/>
              </w:rPr>
              <w:t>100万元以内</w:t>
            </w:r>
          </w:p>
        </w:tc>
        <w:tc>
          <w:tcPr>
            <w:tcW w:w="3600" w:type="dxa"/>
            <w:vAlign w:val="center"/>
          </w:tcPr>
          <w:p>
            <w:pPr>
              <w:spacing w:line="560" w:lineRule="exact"/>
              <w:jc w:val="center"/>
              <w:rPr>
                <w:rFonts w:ascii="仿宋_GB2312" w:hAnsi="仿宋_GB2312" w:eastAsia="仿宋_GB2312" w:cs="仿宋_GB2312"/>
                <w:szCs w:val="20"/>
              </w:rPr>
            </w:pPr>
            <w:r>
              <w:rPr>
                <w:rFonts w:hint="eastAsia" w:ascii="仿宋_GB2312" w:hAnsi="仿宋_GB2312" w:eastAsia="仿宋_GB2312" w:cs="仿宋_GB2312"/>
                <w:szCs w:val="20"/>
              </w:rPr>
              <w:t>3个工作日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hAnsi="仿宋_GB2312" w:eastAsia="仿宋_GB2312" w:cs="仿宋_GB2312"/>
                <w:szCs w:val="20"/>
              </w:rPr>
            </w:pPr>
            <w:r>
              <w:rPr>
                <w:rFonts w:hint="eastAsia" w:ascii="仿宋_GB2312" w:hAnsi="仿宋_GB2312" w:eastAsia="仿宋_GB2312" w:cs="仿宋_GB2312"/>
                <w:szCs w:val="20"/>
              </w:rPr>
              <w:t>100万以上的</w:t>
            </w:r>
          </w:p>
        </w:tc>
        <w:tc>
          <w:tcPr>
            <w:tcW w:w="3600" w:type="dxa"/>
            <w:vAlign w:val="center"/>
          </w:tcPr>
          <w:p>
            <w:pPr>
              <w:spacing w:line="560" w:lineRule="exact"/>
              <w:jc w:val="center"/>
              <w:rPr>
                <w:rFonts w:ascii="仿宋_GB2312" w:hAnsi="仿宋_GB2312" w:eastAsia="仿宋_GB2312" w:cs="仿宋_GB2312"/>
                <w:szCs w:val="20"/>
              </w:rPr>
            </w:pPr>
            <w:r>
              <w:rPr>
                <w:rFonts w:hint="eastAsia" w:ascii="仿宋_GB2312" w:hAnsi="仿宋_GB2312" w:eastAsia="仿宋_GB2312" w:cs="仿宋_GB2312"/>
                <w:szCs w:val="20"/>
              </w:rPr>
              <w:t>5个工作日</w:t>
            </w:r>
          </w:p>
        </w:tc>
      </w:tr>
    </w:tbl>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（七）赔款支付时效</w:t>
      </w:r>
    </w:p>
    <w:p>
      <w:pPr>
        <w:spacing w:line="560" w:lineRule="exact"/>
        <w:ind w:firstLine="480" w:firstLineChars="200"/>
        <w:rPr>
          <w:rFonts w:ascii="仿宋_GB2312" w:hAnsi="仿宋_GB2312" w:eastAsia="仿宋_GB2312" w:cs="仿宋_GB2312"/>
          <w:bCs/>
          <w:kern w:val="40"/>
          <w:sz w:val="24"/>
        </w:rPr>
      </w:pPr>
      <w:r>
        <w:rPr>
          <w:rFonts w:hint="eastAsia" w:ascii="仿宋_GB2312" w:hAnsi="仿宋_GB2312" w:eastAsia="仿宋_GB2312" w:cs="仿宋_GB2312"/>
          <w:bCs/>
          <w:kern w:val="40"/>
          <w:sz w:val="24"/>
        </w:rPr>
        <w:t>在赔款金额与被保险人就赔案达成一致且被保险人提供全部资料后，乙方按照如下时限规定支付赔款：</w:t>
      </w:r>
    </w:p>
    <w:p>
      <w:pPr>
        <w:spacing w:line="560" w:lineRule="exact"/>
        <w:ind w:firstLine="480" w:firstLineChars="200"/>
        <w:rPr>
          <w:rFonts w:ascii="仿宋_GB2312" w:hAnsi="仿宋_GB2312" w:eastAsia="仿宋_GB2312" w:cs="仿宋_GB2312"/>
          <w:bCs/>
          <w:kern w:val="40"/>
          <w:sz w:val="24"/>
        </w:rPr>
      </w:pPr>
    </w:p>
    <w:p>
      <w:pPr>
        <w:spacing w:line="560" w:lineRule="exact"/>
        <w:ind w:firstLine="480" w:firstLineChars="200"/>
        <w:rPr>
          <w:rFonts w:ascii="仿宋_GB2312" w:hAnsi="仿宋_GB2312" w:eastAsia="仿宋_GB2312" w:cs="仿宋_GB2312"/>
          <w:bCs/>
          <w:kern w:val="40"/>
          <w:sz w:val="24"/>
        </w:rPr>
      </w:pPr>
    </w:p>
    <w:tbl>
      <w:tblPr>
        <w:tblStyle w:val="9"/>
        <w:tblW w:w="7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562"/>
        <w:gridCol w:w="36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3562" w:type="dxa"/>
            <w:vAlign w:val="center"/>
          </w:tcPr>
          <w:p>
            <w:pPr>
              <w:spacing w:line="560" w:lineRule="exact"/>
              <w:jc w:val="center"/>
              <w:rPr>
                <w:rFonts w:ascii="仿宋_GB2312" w:hAnsi="仿宋_GB2312" w:eastAsia="仿宋_GB2312" w:cs="仿宋_GB2312"/>
                <w:bCs/>
                <w:kern w:val="40"/>
                <w:szCs w:val="20"/>
              </w:rPr>
            </w:pPr>
            <w:r>
              <w:rPr>
                <w:rFonts w:hint="eastAsia" w:ascii="仿宋_GB2312" w:hAnsi="仿宋_GB2312" w:eastAsia="仿宋_GB2312" w:cs="仿宋_GB2312"/>
                <w:bCs/>
                <w:kern w:val="40"/>
                <w:szCs w:val="20"/>
              </w:rPr>
              <w:t>赔偿金额</w:t>
            </w:r>
          </w:p>
        </w:tc>
        <w:tc>
          <w:tcPr>
            <w:tcW w:w="3600" w:type="dxa"/>
            <w:vAlign w:val="center"/>
          </w:tcPr>
          <w:p>
            <w:pPr>
              <w:spacing w:line="560" w:lineRule="exact"/>
              <w:jc w:val="center"/>
              <w:rPr>
                <w:rFonts w:ascii="仿宋_GB2312" w:hAnsi="仿宋_GB2312" w:eastAsia="仿宋_GB2312" w:cs="仿宋_GB2312"/>
                <w:bCs/>
                <w:kern w:val="40"/>
                <w:szCs w:val="20"/>
              </w:rPr>
            </w:pPr>
            <w:r>
              <w:rPr>
                <w:rFonts w:hint="eastAsia" w:ascii="仿宋_GB2312" w:hAnsi="仿宋_GB2312" w:eastAsia="仿宋_GB2312" w:cs="仿宋_GB2312"/>
                <w:bCs/>
                <w:kern w:val="40"/>
                <w:szCs w:val="20"/>
              </w:rPr>
              <w:t>赔付时效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hAnsi="仿宋_GB2312" w:eastAsia="仿宋_GB2312" w:cs="仿宋_GB2312"/>
                <w:kern w:val="40"/>
                <w:szCs w:val="20"/>
              </w:rPr>
            </w:pPr>
            <w:r>
              <w:rPr>
                <w:rFonts w:hint="eastAsia" w:ascii="仿宋_GB2312" w:hAnsi="仿宋_GB2312" w:eastAsia="仿宋_GB2312" w:cs="仿宋_GB2312"/>
                <w:kern w:val="40"/>
                <w:szCs w:val="20"/>
              </w:rPr>
              <w:t>50万元以内</w:t>
            </w:r>
          </w:p>
        </w:tc>
        <w:tc>
          <w:tcPr>
            <w:tcW w:w="3600" w:type="dxa"/>
            <w:vAlign w:val="center"/>
          </w:tcPr>
          <w:p>
            <w:pPr>
              <w:spacing w:line="560" w:lineRule="exact"/>
              <w:jc w:val="center"/>
              <w:rPr>
                <w:rFonts w:ascii="仿宋_GB2312" w:hAnsi="仿宋_GB2312" w:eastAsia="仿宋_GB2312" w:cs="仿宋_GB2312"/>
                <w:kern w:val="40"/>
                <w:szCs w:val="20"/>
              </w:rPr>
            </w:pPr>
            <w:r>
              <w:rPr>
                <w:rFonts w:hint="eastAsia" w:ascii="仿宋_GB2312" w:hAnsi="仿宋_GB2312" w:eastAsia="仿宋_GB2312" w:cs="仿宋_GB2312"/>
                <w:szCs w:val="20"/>
              </w:rPr>
              <w:t>2个工作日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hAnsi="仿宋_GB2312" w:eastAsia="仿宋_GB2312" w:cs="仿宋_GB2312"/>
                <w:kern w:val="40"/>
                <w:szCs w:val="20"/>
              </w:rPr>
            </w:pPr>
            <w:r>
              <w:rPr>
                <w:rFonts w:hint="eastAsia" w:ascii="仿宋_GB2312" w:hAnsi="仿宋_GB2312" w:eastAsia="仿宋_GB2312" w:cs="仿宋_GB2312"/>
                <w:kern w:val="40"/>
                <w:szCs w:val="20"/>
              </w:rPr>
              <w:t>50万以上100万以内</w:t>
            </w:r>
          </w:p>
        </w:tc>
        <w:tc>
          <w:tcPr>
            <w:tcW w:w="3600" w:type="dxa"/>
            <w:vAlign w:val="center"/>
          </w:tcPr>
          <w:p>
            <w:pPr>
              <w:spacing w:line="560" w:lineRule="exact"/>
              <w:jc w:val="center"/>
              <w:rPr>
                <w:rFonts w:ascii="仿宋_GB2312" w:hAnsi="仿宋_GB2312" w:eastAsia="仿宋_GB2312" w:cs="仿宋_GB2312"/>
                <w:kern w:val="40"/>
                <w:szCs w:val="20"/>
              </w:rPr>
            </w:pPr>
            <w:r>
              <w:rPr>
                <w:rFonts w:hint="eastAsia" w:ascii="仿宋_GB2312" w:hAnsi="仿宋_GB2312" w:eastAsia="仿宋_GB2312" w:cs="仿宋_GB2312"/>
                <w:szCs w:val="20"/>
              </w:rPr>
              <w:t>3个工作日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hAnsi="仿宋_GB2312" w:eastAsia="仿宋_GB2312" w:cs="仿宋_GB2312"/>
                <w:kern w:val="40"/>
                <w:szCs w:val="20"/>
              </w:rPr>
            </w:pPr>
            <w:r>
              <w:rPr>
                <w:rFonts w:hint="eastAsia" w:ascii="仿宋_GB2312" w:hAnsi="仿宋_GB2312" w:eastAsia="仿宋_GB2312" w:cs="仿宋_GB2312"/>
                <w:kern w:val="40"/>
                <w:szCs w:val="20"/>
              </w:rPr>
              <w:t>大于100万</w:t>
            </w:r>
          </w:p>
        </w:tc>
        <w:tc>
          <w:tcPr>
            <w:tcW w:w="3600" w:type="dxa"/>
            <w:vAlign w:val="center"/>
          </w:tcPr>
          <w:p>
            <w:pPr>
              <w:spacing w:line="560" w:lineRule="exact"/>
              <w:jc w:val="center"/>
              <w:rPr>
                <w:rFonts w:ascii="仿宋_GB2312" w:hAnsi="仿宋_GB2312" w:eastAsia="仿宋_GB2312" w:cs="仿宋_GB2312"/>
                <w:kern w:val="40"/>
                <w:szCs w:val="20"/>
              </w:rPr>
            </w:pPr>
            <w:r>
              <w:rPr>
                <w:rFonts w:hint="eastAsia" w:ascii="仿宋_GB2312" w:hAnsi="仿宋_GB2312" w:eastAsia="仿宋_GB2312" w:cs="仿宋_GB2312"/>
                <w:szCs w:val="20"/>
              </w:rPr>
              <w:t>5个工作日</w:t>
            </w:r>
          </w:p>
        </w:tc>
      </w:tr>
    </w:tbl>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同时，乙方做出先行赔偿承诺：即对于保险责任范围内的损失，即使根据法律或契约应由供货方或制造方等第三方负责赔偿的，被保险人也无须等待其赔偿资金，而可由乙方先行支付赔款，乙方再代被保险人追偿。</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如乙方违反上述承诺或未按保险协议规定履行义务或承担责任，致使被保险人不能按照本协议规定的时间获得赔偿金，乙方承诺按每延误一天支付逾期赔款金额的1%支付违约金。</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（八）案件沟通机制</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对于久拖不决和疑难案件，乙方与甲方将定期或不定期进行座谈，建立富有成效的沟通机制，保证有效推动案件进展。对于因乙方原因造成案件无法继续推动的情况，乙方将在15个工作日解决。</w:t>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（九）赔案统计</w:t>
      </w:r>
      <w:r>
        <w:rPr>
          <w:rFonts w:hint="eastAsia" w:ascii="仿宋_GB2312" w:hAnsi="仿宋_GB2312" w:eastAsia="仿宋_GB2312" w:cs="仿宋_GB2312"/>
          <w:kern w:val="0"/>
          <w:sz w:val="24"/>
          <w:szCs w:val="24"/>
        </w:rPr>
        <w:tab/>
      </w:r>
    </w:p>
    <w:p>
      <w:pPr>
        <w:spacing w:line="56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乙方将在每季度结束后3个工作日内，将赔案信息汇总并发送给甲方，统计信息的格式以全面反映每起赔案信息情况及进度，并根据甲方的建议及时进行调整。对于缺少资料的未决赔案，将提供当前所缺少的索赔资料清单明细。</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九、其他理赔服务</w:t>
      </w:r>
    </w:p>
    <w:p>
      <w:pPr>
        <w:spacing w:before="156" w:line="560" w:lineRule="exact"/>
        <w:ind w:firstLine="480" w:firstLineChars="200"/>
        <w:rPr>
          <w:rFonts w:ascii="仿宋_GB2312" w:hAnsi="仿宋_GB2312" w:eastAsia="仿宋_GB2312" w:cs="仿宋_GB2312"/>
          <w:bCs/>
          <w:sz w:val="24"/>
          <w:szCs w:val="24"/>
        </w:rPr>
      </w:pPr>
      <w:bookmarkStart w:id="3" w:name="_Toc410025196"/>
      <w:bookmarkStart w:id="4" w:name="_Toc30553"/>
      <w:bookmarkStart w:id="5" w:name="_Toc431296981"/>
      <w:r>
        <w:rPr>
          <w:rFonts w:hint="eastAsia" w:ascii="仿宋_GB2312" w:hAnsi="仿宋_GB2312" w:eastAsia="仿宋_GB2312" w:cs="仿宋_GB2312"/>
          <w:bCs/>
          <w:kern w:val="40"/>
          <w:sz w:val="24"/>
          <w:szCs w:val="24"/>
        </w:rPr>
        <w:t>（一）</w:t>
      </w:r>
      <w:r>
        <w:rPr>
          <w:rFonts w:hint="eastAsia" w:ascii="仿宋_GB2312" w:hAnsi="仿宋_GB2312" w:eastAsia="仿宋_GB2312" w:cs="仿宋_GB2312"/>
          <w:bCs/>
          <w:sz w:val="24"/>
          <w:szCs w:val="24"/>
        </w:rPr>
        <w:t>培训服务</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乙方在出具保单后5个工作日内，为甲方提供保单解读及理赔相关事宜培训服务；且此后每年至少举办一次保险知识和风险管理培训，以提高被保险人相关人员的安全意识和防灾防损技能。</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（二）客户服务手册</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乙方承诺，在出具保单后5个工作日内，向甲方提供客户服务手册，内容包括但不限于保单摘要、被保险人义务、索赔程序、索赔单证、联系人员名单等。</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（三）防灾防损服务</w:t>
      </w:r>
      <w:bookmarkEnd w:id="3"/>
      <w:bookmarkEnd w:id="4"/>
      <w:bookmarkEnd w:id="5"/>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1.乙方将不定期（雨季、冬季或重要施工节点之前）组织国内风险管理公司或风险评估公司的有关专家对本项目进行现场查勘与风险评估工作，有针对性地提出具体风险管理建议和意见，以便降低风险事故发生几率，确保其安全生产和持续发展。</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2.乙方应向被保险人提供恶劣气候（如暴雨、台风等）的预警服务，并配合被保险人做好防灾防损工作。</w:t>
      </w:r>
    </w:p>
    <w:p>
      <w:pPr>
        <w:spacing w:line="560" w:lineRule="exact"/>
        <w:ind w:firstLine="480" w:firstLineChars="200"/>
        <w:rPr>
          <w:rFonts w:ascii="仿宋_GB2312" w:hAnsi="仿宋_GB2312" w:eastAsia="仿宋_GB2312" w:cs="仿宋_GB2312"/>
          <w:bCs/>
          <w:sz w:val="24"/>
          <w:szCs w:val="24"/>
        </w:rPr>
      </w:pPr>
      <w:bookmarkStart w:id="6" w:name="_Toc384112272"/>
      <w:bookmarkStart w:id="7" w:name="_Toc410025198"/>
      <w:bookmarkStart w:id="8" w:name="_Toc360530781"/>
      <w:bookmarkStart w:id="9" w:name="_Toc431296983"/>
      <w:bookmarkStart w:id="10" w:name="_Toc3463"/>
      <w:bookmarkStart w:id="11" w:name="_Toc401308041"/>
      <w:bookmarkStart w:id="12" w:name="_Toc358966249"/>
      <w:bookmarkStart w:id="13" w:name="_Toc403476453"/>
      <w:r>
        <w:rPr>
          <w:rFonts w:hint="eastAsia" w:ascii="仿宋_GB2312" w:hAnsi="仿宋_GB2312" w:eastAsia="仿宋_GB2312" w:cs="仿宋_GB2312"/>
          <w:bCs/>
          <w:sz w:val="24"/>
          <w:szCs w:val="24"/>
        </w:rPr>
        <w:t>（四）联席会议</w:t>
      </w:r>
      <w:bookmarkEnd w:id="6"/>
      <w:bookmarkEnd w:id="7"/>
      <w:bookmarkEnd w:id="8"/>
      <w:bookmarkEnd w:id="9"/>
      <w:bookmarkEnd w:id="10"/>
      <w:bookmarkEnd w:id="11"/>
      <w:bookmarkEnd w:id="12"/>
      <w:bookmarkEnd w:id="13"/>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乙方在保险年度内每季度组织一次联席会议，通报保险理赔与服务情况，相互沟通，向被保险人通报前一阶段保险工作开展情况，协商解决项目保险服务过程中存在的问题，制定下一阶段工作方案，保持良好和合作关系。</w:t>
      </w:r>
    </w:p>
    <w:p>
      <w:pPr>
        <w:spacing w:line="560" w:lineRule="exact"/>
        <w:ind w:firstLine="480" w:firstLineChars="200"/>
        <w:rPr>
          <w:rFonts w:ascii="仿宋_GB2312" w:hAnsi="仿宋_GB2312" w:eastAsia="仿宋_GB2312" w:cs="仿宋_GB2312"/>
          <w:bCs/>
          <w:sz w:val="24"/>
          <w:szCs w:val="24"/>
        </w:rPr>
      </w:pPr>
      <w:bookmarkStart w:id="14" w:name="_Toc384112273"/>
      <w:bookmarkStart w:id="15" w:name="_Toc401308042"/>
      <w:bookmarkStart w:id="16" w:name="_Toc6368"/>
      <w:bookmarkStart w:id="17" w:name="_Toc403476454"/>
      <w:bookmarkStart w:id="18" w:name="_Toc410025199"/>
      <w:bookmarkStart w:id="19" w:name="_Toc431296984"/>
      <w:bookmarkStart w:id="20" w:name="_Toc358966250"/>
      <w:bookmarkStart w:id="21" w:name="_Toc360530782"/>
      <w:r>
        <w:rPr>
          <w:rFonts w:hint="eastAsia" w:ascii="仿宋_GB2312" w:hAnsi="仿宋_GB2312" w:eastAsia="仿宋_GB2312" w:cs="仿宋_GB2312"/>
          <w:bCs/>
          <w:sz w:val="24"/>
          <w:szCs w:val="24"/>
        </w:rPr>
        <w:t>（五）</w:t>
      </w:r>
      <w:bookmarkEnd w:id="14"/>
      <w:bookmarkEnd w:id="15"/>
      <w:bookmarkEnd w:id="16"/>
      <w:bookmarkEnd w:id="17"/>
      <w:bookmarkEnd w:id="18"/>
      <w:bookmarkEnd w:id="19"/>
      <w:bookmarkEnd w:id="20"/>
      <w:bookmarkEnd w:id="21"/>
      <w:bookmarkStart w:id="22" w:name="_Toc7900"/>
      <w:bookmarkStart w:id="23" w:name="_Toc410025201"/>
      <w:bookmarkStart w:id="24" w:name="_Toc403476456"/>
      <w:bookmarkStart w:id="25" w:name="_Toc431296986"/>
      <w:r>
        <w:rPr>
          <w:rFonts w:hint="eastAsia" w:ascii="仿宋_GB2312" w:hAnsi="仿宋_GB2312" w:eastAsia="仿宋_GB2312" w:cs="仿宋_GB2312"/>
          <w:bCs/>
          <w:sz w:val="24"/>
          <w:szCs w:val="24"/>
        </w:rPr>
        <w:t>建立投诉制度</w:t>
      </w:r>
      <w:bookmarkEnd w:id="22"/>
      <w:bookmarkEnd w:id="23"/>
      <w:bookmarkEnd w:id="24"/>
      <w:bookmarkEnd w:id="25"/>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在乙方未有效履行合作协议中相关服务条款或具体项目保险协议且促办无效时，被保险人可以提出投诉。乙方</w:t>
      </w:r>
      <w:bookmarkStart w:id="26" w:name="OLE_LINK22"/>
      <w:r>
        <w:rPr>
          <w:rFonts w:hint="eastAsia" w:ascii="仿宋_GB2312" w:hAnsi="仿宋_GB2312" w:eastAsia="仿宋_GB2312" w:cs="仿宋_GB2312"/>
          <w:bCs/>
          <w:sz w:val="24"/>
          <w:szCs w:val="24"/>
        </w:rPr>
        <w:t>首席承保人</w:t>
      </w:r>
      <w:bookmarkEnd w:id="26"/>
      <w:r>
        <w:rPr>
          <w:rFonts w:hint="eastAsia" w:ascii="仿宋_GB2312" w:hAnsi="仿宋_GB2312" w:eastAsia="仿宋_GB2312" w:cs="仿宋_GB2312"/>
          <w:bCs/>
          <w:sz w:val="24"/>
          <w:szCs w:val="24"/>
        </w:rPr>
        <w:t>设立投诉电话：，并在接到投诉后5个工作日内给予书面处理意见，并继续跟踪处理结果的执行情况，及时反馈给投诉方。</w:t>
      </w:r>
    </w:p>
    <w:p>
      <w:pPr>
        <w:spacing w:line="560" w:lineRule="exact"/>
        <w:ind w:firstLine="480" w:firstLineChars="200"/>
        <w:rPr>
          <w:rFonts w:ascii="仿宋_GB2312" w:hAnsi="仿宋_GB2312" w:eastAsia="仿宋_GB2312" w:cs="仿宋_GB2312"/>
          <w:bCs/>
          <w:sz w:val="24"/>
          <w:szCs w:val="24"/>
        </w:rPr>
      </w:pPr>
      <w:bookmarkStart w:id="27" w:name="_Toc401308045"/>
      <w:bookmarkStart w:id="28" w:name="_Toc384112276"/>
      <w:bookmarkStart w:id="29" w:name="_Toc410025203"/>
      <w:bookmarkStart w:id="30" w:name="_Toc360530785"/>
      <w:bookmarkStart w:id="31" w:name="_Toc10801"/>
      <w:bookmarkStart w:id="32" w:name="_Toc358966252"/>
      <w:bookmarkStart w:id="33" w:name="_Toc403476458"/>
      <w:bookmarkStart w:id="34" w:name="_Toc431296988"/>
      <w:r>
        <w:rPr>
          <w:rFonts w:hint="eastAsia" w:ascii="仿宋_GB2312" w:hAnsi="仿宋_GB2312" w:eastAsia="仿宋_GB2312" w:cs="仿宋_GB2312"/>
          <w:bCs/>
          <w:sz w:val="24"/>
          <w:szCs w:val="24"/>
        </w:rPr>
        <w:t>（六）法律救援服务</w:t>
      </w:r>
      <w:bookmarkEnd w:id="27"/>
      <w:bookmarkEnd w:id="28"/>
      <w:bookmarkEnd w:id="29"/>
      <w:bookmarkEnd w:id="30"/>
      <w:bookmarkEnd w:id="31"/>
      <w:bookmarkEnd w:id="32"/>
      <w:bookmarkEnd w:id="33"/>
      <w:bookmarkEnd w:id="34"/>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向甲方提供有关保险案件的法律服务，包括法律咨询等。</w:t>
      </w:r>
    </w:p>
    <w:p>
      <w:pPr>
        <w:spacing w:before="156" w:beforeLines="50" w:line="360" w:lineRule="auto"/>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十一、一般条款 </w:t>
      </w:r>
    </w:p>
    <w:p>
      <w:pPr>
        <w:spacing w:before="156"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（一）协议有效期</w:t>
      </w:r>
    </w:p>
    <w:p>
      <w:pPr>
        <w:tabs>
          <w:tab w:val="left" w:pos="1620"/>
        </w:tabs>
        <w:spacing w:line="360" w:lineRule="auto"/>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本协议自签订之日起生效，至</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rPr>
        <w:t>年</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rPr>
        <w:t>月</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rPr>
        <w:t>日止，共计</w:t>
      </w:r>
      <w:r>
        <w:rPr>
          <w:rFonts w:hint="eastAsia" w:ascii="仿宋_GB2312" w:hAnsi="仿宋_GB2312" w:eastAsia="仿宋_GB2312" w:cs="仿宋_GB2312"/>
          <w:bCs/>
          <w:sz w:val="24"/>
          <w:szCs w:val="24"/>
          <w:lang w:val="en-US" w:eastAsia="zh-CN"/>
        </w:rPr>
        <w:t>二十四</w:t>
      </w:r>
      <w:r>
        <w:rPr>
          <w:rFonts w:hint="eastAsia" w:ascii="仿宋_GB2312" w:hAnsi="仿宋_GB2312" w:eastAsia="仿宋_GB2312" w:cs="仿宋_GB2312"/>
          <w:bCs/>
          <w:sz w:val="24"/>
          <w:szCs w:val="24"/>
        </w:rPr>
        <w:t>个月。如有未到期保单，则协议有效期至保单到期之日止；如有未决赔案，则协议有效期至所有赔案处理完毕之日止。</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（二）协议变更</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本协议如有未尽事宜，经甲乙双方协商后可随时以书面形式修改或补充，并作为本协议的组成部分。</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如因甲方原因造成投保项目终止，需要解除本协议的，甲方应提前30个工作日书面通知乙方终止本协议，并注销保单和清算保费；终止日前保费按日（总保费/原投保天数*实际投保天数）计收，终止日后保费应在10个工作日内退还。</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乙方解除合同须征得甲方同意，并全额退还保费。</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（三）保密条款</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除非下列情况，自本协议生效之日起，甲乙双方不得将本协议涉及的所有有形、无形的信息及资料（包括但不限于双方的往来书面文字文件、电子邮件及信息、软盘资料等）泄露给第三方：</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1.提供给为执行本协议而提供相关服务的雇员或顾问。</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2.应法律或司法管辖要求而提供。</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3.经甲乙双方书面同意。</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本协议一方因过错造成泄密而给另一方造成损失的，过错一方承担经济赔偿责任。</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本协议终止时本条款继续有效三年。</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（四）法律责任</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由于本协议一方当事人的过错，造成本协议不能履行或者不能完全履行的，由有过错的一方依法承担违约责任；如属双方当事人的过错，则根据双方当事人过错的实际情况，由双方当事人分别承担各自应负的违约责任。</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若发生违约情形，违约方依法依约承担其相应法律责任后，除非守约方同意终止本协议的，本协议仍须继续履行。</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（五）争议解决</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甲、乙双方之间的一切有关本协议的争议应通过友好协商解决。如果协商不成，任一方均有权向甲方所在地有管辖权的人民法院提起诉讼。</w:t>
      </w:r>
    </w:p>
    <w:p>
      <w:pPr>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（六）其他</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1.乙方按本协议出具的保单与本协议冲突之处，以本协议内容为准，本协议另有明确约定的情况除外。</w:t>
      </w:r>
    </w:p>
    <w:p>
      <w:pPr>
        <w:tabs>
          <w:tab w:val="left" w:pos="1620"/>
        </w:tabs>
        <w:spacing w:line="560" w:lineRule="exact"/>
        <w:ind w:firstLine="480" w:firstLineChars="200"/>
        <w:rPr>
          <w:rFonts w:ascii="仿宋_GB2312" w:hAnsi="仿宋_GB2312" w:eastAsia="仿宋_GB2312" w:cs="仿宋_GB2312"/>
          <w:bCs/>
          <w:sz w:val="24"/>
          <w:szCs w:val="24"/>
        </w:rPr>
      </w:pPr>
      <w:r>
        <w:rPr>
          <w:rFonts w:hint="eastAsia" w:ascii="仿宋_GB2312" w:hAnsi="仿宋_GB2312" w:eastAsia="仿宋_GB2312" w:cs="仿宋_GB2312"/>
          <w:bCs/>
          <w:sz w:val="24"/>
          <w:szCs w:val="24"/>
        </w:rPr>
        <w:t>2.本协议一式6份，甲方执4份，乙方执2份。</w:t>
      </w:r>
    </w:p>
    <w:p>
      <w:pPr>
        <w:tabs>
          <w:tab w:val="left" w:pos="1620"/>
        </w:tabs>
        <w:spacing w:line="560" w:lineRule="exac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（以下无正文）</w:t>
      </w:r>
    </w:p>
    <w:p>
      <w:pPr>
        <w:rPr>
          <w:rFonts w:ascii="仿宋_GB2312" w:hAnsi="仿宋_GB2312" w:eastAsia="仿宋_GB2312" w:cs="仿宋_GB2312"/>
          <w:bCs/>
          <w:sz w:val="24"/>
          <w:szCs w:val="24"/>
        </w:rPr>
      </w:pPr>
      <w:r>
        <w:rPr>
          <w:rFonts w:hint="eastAsia" w:ascii="仿宋_GB2312" w:hAnsi="仿宋_GB2312" w:eastAsia="仿宋_GB2312" w:cs="仿宋_GB2312"/>
          <w:bCs/>
          <w:sz w:val="24"/>
          <w:szCs w:val="24"/>
        </w:rPr>
        <w:br w:type="page"/>
      </w:r>
    </w:p>
    <w:p>
      <w:pPr>
        <w:spacing w:line="560" w:lineRule="exact"/>
        <w:ind w:firstLine="0" w:firstLineChars="0"/>
        <w:jc w:val="center"/>
        <w:rPr>
          <w:rFonts w:ascii="仿宋_GB2312" w:hAnsi="仿宋_GB2312" w:eastAsia="仿宋_GB2312" w:cs="仿宋_GB2312"/>
          <w:sz w:val="24"/>
          <w:szCs w:val="18"/>
        </w:rPr>
      </w:pPr>
      <w:r>
        <w:rPr>
          <w:rFonts w:hint="eastAsia" w:ascii="仿宋_GB2312" w:hAnsi="仿宋_GB2312" w:eastAsia="仿宋_GB2312" w:cs="仿宋_GB2312"/>
          <w:bCs/>
          <w:sz w:val="24"/>
          <w:szCs w:val="24"/>
        </w:rPr>
        <w:t>（本页无正文，为</w:t>
      </w:r>
      <w:r>
        <w:rPr>
          <w:rFonts w:hint="eastAsia" w:ascii="仿宋_GB2312" w:hAnsi="仿宋_GB2312" w:eastAsia="仿宋_GB2312" w:cs="仿宋_GB2312"/>
          <w:bCs/>
          <w:sz w:val="24"/>
          <w:szCs w:val="24"/>
          <w:lang w:eastAsia="zh-CN"/>
        </w:rPr>
        <w:t>《</w:t>
      </w:r>
      <w:r>
        <w:rPr>
          <w:rFonts w:hint="eastAsia" w:ascii="仿宋_GB2312" w:hAnsi="仿宋_GB2312" w:eastAsia="仿宋_GB2312" w:cs="仿宋_GB2312"/>
          <w:b w:val="0"/>
          <w:bCs/>
          <w:sz w:val="24"/>
          <w:szCs w:val="24"/>
        </w:rPr>
        <w:t>AW109直升机(序列号22747)保险服务协议</w:t>
      </w:r>
      <w:r>
        <w:rPr>
          <w:rFonts w:hint="eastAsia" w:ascii="仿宋_GB2312" w:hAnsi="仿宋_GB2312" w:eastAsia="仿宋_GB2312" w:cs="仿宋_GB2312"/>
          <w:bCs/>
          <w:sz w:val="24"/>
          <w:szCs w:val="24"/>
          <w:lang w:eastAsia="zh-CN"/>
        </w:rPr>
        <w:t>》</w:t>
      </w:r>
      <w:r>
        <w:rPr>
          <w:rFonts w:hint="eastAsia" w:ascii="仿宋_GB2312" w:hAnsi="仿宋_GB2312" w:eastAsia="仿宋_GB2312" w:cs="仿宋_GB2312"/>
          <w:bCs/>
          <w:sz w:val="24"/>
          <w:szCs w:val="24"/>
        </w:rPr>
        <w:t>签署页）</w:t>
      </w:r>
    </w:p>
    <w:p>
      <w:pPr>
        <w:spacing w:line="560" w:lineRule="exact"/>
        <w:ind w:firstLine="480" w:firstLineChars="200"/>
        <w:rPr>
          <w:rFonts w:ascii="仿宋_GB2312" w:hAnsi="仿宋_GB2312" w:eastAsia="仿宋_GB2312" w:cs="仿宋_GB2312"/>
          <w:sz w:val="24"/>
          <w:szCs w:val="18"/>
        </w:rPr>
      </w:pPr>
    </w:p>
    <w:p>
      <w:pPr>
        <w:spacing w:line="560" w:lineRule="exact"/>
        <w:ind w:firstLine="480" w:firstLineChars="200"/>
        <w:rPr>
          <w:rFonts w:ascii="仿宋_GB2312" w:hAnsi="仿宋_GB2312" w:eastAsia="仿宋_GB2312" w:cs="仿宋_GB2312"/>
          <w:sz w:val="24"/>
          <w:szCs w:val="18"/>
        </w:rPr>
      </w:pPr>
    </w:p>
    <w:p>
      <w:pPr>
        <w:spacing w:line="560" w:lineRule="exact"/>
        <w:ind w:firstLine="480" w:firstLineChars="200"/>
        <w:rPr>
          <w:rFonts w:ascii="仿宋_GB2312" w:hAnsi="仿宋_GB2312" w:eastAsia="仿宋_GB2312" w:cs="仿宋_GB2312"/>
          <w:sz w:val="24"/>
          <w:szCs w:val="18"/>
        </w:rPr>
      </w:pPr>
      <w:r>
        <w:rPr>
          <w:rFonts w:hint="eastAsia" w:ascii="仿宋_GB2312" w:hAnsi="仿宋_GB2312" w:eastAsia="仿宋_GB2312" w:cs="仿宋_GB2312"/>
          <w:sz w:val="24"/>
          <w:szCs w:val="18"/>
        </w:rPr>
        <w:t>甲方：</w:t>
      </w:r>
      <w:bookmarkStart w:id="35" w:name="OLE_LINK26"/>
      <w:r>
        <w:rPr>
          <w:rFonts w:hint="eastAsia" w:ascii="仿宋_GB2312" w:hAnsi="仿宋_GB2312" w:eastAsia="仿宋_GB2312" w:cs="仿宋_GB2312"/>
          <w:sz w:val="24"/>
          <w:szCs w:val="18"/>
        </w:rPr>
        <w:t>（加盖公章）</w:t>
      </w:r>
      <w:bookmarkEnd w:id="35"/>
    </w:p>
    <w:p>
      <w:pPr>
        <w:tabs>
          <w:tab w:val="left" w:pos="1080"/>
        </w:tabs>
        <w:spacing w:line="560" w:lineRule="exact"/>
        <w:ind w:firstLine="482" w:firstLineChars="200"/>
        <w:rPr>
          <w:rFonts w:ascii="仿宋_GB2312" w:hAnsi="仿宋_GB2312" w:eastAsia="仿宋_GB2312" w:cs="仿宋_GB2312"/>
          <w:b/>
          <w:bCs/>
          <w:sz w:val="24"/>
          <w:szCs w:val="18"/>
        </w:rPr>
      </w:pP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纳税人识别号：</w:t>
      </w: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开户银行：</w:t>
      </w: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银行账号：</w:t>
      </w: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地址：</w:t>
      </w: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电话：</w:t>
      </w:r>
    </w:p>
    <w:p>
      <w:pPr>
        <w:tabs>
          <w:tab w:val="left" w:pos="1080"/>
        </w:tabs>
        <w:spacing w:line="560" w:lineRule="exact"/>
        <w:ind w:firstLine="480" w:firstLineChars="200"/>
        <w:rPr>
          <w:rFonts w:ascii="仿宋_GB2312" w:hAnsi="仿宋_GB2312" w:eastAsia="仿宋_GB2312" w:cs="仿宋_GB2312"/>
          <w:sz w:val="24"/>
          <w:szCs w:val="18"/>
        </w:rPr>
      </w:pPr>
      <w:r>
        <w:rPr>
          <w:rFonts w:hint="eastAsia" w:ascii="仿宋_GB2312" w:hAnsi="仿宋_GB2312" w:eastAsia="仿宋_GB2312" w:cs="仿宋_GB2312"/>
          <w:sz w:val="24"/>
          <w:szCs w:val="18"/>
        </w:rPr>
        <w:t>法定代表人或授权代表（签字）：</w:t>
      </w:r>
    </w:p>
    <w:p>
      <w:pPr>
        <w:tabs>
          <w:tab w:val="left" w:pos="1080"/>
        </w:tabs>
        <w:spacing w:line="560" w:lineRule="exact"/>
        <w:ind w:firstLine="480" w:firstLineChars="200"/>
        <w:rPr>
          <w:rFonts w:ascii="仿宋_GB2312" w:hAnsi="仿宋_GB2312" w:eastAsia="仿宋_GB2312" w:cs="仿宋_GB2312"/>
          <w:sz w:val="24"/>
          <w:szCs w:val="18"/>
        </w:rPr>
      </w:pPr>
      <w:r>
        <w:rPr>
          <w:rFonts w:hint="eastAsia" w:ascii="仿宋_GB2312" w:hAnsi="仿宋_GB2312" w:eastAsia="仿宋_GB2312" w:cs="仿宋_GB2312"/>
          <w:sz w:val="24"/>
          <w:szCs w:val="18"/>
        </w:rPr>
        <w:t>日期：   年    月    日</w:t>
      </w:r>
    </w:p>
    <w:p>
      <w:pPr>
        <w:tabs>
          <w:tab w:val="left" w:pos="1080"/>
        </w:tabs>
        <w:spacing w:line="560" w:lineRule="exact"/>
        <w:ind w:firstLine="480" w:firstLineChars="200"/>
        <w:rPr>
          <w:rFonts w:ascii="仿宋_GB2312" w:hAnsi="仿宋_GB2312" w:eastAsia="仿宋_GB2312" w:cs="仿宋_GB2312"/>
          <w:sz w:val="24"/>
          <w:szCs w:val="18"/>
        </w:rPr>
      </w:pPr>
    </w:p>
    <w:p>
      <w:pPr>
        <w:tabs>
          <w:tab w:val="left" w:pos="1080"/>
        </w:tabs>
        <w:spacing w:line="560" w:lineRule="exact"/>
        <w:ind w:firstLine="482" w:firstLineChars="200"/>
        <w:rPr>
          <w:rFonts w:ascii="仿宋_GB2312" w:hAnsi="仿宋_GB2312" w:eastAsia="仿宋_GB2312" w:cs="仿宋_GB2312"/>
          <w:b/>
          <w:bCs/>
          <w:sz w:val="24"/>
          <w:szCs w:val="18"/>
        </w:rPr>
      </w:pPr>
    </w:p>
    <w:p>
      <w:pPr>
        <w:spacing w:line="560" w:lineRule="exact"/>
        <w:ind w:firstLine="480" w:firstLineChars="200"/>
        <w:rPr>
          <w:rFonts w:ascii="仿宋_GB2312" w:hAnsi="仿宋_GB2312" w:eastAsia="仿宋_GB2312" w:cs="仿宋_GB2312"/>
          <w:sz w:val="24"/>
          <w:szCs w:val="18"/>
        </w:rPr>
      </w:pPr>
      <w:r>
        <w:rPr>
          <w:rFonts w:hint="eastAsia" w:ascii="仿宋_GB2312" w:hAnsi="仿宋_GB2312" w:eastAsia="仿宋_GB2312" w:cs="仿宋_GB2312"/>
          <w:sz w:val="24"/>
          <w:szCs w:val="18"/>
        </w:rPr>
        <w:t>乙方：（加盖公章）</w:t>
      </w:r>
    </w:p>
    <w:p>
      <w:pPr>
        <w:tabs>
          <w:tab w:val="left" w:pos="1080"/>
        </w:tabs>
        <w:spacing w:line="560" w:lineRule="exact"/>
        <w:ind w:firstLine="482" w:firstLineChars="200"/>
        <w:rPr>
          <w:rFonts w:ascii="仿宋_GB2312" w:hAnsi="仿宋_GB2312" w:eastAsia="仿宋_GB2312" w:cs="仿宋_GB2312"/>
          <w:b/>
          <w:bCs/>
          <w:sz w:val="24"/>
          <w:szCs w:val="18"/>
        </w:rPr>
      </w:pP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纳税人识别号：</w:t>
      </w: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开户银行：</w:t>
      </w: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银行账号：</w:t>
      </w: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地址：</w:t>
      </w:r>
    </w:p>
    <w:p>
      <w:pPr>
        <w:tabs>
          <w:tab w:val="left" w:pos="1080"/>
        </w:tabs>
        <w:spacing w:line="560" w:lineRule="exact"/>
        <w:ind w:firstLine="482" w:firstLineChars="200"/>
        <w:rPr>
          <w:rFonts w:ascii="仿宋_GB2312" w:hAnsi="仿宋_GB2312" w:eastAsia="仿宋_GB2312" w:cs="仿宋_GB2312"/>
          <w:b/>
          <w:bCs/>
          <w:sz w:val="24"/>
          <w:szCs w:val="18"/>
        </w:rPr>
      </w:pPr>
      <w:r>
        <w:rPr>
          <w:rFonts w:hint="eastAsia" w:ascii="仿宋_GB2312" w:hAnsi="仿宋_GB2312" w:eastAsia="仿宋_GB2312" w:cs="仿宋_GB2312"/>
          <w:b/>
          <w:bCs/>
          <w:sz w:val="24"/>
          <w:szCs w:val="18"/>
        </w:rPr>
        <w:t>电话：</w:t>
      </w:r>
    </w:p>
    <w:p>
      <w:pPr>
        <w:tabs>
          <w:tab w:val="left" w:pos="1080"/>
        </w:tabs>
        <w:spacing w:line="560" w:lineRule="exact"/>
        <w:ind w:firstLine="480" w:firstLineChars="200"/>
        <w:rPr>
          <w:rFonts w:ascii="仿宋_GB2312" w:hAnsi="仿宋_GB2312" w:eastAsia="仿宋_GB2312" w:cs="仿宋_GB2312"/>
          <w:sz w:val="24"/>
          <w:szCs w:val="18"/>
        </w:rPr>
      </w:pPr>
      <w:r>
        <w:rPr>
          <w:rFonts w:hint="eastAsia" w:ascii="仿宋_GB2312" w:hAnsi="仿宋_GB2312" w:eastAsia="仿宋_GB2312" w:cs="仿宋_GB2312"/>
          <w:sz w:val="24"/>
          <w:szCs w:val="18"/>
        </w:rPr>
        <w:t>法定代表人或授权代表（签字）：</w:t>
      </w:r>
    </w:p>
    <w:p>
      <w:pPr>
        <w:tabs>
          <w:tab w:val="left" w:pos="1080"/>
        </w:tabs>
        <w:spacing w:line="560" w:lineRule="exact"/>
        <w:ind w:firstLine="480" w:firstLineChars="200"/>
        <w:rPr>
          <w:rFonts w:ascii="仿宋_GB2312" w:hAnsi="仿宋_GB2312" w:eastAsia="仿宋_GB2312" w:cs="仿宋_GB2312"/>
          <w:sz w:val="24"/>
          <w:szCs w:val="18"/>
        </w:rPr>
      </w:pPr>
      <w:r>
        <w:rPr>
          <w:rFonts w:hint="eastAsia" w:ascii="仿宋_GB2312" w:hAnsi="仿宋_GB2312" w:eastAsia="仿宋_GB2312" w:cs="仿宋_GB2312"/>
          <w:sz w:val="24"/>
          <w:szCs w:val="18"/>
        </w:rPr>
        <w:t>日期：   年    月    日</w:t>
      </w:r>
    </w:p>
    <w:p>
      <w:pPr>
        <w:widowControl/>
        <w:jc w:val="left"/>
      </w:pPr>
      <w:r>
        <w:br w:type="page"/>
      </w:r>
    </w:p>
    <w:p>
      <w:r>
        <w:rPr>
          <w:rFonts w:hint="eastAsia"/>
        </w:rPr>
        <w:t>附件一：保险条件</w:t>
      </w:r>
    </w:p>
    <w:p/>
    <w:p>
      <w:pPr>
        <w:spacing w:line="360" w:lineRule="auto"/>
        <w:rPr>
          <w:rFonts w:ascii="仿宋" w:hAnsi="仿宋" w:eastAsia="仿宋"/>
          <w:b/>
          <w:bCs/>
          <w:sz w:val="28"/>
        </w:rPr>
      </w:pPr>
      <w:r>
        <w:rPr>
          <w:rFonts w:ascii="仿宋" w:hAnsi="仿宋" w:eastAsia="仿宋"/>
          <w:b/>
          <w:bCs/>
          <w:sz w:val="28"/>
        </w:rPr>
        <w:t>第1项：</w:t>
      </w:r>
      <w:r>
        <w:rPr>
          <w:rFonts w:hint="eastAsia" w:ascii="仿宋" w:hAnsi="仿宋" w:eastAsia="仿宋"/>
          <w:b/>
          <w:bCs/>
          <w:sz w:val="28"/>
        </w:rPr>
        <w:t>投保人：</w:t>
      </w:r>
    </w:p>
    <w:p>
      <w:pPr>
        <w:spacing w:line="0" w:lineRule="atLeast"/>
        <w:rPr>
          <w:rFonts w:ascii="仿宋" w:hAnsi="仿宋" w:eastAsia="仿宋"/>
          <w:sz w:val="28"/>
        </w:rPr>
      </w:pPr>
      <w:r>
        <w:rPr>
          <w:rFonts w:hint="eastAsia" w:ascii="仿宋" w:hAnsi="仿宋" w:eastAsia="仿宋"/>
          <w:sz w:val="28"/>
        </w:rPr>
        <w:t>长沙湘江通用航空发展有限公司</w:t>
      </w:r>
    </w:p>
    <w:p>
      <w:pPr>
        <w:spacing w:line="0" w:lineRule="atLeast"/>
        <w:rPr>
          <w:rFonts w:ascii="仿宋" w:hAnsi="仿宋" w:eastAsia="仿宋"/>
          <w:color w:val="000000"/>
          <w:sz w:val="28"/>
        </w:rPr>
      </w:pPr>
    </w:p>
    <w:p>
      <w:pPr>
        <w:spacing w:line="360" w:lineRule="auto"/>
        <w:rPr>
          <w:rFonts w:ascii="仿宋" w:hAnsi="仿宋" w:eastAsia="仿宋"/>
          <w:b/>
          <w:bCs/>
          <w:sz w:val="28"/>
        </w:rPr>
      </w:pPr>
      <w:r>
        <w:rPr>
          <w:rFonts w:hint="eastAsia" w:ascii="仿宋" w:hAnsi="仿宋" w:eastAsia="仿宋"/>
          <w:b/>
          <w:bCs/>
          <w:sz w:val="28"/>
        </w:rPr>
        <w:t>第</w:t>
      </w:r>
      <w:r>
        <w:rPr>
          <w:rFonts w:ascii="仿宋" w:hAnsi="仿宋" w:eastAsia="仿宋"/>
          <w:b/>
          <w:bCs/>
          <w:sz w:val="28"/>
        </w:rPr>
        <w:t>2</w:t>
      </w:r>
      <w:r>
        <w:rPr>
          <w:rFonts w:hint="eastAsia" w:ascii="仿宋" w:hAnsi="仿宋" w:eastAsia="仿宋"/>
          <w:b/>
          <w:bCs/>
          <w:sz w:val="28"/>
        </w:rPr>
        <w:t>项：被保险人：</w:t>
      </w:r>
    </w:p>
    <w:p>
      <w:pPr>
        <w:spacing w:line="360" w:lineRule="auto"/>
        <w:rPr>
          <w:rFonts w:ascii="仿宋" w:hAnsi="仿宋" w:eastAsia="仿宋"/>
          <w:sz w:val="28"/>
        </w:rPr>
      </w:pPr>
      <w:r>
        <w:rPr>
          <w:rFonts w:hint="eastAsia" w:ascii="仿宋" w:hAnsi="仿宋" w:eastAsia="仿宋"/>
          <w:sz w:val="28"/>
        </w:rPr>
        <w:t>长沙湘江通用航空发展有限公司</w:t>
      </w:r>
    </w:p>
    <w:p>
      <w:pPr>
        <w:spacing w:line="0" w:lineRule="atLeast"/>
        <w:rPr>
          <w:rFonts w:ascii="仿宋" w:hAnsi="仿宋" w:eastAsia="仿宋"/>
          <w:sz w:val="28"/>
        </w:rPr>
      </w:pPr>
    </w:p>
    <w:p>
      <w:pPr>
        <w:spacing w:line="360" w:lineRule="auto"/>
        <w:rPr>
          <w:rFonts w:ascii="仿宋" w:hAnsi="仿宋" w:eastAsia="仿宋"/>
          <w:b/>
          <w:bCs/>
          <w:sz w:val="28"/>
        </w:rPr>
      </w:pPr>
      <w:r>
        <w:rPr>
          <w:rFonts w:ascii="仿宋" w:hAnsi="仿宋" w:eastAsia="仿宋"/>
          <w:b/>
          <w:bCs/>
          <w:sz w:val="28"/>
        </w:rPr>
        <w:t>第3项：</w:t>
      </w:r>
      <w:r>
        <w:rPr>
          <w:rFonts w:hint="eastAsia" w:ascii="仿宋" w:hAnsi="仿宋" w:eastAsia="仿宋"/>
          <w:b/>
          <w:bCs/>
          <w:sz w:val="28"/>
        </w:rPr>
        <w:t>拟投保</w:t>
      </w:r>
      <w:r>
        <w:rPr>
          <w:rFonts w:ascii="仿宋" w:hAnsi="仿宋" w:eastAsia="仿宋"/>
          <w:b/>
          <w:bCs/>
          <w:sz w:val="28"/>
        </w:rPr>
        <w:t>航空器</w:t>
      </w:r>
      <w:r>
        <w:rPr>
          <w:rFonts w:hint="eastAsia" w:ascii="仿宋" w:hAnsi="仿宋" w:eastAsia="仿宋"/>
          <w:b/>
          <w:bCs/>
          <w:sz w:val="28"/>
        </w:rPr>
        <w:t>一</w:t>
      </w:r>
      <w:r>
        <w:rPr>
          <w:rFonts w:ascii="仿宋" w:hAnsi="仿宋" w:eastAsia="仿宋"/>
          <w:b/>
          <w:bCs/>
          <w:sz w:val="28"/>
        </w:rPr>
        <w:t>览表</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7"/>
        <w:gridCol w:w="845"/>
        <w:gridCol w:w="911"/>
        <w:gridCol w:w="843"/>
        <w:gridCol w:w="785"/>
        <w:gridCol w:w="1700"/>
        <w:gridCol w:w="1869"/>
        <w:gridCol w:w="1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245" w:type="pct"/>
            <w:vMerge w:val="restart"/>
            <w:vAlign w:val="center"/>
          </w:tcPr>
          <w:p>
            <w:pPr>
              <w:adjustRightInd w:val="0"/>
              <w:snapToGrid w:val="0"/>
              <w:jc w:val="center"/>
              <w:rPr>
                <w:sz w:val="20"/>
              </w:rPr>
            </w:pPr>
            <w:r>
              <w:rPr>
                <w:sz w:val="20"/>
              </w:rPr>
              <w:t>序</w:t>
            </w:r>
          </w:p>
          <w:p>
            <w:pPr>
              <w:adjustRightInd w:val="0"/>
              <w:snapToGrid w:val="0"/>
              <w:jc w:val="center"/>
              <w:rPr>
                <w:sz w:val="20"/>
              </w:rPr>
            </w:pPr>
            <w:r>
              <w:rPr>
                <w:sz w:val="20"/>
              </w:rPr>
              <w:t>号</w:t>
            </w:r>
          </w:p>
        </w:tc>
        <w:tc>
          <w:tcPr>
            <w:tcW w:w="495" w:type="pct"/>
            <w:tcBorders>
              <w:bottom w:val="single" w:color="auto" w:sz="4" w:space="0"/>
            </w:tcBorders>
            <w:vAlign w:val="center"/>
          </w:tcPr>
          <w:p>
            <w:pPr>
              <w:adjustRightInd w:val="0"/>
              <w:snapToGrid w:val="0"/>
              <w:jc w:val="center"/>
              <w:rPr>
                <w:sz w:val="20"/>
              </w:rPr>
            </w:pPr>
            <w:r>
              <w:rPr>
                <w:sz w:val="20"/>
              </w:rPr>
              <w:t>1</w:t>
            </w:r>
          </w:p>
        </w:tc>
        <w:tc>
          <w:tcPr>
            <w:tcW w:w="534" w:type="pct"/>
            <w:tcBorders>
              <w:bottom w:val="single" w:color="auto" w:sz="4" w:space="0"/>
            </w:tcBorders>
            <w:vAlign w:val="center"/>
          </w:tcPr>
          <w:p>
            <w:pPr>
              <w:adjustRightInd w:val="0"/>
              <w:snapToGrid w:val="0"/>
              <w:jc w:val="center"/>
              <w:rPr>
                <w:sz w:val="20"/>
              </w:rPr>
            </w:pPr>
            <w:r>
              <w:rPr>
                <w:sz w:val="20"/>
              </w:rPr>
              <w:t>2</w:t>
            </w:r>
          </w:p>
        </w:tc>
        <w:tc>
          <w:tcPr>
            <w:tcW w:w="494" w:type="pct"/>
            <w:tcBorders>
              <w:bottom w:val="single" w:color="auto" w:sz="4" w:space="0"/>
            </w:tcBorders>
            <w:vAlign w:val="center"/>
          </w:tcPr>
          <w:p>
            <w:pPr>
              <w:adjustRightInd w:val="0"/>
              <w:snapToGrid w:val="0"/>
              <w:jc w:val="center"/>
              <w:rPr>
                <w:sz w:val="20"/>
              </w:rPr>
            </w:pPr>
            <w:r>
              <w:rPr>
                <w:sz w:val="20"/>
              </w:rPr>
              <w:t>3</w:t>
            </w:r>
          </w:p>
        </w:tc>
        <w:tc>
          <w:tcPr>
            <w:tcW w:w="460" w:type="pct"/>
            <w:tcBorders>
              <w:bottom w:val="single" w:color="auto" w:sz="4" w:space="0"/>
            </w:tcBorders>
            <w:vAlign w:val="center"/>
          </w:tcPr>
          <w:p>
            <w:pPr>
              <w:adjustRightInd w:val="0"/>
              <w:snapToGrid w:val="0"/>
              <w:jc w:val="center"/>
              <w:rPr>
                <w:sz w:val="20"/>
              </w:rPr>
            </w:pPr>
            <w:r>
              <w:rPr>
                <w:sz w:val="20"/>
              </w:rPr>
              <w:t>4</w:t>
            </w:r>
          </w:p>
        </w:tc>
        <w:tc>
          <w:tcPr>
            <w:tcW w:w="996" w:type="pct"/>
            <w:tcBorders>
              <w:bottom w:val="single" w:color="auto" w:sz="4" w:space="0"/>
            </w:tcBorders>
            <w:vAlign w:val="center"/>
          </w:tcPr>
          <w:p>
            <w:pPr>
              <w:adjustRightInd w:val="0"/>
              <w:snapToGrid w:val="0"/>
              <w:jc w:val="center"/>
              <w:rPr>
                <w:sz w:val="20"/>
              </w:rPr>
            </w:pPr>
            <w:r>
              <w:rPr>
                <w:sz w:val="20"/>
              </w:rPr>
              <w:t>5</w:t>
            </w:r>
          </w:p>
        </w:tc>
        <w:tc>
          <w:tcPr>
            <w:tcW w:w="1095" w:type="pct"/>
            <w:vAlign w:val="center"/>
          </w:tcPr>
          <w:p>
            <w:pPr>
              <w:adjustRightInd w:val="0"/>
              <w:snapToGrid w:val="0"/>
              <w:jc w:val="center"/>
              <w:rPr>
                <w:sz w:val="20"/>
              </w:rPr>
            </w:pPr>
            <w:r>
              <w:rPr>
                <w:sz w:val="20"/>
              </w:rPr>
              <w:t>6</w:t>
            </w:r>
          </w:p>
        </w:tc>
        <w:tc>
          <w:tcPr>
            <w:tcW w:w="675" w:type="pct"/>
            <w:vAlign w:val="center"/>
          </w:tcPr>
          <w:p>
            <w:pPr>
              <w:adjustRightInd w:val="0"/>
              <w:snapToGrid w:val="0"/>
              <w:jc w:val="center"/>
              <w:rPr>
                <w:sz w:val="20"/>
              </w:rPr>
            </w:pPr>
            <w:r>
              <w:rPr>
                <w:sz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245" w:type="pct"/>
            <w:vMerge w:val="continue"/>
            <w:vAlign w:val="center"/>
          </w:tcPr>
          <w:p>
            <w:pPr>
              <w:adjustRightInd w:val="0"/>
              <w:snapToGrid w:val="0"/>
              <w:jc w:val="center"/>
              <w:rPr>
                <w:sz w:val="20"/>
              </w:rPr>
            </w:pPr>
          </w:p>
        </w:tc>
        <w:tc>
          <w:tcPr>
            <w:tcW w:w="495" w:type="pct"/>
            <w:vAlign w:val="center"/>
          </w:tcPr>
          <w:p>
            <w:pPr>
              <w:adjustRightInd w:val="0"/>
              <w:snapToGrid w:val="0"/>
              <w:jc w:val="center"/>
              <w:rPr>
                <w:sz w:val="20"/>
              </w:rPr>
            </w:pPr>
            <w:r>
              <w:rPr>
                <w:sz w:val="20"/>
              </w:rPr>
              <w:t>航空器</w:t>
            </w:r>
          </w:p>
          <w:p>
            <w:pPr>
              <w:adjustRightInd w:val="0"/>
              <w:snapToGrid w:val="0"/>
              <w:jc w:val="center"/>
              <w:rPr>
                <w:sz w:val="20"/>
              </w:rPr>
            </w:pPr>
            <w:r>
              <w:rPr>
                <w:sz w:val="20"/>
              </w:rPr>
              <w:t>类型</w:t>
            </w:r>
          </w:p>
        </w:tc>
        <w:tc>
          <w:tcPr>
            <w:tcW w:w="534" w:type="pct"/>
            <w:vAlign w:val="center"/>
          </w:tcPr>
          <w:p>
            <w:pPr>
              <w:adjustRightInd w:val="0"/>
              <w:snapToGrid w:val="0"/>
              <w:jc w:val="center"/>
              <w:rPr>
                <w:sz w:val="20"/>
              </w:rPr>
            </w:pPr>
            <w:r>
              <w:rPr>
                <w:sz w:val="20"/>
              </w:rPr>
              <w:t>国籍</w:t>
            </w:r>
          </w:p>
          <w:p>
            <w:pPr>
              <w:adjustRightInd w:val="0"/>
              <w:snapToGrid w:val="0"/>
              <w:jc w:val="center"/>
              <w:rPr>
                <w:sz w:val="20"/>
              </w:rPr>
            </w:pPr>
            <w:r>
              <w:rPr>
                <w:sz w:val="20"/>
              </w:rPr>
              <w:t>注册号</w:t>
            </w:r>
          </w:p>
        </w:tc>
        <w:tc>
          <w:tcPr>
            <w:tcW w:w="494" w:type="pct"/>
            <w:vAlign w:val="center"/>
          </w:tcPr>
          <w:p>
            <w:pPr>
              <w:adjustRightInd w:val="0"/>
              <w:snapToGrid w:val="0"/>
              <w:jc w:val="center"/>
              <w:rPr>
                <w:sz w:val="20"/>
              </w:rPr>
            </w:pPr>
            <w:r>
              <w:rPr>
                <w:sz w:val="20"/>
              </w:rPr>
              <w:t>生产</w:t>
            </w:r>
          </w:p>
          <w:p>
            <w:pPr>
              <w:adjustRightInd w:val="0"/>
              <w:snapToGrid w:val="0"/>
              <w:jc w:val="center"/>
              <w:rPr>
                <w:sz w:val="20"/>
              </w:rPr>
            </w:pPr>
            <w:r>
              <w:rPr>
                <w:sz w:val="20"/>
              </w:rPr>
              <w:t>序列号</w:t>
            </w:r>
          </w:p>
        </w:tc>
        <w:tc>
          <w:tcPr>
            <w:tcW w:w="460" w:type="pct"/>
            <w:vAlign w:val="center"/>
          </w:tcPr>
          <w:p>
            <w:pPr>
              <w:adjustRightInd w:val="0"/>
              <w:snapToGrid w:val="0"/>
              <w:jc w:val="center"/>
              <w:rPr>
                <w:sz w:val="20"/>
              </w:rPr>
            </w:pPr>
            <w:r>
              <w:rPr>
                <w:sz w:val="20"/>
              </w:rPr>
              <w:t>制造</w:t>
            </w:r>
          </w:p>
          <w:p>
            <w:pPr>
              <w:adjustRightInd w:val="0"/>
              <w:snapToGrid w:val="0"/>
              <w:jc w:val="center"/>
              <w:rPr>
                <w:sz w:val="20"/>
              </w:rPr>
            </w:pPr>
            <w:r>
              <w:rPr>
                <w:sz w:val="20"/>
              </w:rPr>
              <w:t>年份</w:t>
            </w:r>
          </w:p>
        </w:tc>
        <w:tc>
          <w:tcPr>
            <w:tcW w:w="996" w:type="pct"/>
            <w:vAlign w:val="center"/>
          </w:tcPr>
          <w:p>
            <w:pPr>
              <w:adjustRightInd w:val="0"/>
              <w:snapToGrid w:val="0"/>
              <w:jc w:val="center"/>
              <w:rPr>
                <w:sz w:val="20"/>
              </w:rPr>
            </w:pPr>
            <w:r>
              <w:rPr>
                <w:sz w:val="20"/>
              </w:rPr>
              <w:t>保险金额</w:t>
            </w:r>
          </w:p>
          <w:p>
            <w:pPr>
              <w:adjustRightInd w:val="0"/>
              <w:snapToGrid w:val="0"/>
              <w:jc w:val="center"/>
              <w:rPr>
                <w:sz w:val="20"/>
              </w:rPr>
            </w:pPr>
            <w:r>
              <w:rPr>
                <w:sz w:val="20"/>
              </w:rPr>
              <w:t>(协议价值)</w:t>
            </w:r>
          </w:p>
        </w:tc>
        <w:tc>
          <w:tcPr>
            <w:tcW w:w="1095" w:type="pct"/>
            <w:vAlign w:val="center"/>
          </w:tcPr>
          <w:p>
            <w:pPr>
              <w:adjustRightInd w:val="0"/>
              <w:snapToGrid w:val="0"/>
              <w:jc w:val="center"/>
              <w:rPr>
                <w:sz w:val="20"/>
              </w:rPr>
            </w:pPr>
            <w:r>
              <w:rPr>
                <w:sz w:val="20"/>
              </w:rPr>
              <w:t>投保座位数</w:t>
            </w:r>
          </w:p>
          <w:p>
            <w:pPr>
              <w:adjustRightInd w:val="0"/>
              <w:snapToGrid w:val="0"/>
              <w:jc w:val="center"/>
              <w:rPr>
                <w:sz w:val="20"/>
              </w:rPr>
            </w:pPr>
            <w:r>
              <w:rPr>
                <w:sz w:val="20"/>
              </w:rPr>
              <w:t>（含乘客及机组）</w:t>
            </w:r>
          </w:p>
        </w:tc>
        <w:tc>
          <w:tcPr>
            <w:tcW w:w="675" w:type="pct"/>
            <w:vAlign w:val="center"/>
          </w:tcPr>
          <w:p>
            <w:pPr>
              <w:adjustRightInd w:val="0"/>
              <w:snapToGrid w:val="0"/>
              <w:jc w:val="center"/>
              <w:rPr>
                <w:sz w:val="20"/>
              </w:rPr>
            </w:pPr>
            <w:r>
              <w:rPr>
                <w:sz w:val="20"/>
              </w:rPr>
              <w:t>承保</w:t>
            </w:r>
          </w:p>
          <w:p>
            <w:pPr>
              <w:adjustRightInd w:val="0"/>
              <w:snapToGrid w:val="0"/>
              <w:jc w:val="center"/>
              <w:rPr>
                <w:sz w:val="20"/>
              </w:rPr>
            </w:pPr>
            <w:r>
              <w:rPr>
                <w:sz w:val="20"/>
              </w:rPr>
              <w:t>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5" w:type="pct"/>
            <w:vAlign w:val="center"/>
          </w:tcPr>
          <w:p>
            <w:pPr>
              <w:adjustRightInd w:val="0"/>
              <w:snapToGrid w:val="0"/>
              <w:jc w:val="center"/>
              <w:rPr>
                <w:sz w:val="20"/>
              </w:rPr>
            </w:pPr>
            <w:r>
              <w:rPr>
                <w:sz w:val="20"/>
              </w:rPr>
              <w:t>1</w:t>
            </w:r>
          </w:p>
        </w:tc>
        <w:tc>
          <w:tcPr>
            <w:tcW w:w="495" w:type="pct"/>
            <w:vAlign w:val="center"/>
          </w:tcPr>
          <w:p>
            <w:pPr>
              <w:adjustRightInd w:val="0"/>
              <w:snapToGrid w:val="0"/>
              <w:jc w:val="center"/>
              <w:rPr>
                <w:sz w:val="20"/>
              </w:rPr>
            </w:pPr>
            <w:r>
              <w:rPr>
                <w:rFonts w:hint="eastAsia"/>
                <w:sz w:val="20"/>
              </w:rPr>
              <w:t>AW109</w:t>
            </w:r>
          </w:p>
        </w:tc>
        <w:tc>
          <w:tcPr>
            <w:tcW w:w="534" w:type="pct"/>
            <w:vAlign w:val="center"/>
          </w:tcPr>
          <w:p>
            <w:pPr>
              <w:adjustRightInd w:val="0"/>
              <w:snapToGrid w:val="0"/>
              <w:jc w:val="center"/>
              <w:rPr>
                <w:sz w:val="20"/>
              </w:rPr>
            </w:pPr>
          </w:p>
        </w:tc>
        <w:tc>
          <w:tcPr>
            <w:tcW w:w="494" w:type="pct"/>
            <w:vAlign w:val="center"/>
          </w:tcPr>
          <w:p>
            <w:pPr>
              <w:adjustRightInd w:val="0"/>
              <w:snapToGrid w:val="0"/>
              <w:jc w:val="center"/>
              <w:rPr>
                <w:sz w:val="20"/>
              </w:rPr>
            </w:pPr>
            <w:r>
              <w:rPr>
                <w:rFonts w:hint="eastAsia"/>
                <w:sz w:val="20"/>
              </w:rPr>
              <w:t>22747</w:t>
            </w:r>
          </w:p>
        </w:tc>
        <w:tc>
          <w:tcPr>
            <w:tcW w:w="460" w:type="pct"/>
            <w:vAlign w:val="center"/>
          </w:tcPr>
          <w:p>
            <w:pPr>
              <w:adjustRightInd w:val="0"/>
              <w:snapToGrid w:val="0"/>
              <w:jc w:val="center"/>
              <w:rPr>
                <w:sz w:val="20"/>
              </w:rPr>
            </w:pPr>
            <w:r>
              <w:rPr>
                <w:rFonts w:hint="eastAsia"/>
                <w:sz w:val="20"/>
              </w:rPr>
              <w:t>2024</w:t>
            </w:r>
          </w:p>
        </w:tc>
        <w:tc>
          <w:tcPr>
            <w:tcW w:w="996" w:type="pct"/>
            <w:vAlign w:val="center"/>
          </w:tcPr>
          <w:p>
            <w:pPr>
              <w:adjustRightInd w:val="0"/>
              <w:snapToGrid w:val="0"/>
              <w:jc w:val="center"/>
              <w:rPr>
                <w:sz w:val="20"/>
              </w:rPr>
            </w:pPr>
            <w:r>
              <w:rPr>
                <w:rFonts w:hint="eastAsia"/>
                <w:sz w:val="20"/>
              </w:rPr>
              <w:t>5500万元</w:t>
            </w:r>
          </w:p>
          <w:p>
            <w:pPr>
              <w:adjustRightInd w:val="0"/>
              <w:snapToGrid w:val="0"/>
              <w:jc w:val="center"/>
              <w:rPr>
                <w:sz w:val="20"/>
              </w:rPr>
            </w:pPr>
            <w:r>
              <w:rPr>
                <w:rFonts w:hint="eastAsia"/>
                <w:sz w:val="20"/>
              </w:rPr>
              <w:t>（含机载设备）</w:t>
            </w:r>
          </w:p>
        </w:tc>
        <w:tc>
          <w:tcPr>
            <w:tcW w:w="1095" w:type="pct"/>
            <w:vAlign w:val="center"/>
          </w:tcPr>
          <w:p>
            <w:pPr>
              <w:adjustRightInd w:val="0"/>
              <w:snapToGrid w:val="0"/>
              <w:jc w:val="center"/>
              <w:rPr>
                <w:sz w:val="20"/>
              </w:rPr>
            </w:pPr>
            <w:r>
              <w:rPr>
                <w:rFonts w:hint="eastAsia"/>
                <w:sz w:val="20"/>
              </w:rPr>
              <w:t>8（乘客6+机组2）</w:t>
            </w:r>
          </w:p>
        </w:tc>
        <w:tc>
          <w:tcPr>
            <w:tcW w:w="675" w:type="pct"/>
            <w:vAlign w:val="center"/>
          </w:tcPr>
          <w:p>
            <w:pPr>
              <w:adjustRightInd w:val="0"/>
              <w:snapToGrid w:val="0"/>
              <w:spacing w:before="156" w:beforeLines="50"/>
              <w:jc w:val="center"/>
              <w:rPr>
                <w:sz w:val="20"/>
              </w:rPr>
            </w:pPr>
            <w:r>
              <w:rPr>
                <w:rFonts w:eastAsia="宋体"/>
                <w:b/>
                <w:sz w:val="30"/>
                <w:szCs w:val="30"/>
              </w:rPr>
              <w:drawing>
                <wp:inline distT="0" distB="0" distL="0" distR="0">
                  <wp:extent cx="228600" cy="177800"/>
                  <wp:effectExtent l="0" t="0" r="8890" b="571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28600" cy="177800"/>
                          </a:xfrm>
                          <a:prstGeom prst="rect">
                            <a:avLst/>
                          </a:prstGeom>
                          <a:noFill/>
                          <a:ln>
                            <a:noFill/>
                          </a:ln>
                        </pic:spPr>
                      </pic:pic>
                    </a:graphicData>
                  </a:graphic>
                </wp:inline>
              </w:drawing>
            </w:r>
            <w:r>
              <w:rPr>
                <w:sz w:val="20"/>
              </w:rPr>
              <w:t>飞行</w:t>
            </w:r>
          </w:p>
          <w:p>
            <w:pPr>
              <w:adjustRightInd w:val="0"/>
              <w:snapToGrid w:val="0"/>
              <w:jc w:val="center"/>
              <w:rPr>
                <w:sz w:val="20"/>
              </w:rPr>
            </w:pPr>
            <w:r>
              <w:rPr>
                <w:rFonts w:eastAsia="宋体"/>
                <w:b/>
                <w:sz w:val="30"/>
                <w:szCs w:val="30"/>
              </w:rPr>
              <w:drawing>
                <wp:inline distT="0" distB="0" distL="0" distR="0">
                  <wp:extent cx="228600" cy="177800"/>
                  <wp:effectExtent l="0" t="0" r="8890" b="571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28600" cy="177800"/>
                          </a:xfrm>
                          <a:prstGeom prst="rect">
                            <a:avLst/>
                          </a:prstGeom>
                          <a:noFill/>
                          <a:ln>
                            <a:noFill/>
                          </a:ln>
                        </pic:spPr>
                      </pic:pic>
                    </a:graphicData>
                  </a:graphic>
                </wp:inline>
              </w:drawing>
            </w:r>
            <w:r>
              <w:rPr>
                <w:sz w:val="20"/>
              </w:rPr>
              <w:t>滑行</w:t>
            </w:r>
          </w:p>
          <w:p>
            <w:pPr>
              <w:adjustRightInd w:val="0"/>
              <w:snapToGrid w:val="0"/>
              <w:jc w:val="center"/>
              <w:rPr>
                <w:sz w:val="20"/>
              </w:rPr>
            </w:pPr>
            <w:r>
              <w:rPr>
                <w:rFonts w:eastAsia="宋体"/>
                <w:b/>
                <w:sz w:val="30"/>
                <w:szCs w:val="30"/>
              </w:rPr>
              <w:drawing>
                <wp:inline distT="0" distB="0" distL="0" distR="0">
                  <wp:extent cx="228600" cy="177800"/>
                  <wp:effectExtent l="0" t="0" r="8890" b="571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28600" cy="177800"/>
                          </a:xfrm>
                          <a:prstGeom prst="rect">
                            <a:avLst/>
                          </a:prstGeom>
                          <a:noFill/>
                          <a:ln>
                            <a:noFill/>
                          </a:ln>
                        </pic:spPr>
                      </pic:pic>
                    </a:graphicData>
                  </a:graphic>
                </wp:inline>
              </w:drawing>
            </w:r>
            <w:r>
              <w:rPr>
                <w:sz w:val="20"/>
              </w:rPr>
              <w:t>地面</w:t>
            </w:r>
          </w:p>
        </w:tc>
      </w:tr>
    </w:tbl>
    <w:p>
      <w:pPr>
        <w:spacing w:line="0" w:lineRule="atLeast"/>
        <w:rPr>
          <w:rFonts w:ascii="仿宋" w:hAnsi="仿宋" w:eastAsia="仿宋"/>
          <w:sz w:val="28"/>
        </w:rPr>
      </w:pPr>
      <w:r>
        <w:rPr>
          <w:rFonts w:hint="eastAsia" w:ascii="仿宋" w:hAnsi="仿宋" w:eastAsia="仿宋"/>
          <w:sz w:val="28"/>
        </w:rPr>
        <w:t>具体信息以实际投保时为准。</w:t>
      </w:r>
    </w:p>
    <w:p>
      <w:pPr>
        <w:spacing w:line="0" w:lineRule="atLeast"/>
        <w:rPr>
          <w:rFonts w:ascii="仿宋" w:hAnsi="仿宋" w:eastAsia="仿宋"/>
          <w:sz w:val="28"/>
        </w:rPr>
      </w:pPr>
    </w:p>
    <w:p>
      <w:pPr>
        <w:spacing w:line="360" w:lineRule="auto"/>
        <w:rPr>
          <w:rFonts w:ascii="仿宋" w:hAnsi="仿宋" w:eastAsia="仿宋"/>
          <w:b/>
          <w:bCs/>
          <w:sz w:val="28"/>
        </w:rPr>
      </w:pPr>
      <w:r>
        <w:rPr>
          <w:rFonts w:ascii="仿宋" w:hAnsi="仿宋" w:eastAsia="仿宋"/>
          <w:b/>
          <w:bCs/>
          <w:sz w:val="28"/>
        </w:rPr>
        <w:t>第4项：航空器用途</w:t>
      </w:r>
    </w:p>
    <w:p>
      <w:pPr>
        <w:spacing w:line="360" w:lineRule="auto"/>
        <w:rPr>
          <w:rFonts w:ascii="仿宋" w:hAnsi="仿宋" w:eastAsia="仿宋"/>
          <w:sz w:val="28"/>
        </w:rPr>
      </w:pPr>
      <w:r>
        <w:rPr>
          <w:rFonts w:ascii="仿宋" w:hAnsi="仿宋" w:eastAsia="仿宋"/>
          <w:sz w:val="28"/>
        </w:rPr>
        <w:t>1.被保险人正常运营涉及的本场训练、调机；</w:t>
      </w:r>
    </w:p>
    <w:p>
      <w:pPr>
        <w:spacing w:line="360" w:lineRule="auto"/>
        <w:rPr>
          <w:rFonts w:ascii="仿宋" w:hAnsi="仿宋" w:eastAsia="仿宋"/>
          <w:sz w:val="28"/>
        </w:rPr>
      </w:pPr>
      <w:r>
        <w:rPr>
          <w:rFonts w:ascii="仿宋" w:hAnsi="仿宋" w:eastAsia="仿宋"/>
          <w:sz w:val="28"/>
        </w:rPr>
        <w:t>2.静态展示；</w:t>
      </w:r>
    </w:p>
    <w:p>
      <w:pPr>
        <w:spacing w:line="360" w:lineRule="auto"/>
        <w:rPr>
          <w:rFonts w:ascii="仿宋" w:hAnsi="仿宋" w:eastAsia="仿宋"/>
          <w:sz w:val="28"/>
        </w:rPr>
      </w:pPr>
      <w:r>
        <w:rPr>
          <w:rFonts w:ascii="仿宋" w:hAnsi="仿宋" w:eastAsia="仿宋"/>
          <w:sz w:val="28"/>
        </w:rPr>
        <w:t>3.营业执照</w:t>
      </w:r>
      <w:r>
        <w:rPr>
          <w:rFonts w:hint="eastAsia" w:ascii="仿宋" w:hAnsi="仿宋" w:eastAsia="仿宋"/>
          <w:sz w:val="28"/>
        </w:rPr>
        <w:t>和经营许可证</w:t>
      </w:r>
      <w:r>
        <w:rPr>
          <w:rFonts w:ascii="仿宋" w:hAnsi="仿宋" w:eastAsia="仿宋"/>
          <w:sz w:val="28"/>
        </w:rPr>
        <w:t>涉及的飞行</w:t>
      </w:r>
      <w:r>
        <w:rPr>
          <w:rFonts w:hint="eastAsia" w:ascii="仿宋" w:hAnsi="仿宋" w:eastAsia="仿宋"/>
          <w:sz w:val="28"/>
        </w:rPr>
        <w:t>；</w:t>
      </w:r>
    </w:p>
    <w:p>
      <w:pPr>
        <w:spacing w:line="360" w:lineRule="auto"/>
        <w:rPr>
          <w:rFonts w:ascii="仿宋" w:hAnsi="仿宋" w:eastAsia="仿宋"/>
          <w:sz w:val="28"/>
        </w:rPr>
      </w:pPr>
      <w:r>
        <w:rPr>
          <w:rFonts w:hint="eastAsia" w:ascii="仿宋" w:hAnsi="仿宋" w:eastAsia="仿宋"/>
          <w:sz w:val="28"/>
        </w:rPr>
        <w:t>4</w:t>
      </w:r>
      <w:r>
        <w:rPr>
          <w:rFonts w:ascii="仿宋" w:hAnsi="仿宋" w:eastAsia="仿宋"/>
          <w:sz w:val="28"/>
        </w:rPr>
        <w:t>.</w:t>
      </w:r>
      <w:r>
        <w:rPr>
          <w:rFonts w:hint="eastAsia" w:ascii="仿宋" w:hAnsi="仿宋" w:eastAsia="仿宋"/>
          <w:sz w:val="28"/>
        </w:rPr>
        <w:t>国家有关部门紧急调派进行的应急救援飞行。</w:t>
      </w:r>
    </w:p>
    <w:p>
      <w:pPr>
        <w:spacing w:line="360" w:lineRule="auto"/>
        <w:rPr>
          <w:rFonts w:ascii="仿宋" w:hAnsi="仿宋" w:eastAsia="仿宋"/>
          <w:sz w:val="28"/>
        </w:rPr>
      </w:pPr>
    </w:p>
    <w:p>
      <w:pPr>
        <w:spacing w:line="360" w:lineRule="auto"/>
        <w:rPr>
          <w:rFonts w:ascii="仿宋" w:hAnsi="仿宋" w:eastAsia="仿宋"/>
          <w:b/>
          <w:bCs/>
          <w:sz w:val="28"/>
        </w:rPr>
      </w:pPr>
      <w:r>
        <w:rPr>
          <w:rFonts w:ascii="仿宋" w:hAnsi="仿宋" w:eastAsia="仿宋"/>
          <w:b/>
          <w:bCs/>
          <w:sz w:val="28"/>
        </w:rPr>
        <w:t>第5项：</w:t>
      </w:r>
      <w:r>
        <w:rPr>
          <w:rFonts w:hint="eastAsia" w:ascii="仿宋" w:hAnsi="仿宋" w:eastAsia="仿宋"/>
          <w:b/>
          <w:bCs/>
          <w:sz w:val="28"/>
        </w:rPr>
        <w:t>飞行</w:t>
      </w:r>
      <w:r>
        <w:rPr>
          <w:rFonts w:ascii="仿宋" w:hAnsi="仿宋" w:eastAsia="仿宋"/>
          <w:b/>
          <w:bCs/>
          <w:sz w:val="28"/>
        </w:rPr>
        <w:t>地理范围</w:t>
      </w:r>
    </w:p>
    <w:p>
      <w:pPr>
        <w:spacing w:line="360" w:lineRule="auto"/>
        <w:rPr>
          <w:rFonts w:ascii="仿宋" w:hAnsi="仿宋" w:eastAsia="仿宋"/>
          <w:sz w:val="28"/>
        </w:rPr>
      </w:pPr>
      <w:r>
        <w:rPr>
          <w:rFonts w:hint="eastAsia" w:ascii="仿宋" w:hAnsi="仿宋" w:eastAsia="仿宋"/>
          <w:sz w:val="28"/>
        </w:rPr>
        <w:t>中国境内（不含香港、澳门、台湾）。</w:t>
      </w:r>
    </w:p>
    <w:p>
      <w:pPr>
        <w:pStyle w:val="19"/>
        <w:spacing w:line="0" w:lineRule="atLeast"/>
        <w:ind w:left="99" w:leftChars="47"/>
        <w:rPr>
          <w:rFonts w:ascii="仿宋" w:hAnsi="仿宋" w:eastAsia="仿宋"/>
        </w:rPr>
      </w:pPr>
    </w:p>
    <w:p>
      <w:pPr>
        <w:spacing w:line="360" w:lineRule="auto"/>
        <w:rPr>
          <w:rFonts w:ascii="仿宋" w:hAnsi="仿宋" w:eastAsia="仿宋"/>
          <w:b/>
          <w:bCs/>
          <w:sz w:val="28"/>
        </w:rPr>
      </w:pPr>
      <w:r>
        <w:rPr>
          <w:rFonts w:ascii="仿宋" w:hAnsi="仿宋" w:eastAsia="仿宋"/>
          <w:b/>
          <w:bCs/>
          <w:sz w:val="28"/>
        </w:rPr>
        <w:t>第6项：飞行员</w:t>
      </w:r>
    </w:p>
    <w:p>
      <w:pPr>
        <w:spacing w:line="0" w:lineRule="atLeast"/>
        <w:rPr>
          <w:rFonts w:ascii="仿宋" w:hAnsi="仿宋" w:eastAsia="仿宋"/>
          <w:sz w:val="28"/>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3"/>
        <w:gridCol w:w="2338"/>
        <w:gridCol w:w="2019"/>
        <w:gridCol w:w="1381"/>
        <w:gridCol w:w="1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06" w:type="pct"/>
            <w:vAlign w:val="center"/>
          </w:tcPr>
          <w:p>
            <w:pPr>
              <w:spacing w:line="360" w:lineRule="exact"/>
              <w:jc w:val="center"/>
              <w:rPr>
                <w:rFonts w:ascii="仿宋" w:hAnsi="仿宋" w:eastAsia="仿宋"/>
              </w:rPr>
            </w:pPr>
            <w:r>
              <w:rPr>
                <w:rFonts w:hint="eastAsia" w:ascii="仿宋" w:hAnsi="仿宋" w:eastAsia="仿宋"/>
              </w:rPr>
              <w:t>姓名</w:t>
            </w:r>
          </w:p>
        </w:tc>
        <w:tc>
          <w:tcPr>
            <w:tcW w:w="1371" w:type="pct"/>
            <w:vAlign w:val="center"/>
          </w:tcPr>
          <w:p>
            <w:pPr>
              <w:spacing w:line="360" w:lineRule="exact"/>
              <w:jc w:val="center"/>
              <w:rPr>
                <w:rFonts w:ascii="仿宋" w:hAnsi="仿宋" w:eastAsia="仿宋"/>
              </w:rPr>
            </w:pPr>
            <w:r>
              <w:rPr>
                <w:rFonts w:hint="eastAsia" w:ascii="仿宋" w:hAnsi="仿宋" w:eastAsia="仿宋"/>
              </w:rPr>
              <w:t>飞行驾驶</w:t>
            </w:r>
          </w:p>
          <w:p>
            <w:pPr>
              <w:spacing w:line="360" w:lineRule="exact"/>
              <w:jc w:val="center"/>
              <w:rPr>
                <w:rFonts w:ascii="仿宋" w:hAnsi="仿宋" w:eastAsia="仿宋"/>
              </w:rPr>
            </w:pPr>
            <w:r>
              <w:rPr>
                <w:rFonts w:hint="eastAsia" w:ascii="仿宋" w:hAnsi="仿宋" w:eastAsia="仿宋"/>
              </w:rPr>
              <w:t>执照号码</w:t>
            </w:r>
          </w:p>
        </w:tc>
        <w:tc>
          <w:tcPr>
            <w:tcW w:w="1184" w:type="pct"/>
            <w:vAlign w:val="center"/>
          </w:tcPr>
          <w:p>
            <w:pPr>
              <w:spacing w:line="360" w:lineRule="exact"/>
              <w:jc w:val="center"/>
              <w:rPr>
                <w:rFonts w:ascii="仿宋" w:hAnsi="仿宋" w:eastAsia="仿宋"/>
              </w:rPr>
            </w:pPr>
            <w:r>
              <w:rPr>
                <w:rFonts w:hint="eastAsia" w:ascii="仿宋" w:hAnsi="仿宋" w:eastAsia="仿宋"/>
              </w:rPr>
              <w:t>已飞机型</w:t>
            </w:r>
          </w:p>
        </w:tc>
        <w:tc>
          <w:tcPr>
            <w:tcW w:w="810" w:type="pct"/>
            <w:vAlign w:val="center"/>
          </w:tcPr>
          <w:p>
            <w:pPr>
              <w:spacing w:line="360" w:lineRule="exact"/>
              <w:jc w:val="center"/>
              <w:rPr>
                <w:rFonts w:ascii="仿宋" w:hAnsi="仿宋" w:eastAsia="仿宋"/>
              </w:rPr>
            </w:pPr>
            <w:r>
              <w:rPr>
                <w:rFonts w:hint="eastAsia" w:ascii="仿宋" w:hAnsi="仿宋" w:eastAsia="仿宋"/>
              </w:rPr>
              <w:t>技术等级</w:t>
            </w:r>
          </w:p>
        </w:tc>
        <w:tc>
          <w:tcPr>
            <w:tcW w:w="1027" w:type="pct"/>
            <w:vAlign w:val="center"/>
          </w:tcPr>
          <w:p>
            <w:pPr>
              <w:spacing w:line="360" w:lineRule="exact"/>
              <w:jc w:val="center"/>
              <w:rPr>
                <w:rFonts w:ascii="仿宋" w:hAnsi="仿宋" w:eastAsia="仿宋"/>
              </w:rPr>
            </w:pPr>
            <w:r>
              <w:rPr>
                <w:rFonts w:hint="eastAsia" w:ascii="仿宋" w:hAnsi="仿宋" w:eastAsia="仿宋"/>
              </w:rPr>
              <w:t>总行飞行时间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pct"/>
            <w:vAlign w:val="center"/>
          </w:tcPr>
          <w:p>
            <w:pPr>
              <w:spacing w:line="360" w:lineRule="exact"/>
              <w:jc w:val="center"/>
              <w:rPr>
                <w:rFonts w:ascii="仿宋" w:hAnsi="仿宋" w:eastAsia="仿宋"/>
              </w:rPr>
            </w:pPr>
            <w:r>
              <w:rPr>
                <w:rFonts w:hint="eastAsia" w:ascii="仿宋" w:hAnsi="仿宋" w:eastAsia="仿宋"/>
              </w:rPr>
              <w:t>周华雨</w:t>
            </w:r>
          </w:p>
        </w:tc>
        <w:tc>
          <w:tcPr>
            <w:tcW w:w="1371" w:type="pct"/>
            <w:vAlign w:val="center"/>
          </w:tcPr>
          <w:p>
            <w:pPr>
              <w:spacing w:line="360" w:lineRule="exact"/>
              <w:jc w:val="center"/>
              <w:rPr>
                <w:rFonts w:ascii="仿宋" w:hAnsi="仿宋" w:eastAsia="仿宋"/>
              </w:rPr>
            </w:pPr>
            <w:r>
              <w:rPr>
                <w:rFonts w:hint="eastAsia" w:ascii="仿宋" w:hAnsi="仿宋" w:eastAsia="仿宋"/>
              </w:rPr>
              <w:t>3701021980</w:t>
            </w:r>
            <w:bookmarkStart w:id="36" w:name="OLE_LINK3"/>
            <w:r>
              <w:rPr>
                <w:rFonts w:hint="eastAsia" w:ascii="仿宋" w:hAnsi="仿宋" w:eastAsia="仿宋"/>
                <w:lang w:val="en-US" w:eastAsia="zh-CN"/>
              </w:rPr>
              <w:t>****</w:t>
            </w:r>
            <w:bookmarkEnd w:id="36"/>
            <w:r>
              <w:rPr>
                <w:rFonts w:hint="eastAsia" w:ascii="仿宋" w:hAnsi="仿宋" w:eastAsia="仿宋"/>
              </w:rPr>
              <w:t>2534</w:t>
            </w:r>
          </w:p>
        </w:tc>
        <w:tc>
          <w:tcPr>
            <w:tcW w:w="1184" w:type="pct"/>
            <w:vAlign w:val="center"/>
          </w:tcPr>
          <w:p>
            <w:pPr>
              <w:spacing w:line="360" w:lineRule="exact"/>
              <w:jc w:val="center"/>
              <w:rPr>
                <w:rFonts w:ascii="仿宋" w:hAnsi="仿宋" w:eastAsia="仿宋"/>
              </w:rPr>
            </w:pPr>
            <w:r>
              <w:rPr>
                <w:rFonts w:hint="eastAsia" w:ascii="仿宋" w:hAnsi="仿宋" w:eastAsia="仿宋"/>
              </w:rPr>
              <w:t>AW139、HU-269等</w:t>
            </w:r>
          </w:p>
        </w:tc>
        <w:tc>
          <w:tcPr>
            <w:tcW w:w="810" w:type="pct"/>
            <w:vAlign w:val="center"/>
          </w:tcPr>
          <w:p>
            <w:pPr>
              <w:spacing w:line="360" w:lineRule="exact"/>
              <w:jc w:val="center"/>
              <w:rPr>
                <w:rFonts w:ascii="仿宋" w:hAnsi="仿宋" w:eastAsia="仿宋"/>
              </w:rPr>
            </w:pPr>
            <w:r>
              <w:rPr>
                <w:rFonts w:hint="eastAsia" w:ascii="仿宋" w:hAnsi="仿宋" w:eastAsia="仿宋"/>
              </w:rPr>
              <w:t>直升机商照</w:t>
            </w:r>
          </w:p>
        </w:tc>
        <w:tc>
          <w:tcPr>
            <w:tcW w:w="1027" w:type="pct"/>
            <w:vAlign w:val="center"/>
          </w:tcPr>
          <w:p>
            <w:pPr>
              <w:spacing w:line="360" w:lineRule="exact"/>
              <w:jc w:val="center"/>
              <w:rPr>
                <w:rFonts w:ascii="仿宋" w:hAnsi="仿宋" w:eastAsia="仿宋"/>
              </w:rPr>
            </w:pPr>
            <w:r>
              <w:rPr>
                <w:rFonts w:hint="eastAsia" w:ascii="仿宋" w:hAnsi="仿宋" w:eastAsia="仿宋"/>
              </w:rPr>
              <w:t>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606" w:type="pct"/>
            <w:vAlign w:val="center"/>
          </w:tcPr>
          <w:p>
            <w:pPr>
              <w:spacing w:line="360" w:lineRule="exact"/>
              <w:jc w:val="center"/>
              <w:rPr>
                <w:rFonts w:ascii="仿宋" w:hAnsi="仿宋" w:eastAsia="仿宋"/>
              </w:rPr>
            </w:pPr>
            <w:r>
              <w:rPr>
                <w:rFonts w:hint="eastAsia" w:ascii="仿宋" w:hAnsi="仿宋" w:eastAsia="仿宋"/>
              </w:rPr>
              <w:t>雷体华</w:t>
            </w:r>
          </w:p>
        </w:tc>
        <w:tc>
          <w:tcPr>
            <w:tcW w:w="1371" w:type="pct"/>
            <w:vAlign w:val="center"/>
          </w:tcPr>
          <w:p>
            <w:pPr>
              <w:spacing w:line="360" w:lineRule="exact"/>
              <w:jc w:val="center"/>
              <w:rPr>
                <w:rFonts w:ascii="仿宋" w:hAnsi="仿宋" w:eastAsia="仿宋"/>
              </w:rPr>
            </w:pPr>
            <w:r>
              <w:rPr>
                <w:rFonts w:hint="eastAsia" w:ascii="仿宋" w:hAnsi="仿宋" w:eastAsia="仿宋"/>
              </w:rPr>
              <w:t>4307021979</w:t>
            </w:r>
            <w:r>
              <w:rPr>
                <w:rFonts w:hint="eastAsia" w:ascii="仿宋" w:hAnsi="仿宋" w:eastAsia="仿宋"/>
                <w:lang w:val="en-US" w:eastAsia="zh-CN"/>
              </w:rPr>
              <w:t>****</w:t>
            </w:r>
            <w:r>
              <w:rPr>
                <w:rFonts w:hint="eastAsia" w:ascii="仿宋" w:hAnsi="仿宋" w:eastAsia="仿宋"/>
              </w:rPr>
              <w:t>003X</w:t>
            </w:r>
          </w:p>
        </w:tc>
        <w:tc>
          <w:tcPr>
            <w:tcW w:w="1184" w:type="pct"/>
            <w:vAlign w:val="center"/>
          </w:tcPr>
          <w:p>
            <w:pPr>
              <w:spacing w:line="360" w:lineRule="exact"/>
              <w:jc w:val="center"/>
              <w:rPr>
                <w:rFonts w:ascii="仿宋" w:hAnsi="仿宋" w:eastAsia="仿宋"/>
              </w:rPr>
            </w:pPr>
            <w:r>
              <w:rPr>
                <w:rFonts w:hint="eastAsia" w:ascii="仿宋" w:hAnsi="仿宋" w:eastAsia="仿宋"/>
              </w:rPr>
              <w:t>AW139、AW119、HU-269等</w:t>
            </w:r>
          </w:p>
        </w:tc>
        <w:tc>
          <w:tcPr>
            <w:tcW w:w="810" w:type="pct"/>
            <w:vAlign w:val="center"/>
          </w:tcPr>
          <w:p>
            <w:pPr>
              <w:spacing w:line="360" w:lineRule="exact"/>
              <w:jc w:val="center"/>
              <w:rPr>
                <w:rFonts w:ascii="仿宋" w:hAnsi="仿宋" w:eastAsia="仿宋"/>
              </w:rPr>
            </w:pPr>
            <w:r>
              <w:rPr>
                <w:rFonts w:hint="eastAsia" w:ascii="仿宋" w:hAnsi="仿宋" w:eastAsia="仿宋"/>
              </w:rPr>
              <w:t>直升机商照</w:t>
            </w:r>
          </w:p>
        </w:tc>
        <w:tc>
          <w:tcPr>
            <w:tcW w:w="1027" w:type="pct"/>
            <w:vAlign w:val="center"/>
          </w:tcPr>
          <w:p>
            <w:pPr>
              <w:spacing w:line="360" w:lineRule="exact"/>
              <w:jc w:val="center"/>
              <w:rPr>
                <w:rFonts w:ascii="仿宋" w:hAnsi="仿宋" w:eastAsia="仿宋"/>
              </w:rPr>
            </w:pPr>
            <w:r>
              <w:rPr>
                <w:rFonts w:hint="eastAsia" w:ascii="仿宋" w:hAnsi="仿宋" w:eastAsia="仿宋"/>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pct"/>
            <w:vAlign w:val="center"/>
          </w:tcPr>
          <w:p>
            <w:pPr>
              <w:spacing w:line="360" w:lineRule="exact"/>
              <w:jc w:val="center"/>
              <w:rPr>
                <w:rFonts w:ascii="仿宋" w:hAnsi="仿宋" w:eastAsia="仿宋"/>
              </w:rPr>
            </w:pPr>
            <w:r>
              <w:rPr>
                <w:rFonts w:hint="eastAsia" w:ascii="仿宋" w:hAnsi="仿宋" w:eastAsia="仿宋"/>
              </w:rPr>
              <w:t>徐  斌</w:t>
            </w:r>
          </w:p>
        </w:tc>
        <w:tc>
          <w:tcPr>
            <w:tcW w:w="1371" w:type="pct"/>
            <w:vAlign w:val="center"/>
          </w:tcPr>
          <w:p>
            <w:pPr>
              <w:spacing w:line="360" w:lineRule="exact"/>
              <w:jc w:val="center"/>
              <w:rPr>
                <w:rFonts w:ascii="仿宋" w:hAnsi="仿宋" w:eastAsia="仿宋"/>
              </w:rPr>
            </w:pPr>
            <w:r>
              <w:rPr>
                <w:rFonts w:hint="eastAsia" w:ascii="仿宋" w:hAnsi="仿宋" w:eastAsia="仿宋"/>
              </w:rPr>
              <w:t>3714251983</w:t>
            </w:r>
            <w:r>
              <w:rPr>
                <w:rFonts w:hint="eastAsia" w:ascii="仿宋" w:hAnsi="仿宋" w:eastAsia="仿宋"/>
                <w:lang w:val="en-US" w:eastAsia="zh-CN"/>
              </w:rPr>
              <w:t>****</w:t>
            </w:r>
            <w:r>
              <w:rPr>
                <w:rFonts w:hint="eastAsia" w:ascii="仿宋" w:hAnsi="仿宋" w:eastAsia="仿宋"/>
              </w:rPr>
              <w:t>0014</w:t>
            </w:r>
          </w:p>
        </w:tc>
        <w:tc>
          <w:tcPr>
            <w:tcW w:w="1184" w:type="pct"/>
            <w:vAlign w:val="center"/>
          </w:tcPr>
          <w:p>
            <w:pPr>
              <w:spacing w:line="360" w:lineRule="exact"/>
              <w:jc w:val="center"/>
              <w:rPr>
                <w:rFonts w:ascii="仿宋" w:hAnsi="仿宋" w:eastAsia="仿宋"/>
              </w:rPr>
            </w:pPr>
            <w:r>
              <w:rPr>
                <w:rFonts w:hint="eastAsia" w:ascii="仿宋" w:hAnsi="仿宋" w:eastAsia="仿宋"/>
              </w:rPr>
              <w:t>AW109等</w:t>
            </w:r>
          </w:p>
        </w:tc>
        <w:tc>
          <w:tcPr>
            <w:tcW w:w="810" w:type="pct"/>
            <w:vAlign w:val="center"/>
          </w:tcPr>
          <w:p>
            <w:pPr>
              <w:spacing w:line="360" w:lineRule="exact"/>
              <w:jc w:val="center"/>
              <w:rPr>
                <w:rFonts w:ascii="仿宋" w:hAnsi="仿宋" w:eastAsia="仿宋"/>
              </w:rPr>
            </w:pPr>
            <w:r>
              <w:rPr>
                <w:rFonts w:hint="eastAsia" w:ascii="仿宋" w:hAnsi="仿宋" w:eastAsia="仿宋"/>
              </w:rPr>
              <w:t>直升机商照</w:t>
            </w:r>
          </w:p>
        </w:tc>
        <w:tc>
          <w:tcPr>
            <w:tcW w:w="1027" w:type="pct"/>
            <w:vAlign w:val="center"/>
          </w:tcPr>
          <w:p>
            <w:pPr>
              <w:spacing w:line="360" w:lineRule="exact"/>
              <w:jc w:val="center"/>
              <w:rPr>
                <w:rFonts w:ascii="仿宋" w:hAnsi="仿宋" w:eastAsia="仿宋"/>
              </w:rPr>
            </w:pPr>
            <w:r>
              <w:rPr>
                <w:rFonts w:hint="eastAsia" w:ascii="仿宋" w:hAnsi="仿宋" w:eastAsia="仿宋"/>
              </w:rPr>
              <w:t>758</w:t>
            </w:r>
          </w:p>
        </w:tc>
      </w:tr>
    </w:tbl>
    <w:p>
      <w:pPr>
        <w:spacing w:before="240" w:line="360" w:lineRule="auto"/>
        <w:ind w:firstLine="560" w:firstLineChars="200"/>
        <w:rPr>
          <w:rFonts w:ascii="仿宋" w:hAnsi="仿宋" w:eastAsia="仿宋"/>
          <w:sz w:val="28"/>
        </w:rPr>
      </w:pPr>
      <w:r>
        <w:rPr>
          <w:rFonts w:hint="eastAsia" w:ascii="仿宋" w:hAnsi="仿宋" w:eastAsia="仿宋"/>
          <w:sz w:val="28"/>
        </w:rPr>
        <w:t>其他经被保险人授权同意并持有合法有效的飞行驾驶执照的飞行员可以驾驶本保单项下的航空器；以及为了取得飞行驾驶执照而在飞行科目转换或结业前所必须进行单飞的飞行学员可以驾驶本保单的航空器，不须事先通知保险人并征得同意。</w:t>
      </w:r>
    </w:p>
    <w:p>
      <w:pPr>
        <w:spacing w:line="0" w:lineRule="atLeast"/>
        <w:rPr>
          <w:rFonts w:ascii="仿宋" w:hAnsi="仿宋" w:eastAsia="仿宋"/>
          <w:sz w:val="28"/>
        </w:rPr>
      </w:pPr>
    </w:p>
    <w:p>
      <w:pPr>
        <w:spacing w:line="360" w:lineRule="auto"/>
        <w:rPr>
          <w:rFonts w:ascii="仿宋" w:hAnsi="仿宋" w:eastAsia="仿宋"/>
          <w:b/>
          <w:bCs/>
          <w:sz w:val="28"/>
        </w:rPr>
      </w:pPr>
      <w:r>
        <w:rPr>
          <w:rFonts w:ascii="仿宋" w:hAnsi="仿宋" w:eastAsia="仿宋"/>
          <w:b/>
          <w:bCs/>
          <w:sz w:val="28"/>
        </w:rPr>
        <w:t>第7项：</w:t>
      </w:r>
      <w:r>
        <w:rPr>
          <w:rFonts w:hint="eastAsia" w:ascii="仿宋" w:hAnsi="仿宋" w:eastAsia="仿宋"/>
          <w:b/>
          <w:bCs/>
          <w:sz w:val="28"/>
        </w:rPr>
        <w:t>保险金额/</w:t>
      </w:r>
      <w:r>
        <w:rPr>
          <w:rFonts w:ascii="仿宋" w:hAnsi="仿宋" w:eastAsia="仿宋"/>
          <w:b/>
          <w:bCs/>
          <w:sz w:val="28"/>
        </w:rPr>
        <w:t>限额</w:t>
      </w:r>
    </w:p>
    <w:p>
      <w:pPr>
        <w:spacing w:line="360" w:lineRule="auto"/>
        <w:ind w:left="1400" w:hanging="1400" w:hangingChars="500"/>
        <w:rPr>
          <w:rFonts w:ascii="仿宋" w:hAnsi="仿宋" w:eastAsia="仿宋"/>
          <w:sz w:val="28"/>
        </w:rPr>
      </w:pPr>
      <w:r>
        <w:rPr>
          <w:rFonts w:hint="eastAsia" w:ascii="仿宋" w:hAnsi="仿宋" w:eastAsia="仿宋"/>
          <w:sz w:val="28"/>
        </w:rPr>
        <w:t>机身一切险：</w:t>
      </w:r>
    </w:p>
    <w:p>
      <w:pPr>
        <w:spacing w:line="360" w:lineRule="auto"/>
        <w:ind w:left="1400" w:hanging="1400" w:hangingChars="500"/>
        <w:rPr>
          <w:rFonts w:ascii="仿宋" w:hAnsi="仿宋" w:eastAsia="仿宋"/>
          <w:sz w:val="28"/>
        </w:rPr>
      </w:pPr>
      <w:r>
        <w:rPr>
          <w:rFonts w:ascii="仿宋" w:hAnsi="仿宋" w:eastAsia="仿宋"/>
          <w:sz w:val="28"/>
        </w:rPr>
        <w:t>按照拟投保航空器一览表中所列明的机身</w:t>
      </w:r>
      <w:r>
        <w:rPr>
          <w:rFonts w:hint="eastAsia" w:ascii="仿宋" w:hAnsi="仿宋" w:eastAsia="仿宋"/>
          <w:sz w:val="28"/>
        </w:rPr>
        <w:t>保险金额</w:t>
      </w:r>
      <w:r>
        <w:rPr>
          <w:rFonts w:ascii="仿宋" w:hAnsi="仿宋" w:eastAsia="仿宋"/>
          <w:sz w:val="28"/>
        </w:rPr>
        <w:t>；</w:t>
      </w:r>
    </w:p>
    <w:p>
      <w:pPr>
        <w:spacing w:line="360" w:lineRule="auto"/>
        <w:ind w:left="1400" w:hanging="1400" w:hangingChars="500"/>
        <w:rPr>
          <w:rFonts w:ascii="仿宋" w:hAnsi="仿宋" w:eastAsia="仿宋"/>
          <w:sz w:val="28"/>
        </w:rPr>
      </w:pPr>
      <w:r>
        <w:rPr>
          <w:rFonts w:hint="eastAsia" w:ascii="仿宋" w:hAnsi="仿宋" w:eastAsia="仿宋"/>
          <w:sz w:val="28"/>
        </w:rPr>
        <w:t>第三者责任险：</w:t>
      </w:r>
    </w:p>
    <w:p>
      <w:pPr>
        <w:spacing w:line="360" w:lineRule="auto"/>
        <w:ind w:left="1400" w:hanging="1400" w:hangingChars="500"/>
        <w:rPr>
          <w:rFonts w:ascii="仿宋" w:hAnsi="仿宋" w:eastAsia="仿宋"/>
          <w:sz w:val="28"/>
        </w:rPr>
      </w:pPr>
      <w:r>
        <w:rPr>
          <w:rFonts w:ascii="仿宋" w:hAnsi="仿宋" w:eastAsia="仿宋"/>
          <w:sz w:val="28"/>
        </w:rPr>
        <w:t>RMB 20</w:t>
      </w:r>
      <w:r>
        <w:rPr>
          <w:rFonts w:hint="eastAsia" w:ascii="仿宋" w:hAnsi="仿宋" w:eastAsia="仿宋"/>
          <w:sz w:val="28"/>
        </w:rPr>
        <w:t>,</w:t>
      </w:r>
      <w:r>
        <w:rPr>
          <w:rFonts w:ascii="仿宋" w:hAnsi="仿宋" w:eastAsia="仿宋"/>
          <w:sz w:val="28"/>
        </w:rPr>
        <w:t>000万/每架航空器、每次事件；</w:t>
      </w:r>
    </w:p>
    <w:p>
      <w:pPr>
        <w:spacing w:line="360" w:lineRule="auto"/>
        <w:ind w:left="1400" w:hanging="1400" w:hangingChars="500"/>
        <w:rPr>
          <w:rFonts w:ascii="仿宋" w:hAnsi="仿宋" w:eastAsia="仿宋"/>
          <w:sz w:val="28"/>
        </w:rPr>
      </w:pPr>
      <w:r>
        <w:rPr>
          <w:rFonts w:hint="eastAsia" w:ascii="仿宋" w:hAnsi="仿宋" w:eastAsia="仿宋"/>
          <w:sz w:val="28"/>
        </w:rPr>
        <w:t>乘客法定责任险（含飞行员和机组法定责任险）：</w:t>
      </w:r>
    </w:p>
    <w:p>
      <w:pPr>
        <w:spacing w:line="360" w:lineRule="auto"/>
        <w:ind w:left="1400" w:hanging="1400" w:hangingChars="500"/>
        <w:rPr>
          <w:rFonts w:ascii="仿宋" w:hAnsi="仿宋" w:eastAsia="仿宋"/>
          <w:sz w:val="28"/>
        </w:rPr>
      </w:pPr>
      <w:r>
        <w:rPr>
          <w:rFonts w:ascii="仿宋" w:hAnsi="仿宋" w:eastAsia="仿宋"/>
          <w:sz w:val="28"/>
        </w:rPr>
        <w:t>RMB 300万/每一乘员座、每次事件。</w:t>
      </w:r>
    </w:p>
    <w:p>
      <w:pPr>
        <w:spacing w:line="360" w:lineRule="auto"/>
        <w:rPr>
          <w:rFonts w:ascii="仿宋" w:hAnsi="仿宋" w:eastAsia="仿宋"/>
          <w:sz w:val="28"/>
        </w:rPr>
      </w:pPr>
    </w:p>
    <w:p>
      <w:pPr>
        <w:spacing w:line="360" w:lineRule="auto"/>
        <w:rPr>
          <w:rFonts w:ascii="仿宋" w:hAnsi="仿宋" w:eastAsia="仿宋"/>
          <w:b/>
          <w:bCs/>
          <w:sz w:val="28"/>
        </w:rPr>
      </w:pPr>
      <w:r>
        <w:rPr>
          <w:rFonts w:ascii="仿宋" w:hAnsi="仿宋" w:eastAsia="仿宋"/>
          <w:b/>
          <w:bCs/>
          <w:sz w:val="28"/>
        </w:rPr>
        <w:t>第8项：免赔额</w:t>
      </w:r>
    </w:p>
    <w:p>
      <w:pPr>
        <w:spacing w:line="360" w:lineRule="auto"/>
        <w:ind w:left="1400" w:hanging="1400" w:hangingChars="500"/>
        <w:rPr>
          <w:rFonts w:ascii="仿宋" w:hAnsi="仿宋" w:eastAsia="仿宋"/>
          <w:sz w:val="28"/>
        </w:rPr>
      </w:pPr>
      <w:r>
        <w:rPr>
          <w:rFonts w:hint="eastAsia" w:ascii="仿宋" w:hAnsi="仿宋" w:eastAsia="仿宋"/>
          <w:sz w:val="28"/>
        </w:rPr>
        <w:t>机身一切险：</w:t>
      </w:r>
    </w:p>
    <w:p>
      <w:pPr>
        <w:adjustRightInd w:val="0"/>
        <w:snapToGrid w:val="0"/>
        <w:spacing w:line="360" w:lineRule="auto"/>
        <w:rPr>
          <w:rFonts w:ascii="仿宋" w:hAnsi="仿宋" w:eastAsia="仿宋"/>
          <w:sz w:val="28"/>
        </w:rPr>
      </w:pPr>
      <w:r>
        <w:rPr>
          <w:rFonts w:hint="eastAsia" w:ascii="仿宋" w:hAnsi="仿宋" w:eastAsia="仿宋"/>
          <w:sz w:val="28"/>
        </w:rPr>
        <w:t>协议价值的</w:t>
      </w:r>
      <w:r>
        <w:rPr>
          <w:rFonts w:ascii="仿宋" w:hAnsi="仿宋" w:eastAsia="仿宋"/>
          <w:sz w:val="28"/>
        </w:rPr>
        <w:t>1%/每架航空器、每次事件，该免赔额</w:t>
      </w:r>
      <w:r>
        <w:rPr>
          <w:rFonts w:hint="eastAsia" w:ascii="仿宋" w:hAnsi="仿宋" w:eastAsia="仿宋"/>
          <w:sz w:val="28"/>
        </w:rPr>
        <w:t>同时</w:t>
      </w:r>
      <w:r>
        <w:rPr>
          <w:rFonts w:ascii="仿宋" w:hAnsi="仿宋" w:eastAsia="仿宋"/>
          <w:sz w:val="28"/>
        </w:rPr>
        <w:t>适用于航空器全损、推定全损和协议全损</w:t>
      </w:r>
      <w:r>
        <w:rPr>
          <w:rFonts w:hint="eastAsia" w:ascii="仿宋" w:hAnsi="仿宋" w:eastAsia="仿宋"/>
          <w:sz w:val="28"/>
        </w:rPr>
        <w:t>；</w:t>
      </w:r>
    </w:p>
    <w:p>
      <w:pPr>
        <w:spacing w:line="360" w:lineRule="auto"/>
        <w:ind w:left="1400" w:hanging="1400" w:hangingChars="500"/>
        <w:rPr>
          <w:rFonts w:ascii="仿宋" w:hAnsi="仿宋" w:eastAsia="仿宋"/>
          <w:sz w:val="28"/>
        </w:rPr>
      </w:pPr>
      <w:r>
        <w:rPr>
          <w:rFonts w:hint="eastAsia" w:ascii="仿宋" w:hAnsi="仿宋" w:eastAsia="仿宋"/>
          <w:sz w:val="28"/>
        </w:rPr>
        <w:t>第三者责任险：无</w:t>
      </w:r>
      <w:r>
        <w:rPr>
          <w:rFonts w:ascii="仿宋" w:hAnsi="仿宋" w:eastAsia="仿宋"/>
          <w:sz w:val="28"/>
        </w:rPr>
        <w:t>；</w:t>
      </w:r>
    </w:p>
    <w:p>
      <w:pPr>
        <w:spacing w:line="360" w:lineRule="auto"/>
        <w:ind w:left="1400" w:hanging="1400" w:hangingChars="500"/>
        <w:rPr>
          <w:rFonts w:ascii="仿宋" w:hAnsi="仿宋" w:eastAsia="仿宋"/>
          <w:sz w:val="28"/>
        </w:rPr>
      </w:pPr>
      <w:r>
        <w:rPr>
          <w:rFonts w:hint="eastAsia" w:ascii="仿宋" w:hAnsi="仿宋" w:eastAsia="仿宋"/>
          <w:sz w:val="28"/>
        </w:rPr>
        <w:t>乘客法定责任险（含飞行员和机组法定责任险）：无</w:t>
      </w:r>
      <w:r>
        <w:rPr>
          <w:rFonts w:ascii="仿宋" w:hAnsi="仿宋" w:eastAsia="仿宋"/>
          <w:sz w:val="28"/>
        </w:rPr>
        <w:t>。</w:t>
      </w:r>
    </w:p>
    <w:p>
      <w:pPr>
        <w:adjustRightInd w:val="0"/>
        <w:snapToGrid w:val="0"/>
        <w:spacing w:line="360" w:lineRule="auto"/>
        <w:rPr>
          <w:rFonts w:ascii="仿宋" w:hAnsi="仿宋" w:eastAsia="仿宋"/>
          <w:sz w:val="28"/>
        </w:rPr>
      </w:pPr>
      <w:r>
        <w:rPr>
          <w:rFonts w:ascii="仿宋" w:hAnsi="仿宋" w:eastAsia="仿宋"/>
          <w:sz w:val="28"/>
        </w:rPr>
        <w:t>当每一次事件涉及一个以上免赔额时，应以单架飞机最高免赔额作为由该事件引起的所有损失的累计免赔额</w:t>
      </w:r>
      <w:r>
        <w:rPr>
          <w:rFonts w:hint="eastAsia" w:ascii="仿宋" w:hAnsi="仿宋" w:eastAsia="仿宋"/>
          <w:sz w:val="28"/>
        </w:rPr>
        <w:t>/率</w:t>
      </w:r>
      <w:r>
        <w:rPr>
          <w:rFonts w:ascii="仿宋" w:hAnsi="仿宋" w:eastAsia="仿宋"/>
          <w:sz w:val="28"/>
        </w:rPr>
        <w:t>。</w:t>
      </w:r>
    </w:p>
    <w:p>
      <w:pPr>
        <w:snapToGrid w:val="0"/>
        <w:spacing w:line="360" w:lineRule="auto"/>
        <w:rPr>
          <w:rFonts w:ascii="仿宋" w:hAnsi="仿宋" w:eastAsia="仿宋"/>
          <w:sz w:val="28"/>
        </w:rPr>
      </w:pPr>
    </w:p>
    <w:p>
      <w:pPr>
        <w:spacing w:line="360" w:lineRule="auto"/>
        <w:rPr>
          <w:rFonts w:ascii="仿宋" w:hAnsi="仿宋" w:eastAsia="仿宋"/>
          <w:b/>
          <w:bCs/>
          <w:sz w:val="28"/>
        </w:rPr>
      </w:pPr>
      <w:r>
        <w:rPr>
          <w:rFonts w:hint="eastAsia" w:ascii="仿宋" w:hAnsi="仿宋" w:eastAsia="仿宋"/>
          <w:b/>
          <w:bCs/>
          <w:sz w:val="28"/>
        </w:rPr>
        <w:t>第9项：特别约定</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兹经双方同意并约定，本保单中的“乘客”指被保险航空器上或处于与航空器相连的任何设备或装置上的任何人员，包括但不限于：</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-在航空器上履行或者不履行指导和监督职责的被保险人工作人员；</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-在受雇佣前需要进行飞行检查的被保险人的预聘工作人员；</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-处于滑索上的或通过绞机和滑索上下直升机的人员；</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-各级领导人、外国专家及被救援人员；</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-其他相关人员。</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经被保险人授权同意并持有相关部门颁发的相关机型有效的飞行驾驶执照的飞行员可以驾驶本保单项下的航空器；以及为了取得飞行驾驶执照而在飞行科目转换或结业前所必须进行单飞的飞行学员可以驾驶本保单的航空器，不须事先通知保险人并征得同意。</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经双方同意并约定，鉴于被保险人执行应急救援任务对于保单除外责任中“乘客数量”除外条款修改如下：当航空器所载乘客总数超过最大乘客座位数时，但在不超过该航空器规定的最大起飞重量前提下，所有机上人员均按照本保单的乘客法定责任（包括飞行员及机组人员）的保单约定进行赔偿，但其中对于一个人获得的赔偿不得超过保单规定的个人限额，同时对于所有人员的赔偿累计不得超过个人限额与座位数的乘积，有分项限额的以分项限额为准。</w:t>
      </w:r>
    </w:p>
    <w:p>
      <w:pPr>
        <w:numPr>
          <w:ilvl w:val="0"/>
          <w:numId w:val="1"/>
        </w:numPr>
        <w:tabs>
          <w:tab w:val="left" w:pos="284"/>
        </w:tabs>
        <w:spacing w:line="440" w:lineRule="exact"/>
        <w:ind w:left="0" w:firstLine="0"/>
        <w:rPr>
          <w:rFonts w:ascii="仿宋" w:hAnsi="仿宋" w:eastAsia="仿宋"/>
          <w:sz w:val="28"/>
          <w:szCs w:val="24"/>
        </w:rPr>
      </w:pPr>
      <w:r>
        <w:rPr>
          <w:rFonts w:hint="eastAsia" w:ascii="仿宋" w:hAnsi="仿宋" w:eastAsia="仿宋"/>
          <w:sz w:val="28"/>
          <w:szCs w:val="24"/>
        </w:rPr>
        <w:t>兹经双方同意并约定，本保单地面险（包括机身及零备件地面险）年费率为综合险费率的</w:t>
      </w:r>
      <w:r>
        <w:rPr>
          <w:rFonts w:ascii="仿宋" w:hAnsi="仿宋" w:eastAsia="仿宋"/>
          <w:sz w:val="28"/>
          <w:szCs w:val="24"/>
        </w:rPr>
        <w:t>40</w:t>
      </w:r>
      <w:r>
        <w:rPr>
          <w:rFonts w:hint="eastAsia" w:ascii="仿宋" w:hAnsi="仿宋" w:eastAsia="仿宋"/>
          <w:sz w:val="28"/>
          <w:szCs w:val="24"/>
        </w:rPr>
        <w:t>%，本保单“地面停放”包括航空器定期进行的试车及保养工作，保养工作包括但不限于通过外力将航空器从机库内移动至机库外开启发动机一定时间后在通过外力将航空器移回机库停放的连续过程。地面险的变更需事先征得保险人同意，每年度不超过一次。</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兹经双方同意并约定，本保单扩展承保在同一存放场地内因正常运营所需被保险航空器被拖车或其他交通工具运输、移动期间遭受的损失。</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鉴于CCAR290部号法规《通用航空经营许可管理规定》施行，民航总局2007年2月14日发布的《通用航空经营许可管理规定》（中国民用航空总局令第176号）同时废止，本保单中涉及航空器用途划分及用途定义的内容与CCAR290存在不同的均以CCAR290部号法规及以后修订为准。</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兹经双方同意并约定，失踪天数为10天。</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被保险飞机发生保险事故后，飞机的修理费用加上施救费用及从事故地点运往修理地点及返回经营地的运输费用达到或超过保险金额的75%，这种情况下，保险人将按飞机全损赔付并扣除受损飞机的残值。飞机的残值可由专家确定或经保险双方协商认定。</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兹经双方同意并约定，本保单中起降场地指飞行员认可可起降的场地，但需满足有关规定。</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兹经双方同意并约定，每次事故</w:t>
      </w:r>
      <w:r>
        <w:rPr>
          <w:rFonts w:ascii="仿宋" w:hAnsi="仿宋" w:eastAsia="仿宋"/>
          <w:sz w:val="28"/>
          <w:szCs w:val="24"/>
        </w:rPr>
        <w:t>发生</w:t>
      </w:r>
      <w:r>
        <w:rPr>
          <w:rFonts w:hint="eastAsia" w:ascii="仿宋" w:hAnsi="仿宋" w:eastAsia="仿宋"/>
          <w:sz w:val="28"/>
          <w:szCs w:val="24"/>
        </w:rPr>
        <w:t>投保人</w:t>
      </w:r>
      <w:r>
        <w:rPr>
          <w:rFonts w:ascii="仿宋" w:hAnsi="仿宋" w:eastAsia="仿宋"/>
          <w:sz w:val="28"/>
          <w:szCs w:val="24"/>
        </w:rPr>
        <w:t>将</w:t>
      </w:r>
      <w:r>
        <w:rPr>
          <w:rFonts w:hint="eastAsia" w:ascii="仿宋" w:hAnsi="仿宋" w:eastAsia="仿宋"/>
          <w:sz w:val="28"/>
          <w:szCs w:val="24"/>
        </w:rPr>
        <w:t>理赔材料</w:t>
      </w:r>
      <w:r>
        <w:rPr>
          <w:rFonts w:ascii="仿宋" w:hAnsi="仿宋" w:eastAsia="仿宋"/>
          <w:sz w:val="28"/>
          <w:szCs w:val="24"/>
        </w:rPr>
        <w:t>发送至</w:t>
      </w:r>
      <w:r>
        <w:rPr>
          <w:rFonts w:hint="eastAsia" w:ascii="仿宋" w:hAnsi="仿宋" w:eastAsia="仿宋"/>
          <w:sz w:val="28"/>
          <w:szCs w:val="24"/>
        </w:rPr>
        <w:t>承保公司后</w:t>
      </w:r>
      <w:r>
        <w:rPr>
          <w:rFonts w:ascii="仿宋" w:hAnsi="仿宋" w:eastAsia="仿宋"/>
          <w:sz w:val="28"/>
          <w:szCs w:val="24"/>
        </w:rPr>
        <w:t>，承保公司</w:t>
      </w:r>
      <w:r>
        <w:rPr>
          <w:rFonts w:hint="eastAsia" w:ascii="仿宋" w:hAnsi="仿宋" w:eastAsia="仿宋"/>
          <w:sz w:val="28"/>
          <w:szCs w:val="24"/>
        </w:rPr>
        <w:t>须在10个日历日</w:t>
      </w:r>
      <w:r>
        <w:rPr>
          <w:rFonts w:ascii="仿宋" w:hAnsi="仿宋" w:eastAsia="仿宋"/>
          <w:sz w:val="28"/>
          <w:szCs w:val="24"/>
        </w:rPr>
        <w:t>内</w:t>
      </w:r>
      <w:r>
        <w:rPr>
          <w:rFonts w:hint="eastAsia" w:ascii="仿宋" w:hAnsi="仿宋" w:eastAsia="仿宋"/>
          <w:sz w:val="28"/>
          <w:szCs w:val="24"/>
        </w:rPr>
        <w:t>将</w:t>
      </w:r>
      <w:r>
        <w:rPr>
          <w:rFonts w:ascii="仿宋" w:hAnsi="仿宋" w:eastAsia="仿宋"/>
          <w:sz w:val="28"/>
          <w:szCs w:val="24"/>
        </w:rPr>
        <w:t>审核结果发送至</w:t>
      </w:r>
      <w:r>
        <w:rPr>
          <w:rFonts w:hint="eastAsia" w:ascii="仿宋" w:hAnsi="仿宋" w:eastAsia="仿宋"/>
          <w:sz w:val="28"/>
          <w:szCs w:val="24"/>
        </w:rPr>
        <w:t>被保险</w:t>
      </w:r>
      <w:r>
        <w:rPr>
          <w:rFonts w:ascii="仿宋" w:hAnsi="仿宋" w:eastAsia="仿宋"/>
          <w:sz w:val="28"/>
          <w:szCs w:val="24"/>
        </w:rPr>
        <w:t>人</w:t>
      </w:r>
      <w:r>
        <w:rPr>
          <w:rFonts w:hint="eastAsia" w:ascii="仿宋" w:hAnsi="仿宋" w:eastAsia="仿宋"/>
          <w:sz w:val="28"/>
          <w:szCs w:val="24"/>
        </w:rPr>
        <w:t>指定</w:t>
      </w:r>
      <w:r>
        <w:rPr>
          <w:rFonts w:ascii="仿宋" w:hAnsi="仿宋" w:eastAsia="仿宋"/>
          <w:sz w:val="28"/>
          <w:szCs w:val="24"/>
        </w:rPr>
        <w:t>邮箱。</w:t>
      </w:r>
      <w:r>
        <w:rPr>
          <w:rFonts w:hint="eastAsia" w:ascii="仿宋" w:hAnsi="仿宋" w:eastAsia="仿宋"/>
          <w:sz w:val="28"/>
          <w:szCs w:val="24"/>
        </w:rPr>
        <w:t>全部</w:t>
      </w:r>
      <w:r>
        <w:rPr>
          <w:rFonts w:ascii="仿宋" w:hAnsi="仿宋" w:eastAsia="仿宋"/>
          <w:sz w:val="28"/>
          <w:szCs w:val="24"/>
        </w:rPr>
        <w:t>理赔材料</w:t>
      </w:r>
      <w:r>
        <w:rPr>
          <w:rFonts w:hint="eastAsia" w:ascii="仿宋" w:hAnsi="仿宋" w:eastAsia="仿宋"/>
          <w:sz w:val="28"/>
          <w:szCs w:val="24"/>
        </w:rPr>
        <w:t>审核</w:t>
      </w:r>
      <w:r>
        <w:rPr>
          <w:rFonts w:ascii="仿宋" w:hAnsi="仿宋" w:eastAsia="仿宋"/>
          <w:sz w:val="28"/>
          <w:szCs w:val="24"/>
        </w:rPr>
        <w:t>通过后，承保公司</w:t>
      </w:r>
      <w:r>
        <w:rPr>
          <w:rFonts w:hint="eastAsia" w:ascii="仿宋" w:hAnsi="仿宋" w:eastAsia="仿宋"/>
          <w:sz w:val="28"/>
          <w:szCs w:val="24"/>
        </w:rPr>
        <w:t>须在</w:t>
      </w:r>
      <w:r>
        <w:rPr>
          <w:rFonts w:ascii="仿宋" w:hAnsi="仿宋" w:eastAsia="仿宋"/>
          <w:sz w:val="28"/>
          <w:szCs w:val="24"/>
        </w:rPr>
        <w:t>20</w:t>
      </w:r>
      <w:r>
        <w:rPr>
          <w:rFonts w:hint="eastAsia" w:ascii="仿宋" w:hAnsi="仿宋" w:eastAsia="仿宋"/>
          <w:sz w:val="28"/>
          <w:szCs w:val="24"/>
        </w:rPr>
        <w:t>个日历日</w:t>
      </w:r>
      <w:r>
        <w:rPr>
          <w:rFonts w:ascii="仿宋" w:hAnsi="仿宋" w:eastAsia="仿宋"/>
          <w:sz w:val="28"/>
          <w:szCs w:val="24"/>
        </w:rPr>
        <w:t>内</w:t>
      </w:r>
      <w:r>
        <w:rPr>
          <w:rFonts w:hint="eastAsia" w:ascii="仿宋" w:hAnsi="仿宋" w:eastAsia="仿宋"/>
          <w:sz w:val="28"/>
          <w:szCs w:val="24"/>
        </w:rPr>
        <w:t>将全部理赔款</w:t>
      </w:r>
      <w:r>
        <w:rPr>
          <w:rFonts w:ascii="仿宋" w:hAnsi="仿宋" w:eastAsia="仿宋"/>
          <w:sz w:val="28"/>
          <w:szCs w:val="24"/>
        </w:rPr>
        <w:t>支付至</w:t>
      </w:r>
      <w:r>
        <w:rPr>
          <w:rFonts w:hint="eastAsia" w:ascii="仿宋" w:hAnsi="仿宋" w:eastAsia="仿宋"/>
          <w:sz w:val="28"/>
          <w:szCs w:val="24"/>
        </w:rPr>
        <w:t>被保险</w:t>
      </w:r>
      <w:r>
        <w:rPr>
          <w:rFonts w:ascii="仿宋" w:hAnsi="仿宋" w:eastAsia="仿宋"/>
          <w:sz w:val="28"/>
          <w:szCs w:val="24"/>
        </w:rPr>
        <w:t>人账户</w:t>
      </w:r>
      <w:r>
        <w:rPr>
          <w:rFonts w:hint="eastAsia" w:ascii="仿宋" w:hAnsi="仿宋" w:eastAsia="仿宋"/>
          <w:sz w:val="28"/>
          <w:szCs w:val="24"/>
        </w:rPr>
        <w:t>（上述内容</w:t>
      </w:r>
      <w:r>
        <w:rPr>
          <w:rFonts w:ascii="仿宋" w:hAnsi="仿宋" w:eastAsia="仿宋"/>
          <w:sz w:val="28"/>
          <w:szCs w:val="24"/>
        </w:rPr>
        <w:t>同样适用于先行赔付</w:t>
      </w:r>
      <w:r>
        <w:rPr>
          <w:rFonts w:hint="eastAsia" w:ascii="仿宋" w:hAnsi="仿宋" w:eastAsia="仿宋"/>
          <w:sz w:val="28"/>
          <w:szCs w:val="24"/>
        </w:rPr>
        <w:t>）</w:t>
      </w:r>
      <w:r>
        <w:rPr>
          <w:rFonts w:ascii="仿宋" w:hAnsi="仿宋" w:eastAsia="仿宋"/>
          <w:sz w:val="28"/>
          <w:szCs w:val="24"/>
        </w:rPr>
        <w:t>。</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兹经双方同意并约定，保险期限不足一年按日比例计算。</w:t>
      </w:r>
    </w:p>
    <w:p>
      <w:pPr>
        <w:numPr>
          <w:ilvl w:val="0"/>
          <w:numId w:val="1"/>
        </w:numPr>
        <w:tabs>
          <w:tab w:val="left" w:pos="284"/>
        </w:tabs>
        <w:spacing w:line="440" w:lineRule="exact"/>
        <w:rPr>
          <w:rFonts w:ascii="仿宋" w:hAnsi="仿宋" w:eastAsia="仿宋"/>
          <w:sz w:val="28"/>
          <w:szCs w:val="24"/>
        </w:rPr>
      </w:pPr>
      <w:r>
        <w:rPr>
          <w:rFonts w:hint="eastAsia" w:ascii="仿宋" w:hAnsi="仿宋" w:eastAsia="仿宋"/>
          <w:sz w:val="28"/>
          <w:szCs w:val="24"/>
        </w:rPr>
        <w:t>鉴于被保险人已缴付了附加保费，兹经双方协商一致，在本保单第三部分乘客法定责任险项下，保险人同意：</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（1）赔偿限额以依法或法庭终审判决的金额为限，同时受限于保单明细表中在乘客法定责任险下所载明的分项限额（限于有）；</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（2）本约定所述的航空器应是在本保单项下承保的航空器。</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依据本条款计算乘客赔偿金额时，所有符合保单约定的乘客均以普通乘客为基础，不再考虑雇佣等关系的调整，但被保险人在工伤保险、航空器综合险、其它可能的雇主险等项下的所有保险赔款，不可超过其实际对外履行的赔偿金额。</w:t>
      </w:r>
    </w:p>
    <w:p>
      <w:pPr>
        <w:tabs>
          <w:tab w:val="left" w:pos="284"/>
        </w:tabs>
        <w:spacing w:line="440" w:lineRule="exact"/>
        <w:ind w:left="360"/>
        <w:rPr>
          <w:rFonts w:ascii="仿宋" w:hAnsi="仿宋" w:eastAsia="仿宋"/>
          <w:sz w:val="28"/>
          <w:szCs w:val="24"/>
        </w:rPr>
      </w:pPr>
      <w:r>
        <w:rPr>
          <w:rFonts w:hint="eastAsia" w:ascii="仿宋" w:hAnsi="仿宋" w:eastAsia="仿宋"/>
          <w:sz w:val="28"/>
          <w:szCs w:val="24"/>
        </w:rPr>
        <w:t>本保单其他保障、条款、条件、限额和除外责任不变。</w:t>
      </w:r>
    </w:p>
    <w:p>
      <w:pPr>
        <w:pStyle w:val="20"/>
        <w:spacing w:line="360" w:lineRule="auto"/>
        <w:rPr>
          <w:rFonts w:ascii="仿宋" w:hAnsi="仿宋" w:eastAsia="仿宋"/>
          <w:color w:val="auto"/>
          <w:kern w:val="2"/>
          <w:sz w:val="28"/>
          <w:szCs w:val="20"/>
        </w:rPr>
      </w:pPr>
    </w:p>
    <w:p>
      <w:pPr>
        <w:spacing w:line="360" w:lineRule="auto"/>
        <w:rPr>
          <w:rFonts w:ascii="仿宋" w:hAnsi="仿宋" w:eastAsia="仿宋"/>
          <w:b/>
          <w:bCs/>
          <w:sz w:val="28"/>
        </w:rPr>
      </w:pPr>
      <w:r>
        <w:rPr>
          <w:rFonts w:hint="eastAsia" w:ascii="仿宋" w:hAnsi="仿宋" w:eastAsia="仿宋"/>
          <w:b/>
          <w:bCs/>
          <w:sz w:val="28"/>
        </w:rPr>
        <w:t>第10</w:t>
      </w:r>
      <w:r>
        <w:rPr>
          <w:rFonts w:ascii="仿宋" w:hAnsi="仿宋" w:eastAsia="仿宋"/>
          <w:b/>
          <w:bCs/>
          <w:sz w:val="28"/>
        </w:rPr>
        <w:t>项</w:t>
      </w:r>
      <w:r>
        <w:rPr>
          <w:rFonts w:hint="eastAsia" w:ascii="仿宋" w:hAnsi="仿宋" w:eastAsia="仿宋"/>
          <w:b/>
          <w:bCs/>
          <w:sz w:val="28"/>
        </w:rPr>
        <w:t>：保险条款</w:t>
      </w:r>
    </w:p>
    <w:p>
      <w:pPr>
        <w:pStyle w:val="20"/>
        <w:spacing w:after="0" w:line="360" w:lineRule="auto"/>
        <w:ind w:left="1260" w:hanging="1260" w:hangingChars="450"/>
        <w:jc w:val="both"/>
        <w:rPr>
          <w:rFonts w:ascii="仿宋" w:hAnsi="仿宋" w:eastAsia="仿宋"/>
          <w:color w:val="auto"/>
          <w:sz w:val="28"/>
        </w:rPr>
      </w:pPr>
      <w:r>
        <w:rPr>
          <w:rFonts w:hint="eastAsia" w:ascii="仿宋" w:hAnsi="仿宋" w:eastAsia="仿宋"/>
          <w:sz w:val="28"/>
        </w:rPr>
        <w:t>主条款：航空器综合险保险条款/机身一切险及责任险条款（</w:t>
      </w:r>
      <w:r>
        <w:rPr>
          <w:rFonts w:ascii="仿宋" w:hAnsi="仿宋" w:eastAsia="仿宋"/>
          <w:sz w:val="28"/>
        </w:rPr>
        <w:t>AVN1C</w:t>
      </w:r>
      <w:r>
        <w:rPr>
          <w:rFonts w:hint="eastAsia" w:ascii="仿宋" w:hAnsi="仿宋" w:eastAsia="仿宋"/>
          <w:sz w:val="28"/>
        </w:rPr>
        <w:t>）</w:t>
      </w:r>
    </w:p>
    <w:p>
      <w:pPr>
        <w:pStyle w:val="20"/>
        <w:spacing w:after="0" w:line="360" w:lineRule="auto"/>
        <w:jc w:val="both"/>
        <w:rPr>
          <w:rFonts w:ascii="仿宋" w:hAnsi="仿宋" w:eastAsia="仿宋"/>
          <w:color w:val="auto"/>
          <w:sz w:val="28"/>
        </w:rPr>
      </w:pPr>
      <w:r>
        <w:rPr>
          <w:rFonts w:hint="eastAsia" w:ascii="仿宋" w:hAnsi="仿宋" w:eastAsia="仿宋"/>
          <w:sz w:val="28"/>
        </w:rPr>
        <w:t>附加条款</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协议价值条款；</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预付赔款条款（50%）；</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附加费用扩展保障条款；（1</w:t>
      </w:r>
      <w:r>
        <w:rPr>
          <w:rFonts w:ascii="仿宋" w:hAnsi="仿宋" w:eastAsia="仿宋" w:cs="Times New Roman"/>
          <w:color w:val="000000"/>
          <w:kern w:val="0"/>
          <w:sz w:val="28"/>
          <w:szCs w:val="24"/>
          <w:lang w:val="en-GB"/>
        </w:rPr>
        <w:t>0</w:t>
      </w:r>
      <w:r>
        <w:rPr>
          <w:rFonts w:hint="eastAsia" w:ascii="仿宋" w:hAnsi="仿宋" w:eastAsia="仿宋" w:cs="Times New Roman"/>
          <w:color w:val="000000"/>
          <w:kern w:val="0"/>
          <w:sz w:val="28"/>
          <w:szCs w:val="24"/>
          <w:lang w:val="en-GB"/>
        </w:rPr>
        <w:t>%）</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迫降条款；</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自动增减条款；</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差错或遗漏条款；</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合同协议条款；</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非授权使用条款；</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经纪人条款（航联、1</w:t>
      </w:r>
      <w:r>
        <w:rPr>
          <w:rFonts w:ascii="仿宋" w:hAnsi="仿宋" w:eastAsia="仿宋" w:cs="Times New Roman"/>
          <w:color w:val="000000"/>
          <w:kern w:val="0"/>
          <w:sz w:val="28"/>
          <w:szCs w:val="24"/>
          <w:lang w:val="en-GB"/>
        </w:rPr>
        <w:t>5%</w:t>
      </w:r>
      <w:r>
        <w:rPr>
          <w:rFonts w:hint="eastAsia" w:ascii="仿宋" w:hAnsi="仿宋" w:eastAsia="仿宋" w:cs="Times New Roman"/>
          <w:color w:val="000000"/>
          <w:kern w:val="0"/>
          <w:sz w:val="28"/>
          <w:szCs w:val="24"/>
          <w:lang w:val="en-GB"/>
        </w:rPr>
        <w:t>）</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专业费用（2</w:t>
      </w:r>
      <w:r>
        <w:rPr>
          <w:rFonts w:ascii="仿宋" w:hAnsi="仿宋" w:eastAsia="仿宋" w:cs="Times New Roman"/>
          <w:color w:val="000000"/>
          <w:kern w:val="0"/>
          <w:sz w:val="28"/>
          <w:szCs w:val="24"/>
          <w:lang w:val="en-GB"/>
        </w:rPr>
        <w:t>0</w:t>
      </w:r>
      <w:r>
        <w:rPr>
          <w:rFonts w:hint="eastAsia" w:ascii="仿宋" w:hAnsi="仿宋" w:eastAsia="仿宋" w:cs="Times New Roman"/>
          <w:color w:val="000000"/>
          <w:kern w:val="0"/>
          <w:sz w:val="28"/>
          <w:szCs w:val="24"/>
          <w:lang w:val="en-GB"/>
        </w:rPr>
        <w:t>%）</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预定理算师（MCL）</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人身侵害扩展责任条款</w:t>
      </w:r>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机载设备扩展保障条款（机载设备：</w:t>
      </w:r>
      <w:r>
        <w:rPr>
          <w:rFonts w:hint="eastAsia" w:ascii="仿宋" w:hAnsi="仿宋" w:eastAsia="仿宋" w:cs="Times New Roman"/>
          <w:color w:val="000000"/>
          <w:kern w:val="0"/>
          <w:sz w:val="28"/>
          <w:szCs w:val="24"/>
        </w:rPr>
        <w:t>货钩</w:t>
      </w:r>
      <w:r>
        <w:rPr>
          <w:rFonts w:hint="eastAsia" w:ascii="仿宋" w:hAnsi="仿宋" w:eastAsia="仿宋" w:cs="Times New Roman"/>
          <w:color w:val="000000"/>
          <w:kern w:val="0"/>
          <w:sz w:val="28"/>
          <w:szCs w:val="24"/>
          <w:lang w:val="en-GB"/>
        </w:rPr>
        <w:t>、绞车）</w:t>
      </w:r>
      <w:bookmarkStart w:id="37" w:name="_GoBack"/>
      <w:bookmarkEnd w:id="37"/>
    </w:p>
    <w:p>
      <w:pPr>
        <w:numPr>
          <w:ilvl w:val="0"/>
          <w:numId w:val="2"/>
        </w:numPr>
        <w:spacing w:line="0" w:lineRule="atLeast"/>
        <w:rPr>
          <w:rFonts w:ascii="仿宋" w:hAnsi="仿宋" w:eastAsia="仿宋" w:cs="Times New Roman"/>
          <w:color w:val="000000"/>
          <w:kern w:val="0"/>
          <w:sz w:val="28"/>
          <w:szCs w:val="24"/>
          <w:lang w:val="en-GB"/>
        </w:rPr>
      </w:pPr>
      <w:r>
        <w:rPr>
          <w:rFonts w:hint="eastAsia" w:ascii="仿宋" w:hAnsi="仿宋" w:eastAsia="仿宋" w:cs="Times New Roman"/>
          <w:color w:val="000000"/>
          <w:kern w:val="0"/>
          <w:sz w:val="28"/>
          <w:szCs w:val="24"/>
          <w:lang w:val="en-GB"/>
        </w:rPr>
        <w:t>零备件一切险（机载设备：</w:t>
      </w:r>
      <w:r>
        <w:rPr>
          <w:rFonts w:hint="eastAsia" w:ascii="仿宋" w:hAnsi="仿宋" w:eastAsia="仿宋" w:cs="Times New Roman"/>
          <w:color w:val="000000"/>
          <w:kern w:val="0"/>
          <w:sz w:val="28"/>
          <w:szCs w:val="24"/>
        </w:rPr>
        <w:t>货钩</w:t>
      </w:r>
      <w:r>
        <w:rPr>
          <w:rFonts w:hint="eastAsia" w:ascii="仿宋" w:hAnsi="仿宋" w:eastAsia="仿宋" w:cs="Times New Roman"/>
          <w:color w:val="000000"/>
          <w:kern w:val="0"/>
          <w:sz w:val="28"/>
          <w:szCs w:val="24"/>
          <w:lang w:val="en-GB"/>
        </w:rPr>
        <w:t>、绞车）</w:t>
      </w:r>
    </w:p>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742EA4"/>
    <w:multiLevelType w:val="multilevel"/>
    <w:tmpl w:val="2B742EA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C2924C9"/>
    <w:multiLevelType w:val="multilevel"/>
    <w:tmpl w:val="3C2924C9"/>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JhMjc4NGIzYTVkYjMwMzg4YmEyMGI2NzhlZTViYmUifQ=="/>
    <w:docVar w:name="KGWebUrl" w:val="http://oa.xjjt.com.cn:88/weaver/weaver.file.FileDownloadForNews?uuid=6935a8f9-3f76-477f-b295-888dde674640&amp;fileid=2135691&amp;type=document&amp;isofficeview=0"/>
    <w:docVar w:name="KSO_WPS_MARK_KEY" w:val="bc0e6d21-4405-4b0a-a5a6-a3fcca982f84"/>
  </w:docVars>
  <w:rsids>
    <w:rsidRoot w:val="00D424EF"/>
    <w:rsid w:val="00077344"/>
    <w:rsid w:val="00125765"/>
    <w:rsid w:val="00290E86"/>
    <w:rsid w:val="00357D47"/>
    <w:rsid w:val="003801F4"/>
    <w:rsid w:val="00404B2F"/>
    <w:rsid w:val="00490682"/>
    <w:rsid w:val="00616A85"/>
    <w:rsid w:val="00641066"/>
    <w:rsid w:val="007540E4"/>
    <w:rsid w:val="008A7112"/>
    <w:rsid w:val="00957281"/>
    <w:rsid w:val="00A476F8"/>
    <w:rsid w:val="00AA54C0"/>
    <w:rsid w:val="00B2538B"/>
    <w:rsid w:val="00B85470"/>
    <w:rsid w:val="00C778DD"/>
    <w:rsid w:val="00D424EF"/>
    <w:rsid w:val="00DE664D"/>
    <w:rsid w:val="00F10E44"/>
    <w:rsid w:val="00F83542"/>
    <w:rsid w:val="01177872"/>
    <w:rsid w:val="01993237"/>
    <w:rsid w:val="04BD7363"/>
    <w:rsid w:val="056A068F"/>
    <w:rsid w:val="0E0F57C1"/>
    <w:rsid w:val="145D673D"/>
    <w:rsid w:val="14EA2F5B"/>
    <w:rsid w:val="189A4BF1"/>
    <w:rsid w:val="18F91FAA"/>
    <w:rsid w:val="1C164132"/>
    <w:rsid w:val="1CA4388D"/>
    <w:rsid w:val="1CF1787C"/>
    <w:rsid w:val="1D8611E5"/>
    <w:rsid w:val="1DD71A40"/>
    <w:rsid w:val="215B115F"/>
    <w:rsid w:val="224F7DF7"/>
    <w:rsid w:val="24CE6802"/>
    <w:rsid w:val="26632AC7"/>
    <w:rsid w:val="26D11723"/>
    <w:rsid w:val="26D8337F"/>
    <w:rsid w:val="28593D52"/>
    <w:rsid w:val="2A6428AE"/>
    <w:rsid w:val="2A6828EB"/>
    <w:rsid w:val="2B326508"/>
    <w:rsid w:val="2C410D76"/>
    <w:rsid w:val="2C796894"/>
    <w:rsid w:val="2CF73565"/>
    <w:rsid w:val="2E235EAC"/>
    <w:rsid w:val="30300F95"/>
    <w:rsid w:val="30332B06"/>
    <w:rsid w:val="304965D7"/>
    <w:rsid w:val="30547DC6"/>
    <w:rsid w:val="32F56799"/>
    <w:rsid w:val="340A66A2"/>
    <w:rsid w:val="34AB569D"/>
    <w:rsid w:val="3635540D"/>
    <w:rsid w:val="3A573895"/>
    <w:rsid w:val="3B8E1103"/>
    <w:rsid w:val="3C205D0F"/>
    <w:rsid w:val="41D35B1A"/>
    <w:rsid w:val="42384E67"/>
    <w:rsid w:val="451820B7"/>
    <w:rsid w:val="457E0E93"/>
    <w:rsid w:val="45C06792"/>
    <w:rsid w:val="46B57BD6"/>
    <w:rsid w:val="47FB521A"/>
    <w:rsid w:val="4844246D"/>
    <w:rsid w:val="4856764B"/>
    <w:rsid w:val="494579A9"/>
    <w:rsid w:val="4BB23021"/>
    <w:rsid w:val="4C4A5008"/>
    <w:rsid w:val="4C510646"/>
    <w:rsid w:val="4C5E0AB3"/>
    <w:rsid w:val="4CDB65A8"/>
    <w:rsid w:val="4F91170B"/>
    <w:rsid w:val="4F962A90"/>
    <w:rsid w:val="50B35334"/>
    <w:rsid w:val="511F4CE3"/>
    <w:rsid w:val="52A631B4"/>
    <w:rsid w:val="557C1FAA"/>
    <w:rsid w:val="56B8520A"/>
    <w:rsid w:val="577B71A2"/>
    <w:rsid w:val="5A13400D"/>
    <w:rsid w:val="5A167004"/>
    <w:rsid w:val="5D867E6A"/>
    <w:rsid w:val="5DE3200A"/>
    <w:rsid w:val="5EC86B2F"/>
    <w:rsid w:val="5ED42BF2"/>
    <w:rsid w:val="60FF17F4"/>
    <w:rsid w:val="627C6B4F"/>
    <w:rsid w:val="62962CBE"/>
    <w:rsid w:val="637956D2"/>
    <w:rsid w:val="64B84299"/>
    <w:rsid w:val="65290C90"/>
    <w:rsid w:val="65DC499D"/>
    <w:rsid w:val="6A1B42B1"/>
    <w:rsid w:val="6A951EF1"/>
    <w:rsid w:val="6AA502AE"/>
    <w:rsid w:val="6C692BA0"/>
    <w:rsid w:val="6EB56823"/>
    <w:rsid w:val="70CC1BE0"/>
    <w:rsid w:val="70E138DD"/>
    <w:rsid w:val="7409531C"/>
    <w:rsid w:val="76566341"/>
    <w:rsid w:val="76A23EDB"/>
    <w:rsid w:val="78B673FD"/>
    <w:rsid w:val="79D833A4"/>
    <w:rsid w:val="7A463C43"/>
    <w:rsid w:val="7AE4576B"/>
    <w:rsid w:val="7D4A45B8"/>
    <w:rsid w:val="7E0F0E9C"/>
    <w:rsid w:val="7EBC374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autoRedefine/>
    <w:qFormat/>
    <w:uiPriority w:val="0"/>
    <w:pPr>
      <w:keepNext/>
      <w:keepLines/>
      <w:widowControl/>
      <w:ind w:firstLine="850" w:firstLineChars="850"/>
      <w:outlineLvl w:val="0"/>
    </w:pPr>
    <w:rPr>
      <w:rFonts w:ascii="Times New Roman" w:hAnsi="Times New Roman" w:eastAsia="仿宋"/>
      <w:b/>
      <w:bCs/>
      <w:kern w:val="44"/>
      <w:sz w:val="56"/>
      <w:szCs w:val="44"/>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1"/>
    <w:autoRedefine/>
    <w:semiHidden/>
    <w:unhideWhenUsed/>
    <w:qFormat/>
    <w:uiPriority w:val="99"/>
    <w:pPr>
      <w:jc w:val="left"/>
    </w:pPr>
  </w:style>
  <w:style w:type="paragraph" w:styleId="4">
    <w:name w:val="Balloon Text"/>
    <w:basedOn w:val="1"/>
    <w:link w:val="15"/>
    <w:autoRedefine/>
    <w:semiHidden/>
    <w:unhideWhenUsed/>
    <w:qFormat/>
    <w:uiPriority w:val="99"/>
    <w:rPr>
      <w:sz w:val="18"/>
      <w:szCs w:val="18"/>
    </w:rPr>
  </w:style>
  <w:style w:type="paragraph" w:styleId="5">
    <w:name w:val="footer"/>
    <w:basedOn w:val="1"/>
    <w:link w:val="18"/>
    <w:autoRedefine/>
    <w:unhideWhenUsed/>
    <w:qFormat/>
    <w:uiPriority w:val="99"/>
    <w:pPr>
      <w:tabs>
        <w:tab w:val="center" w:pos="4153"/>
        <w:tab w:val="right" w:pos="8306"/>
      </w:tabs>
      <w:snapToGrid w:val="0"/>
      <w:jc w:val="left"/>
    </w:pPr>
    <w:rPr>
      <w:sz w:val="18"/>
      <w:szCs w:val="18"/>
    </w:rPr>
  </w:style>
  <w:style w:type="paragraph" w:styleId="6">
    <w:name w:val="header"/>
    <w:basedOn w:val="1"/>
    <w:link w:val="17"/>
    <w:autoRedefine/>
    <w:unhideWhenUsed/>
    <w:qFormat/>
    <w:uiPriority w:val="99"/>
    <w:pPr>
      <w:tabs>
        <w:tab w:val="center" w:pos="4153"/>
        <w:tab w:val="right" w:pos="8306"/>
      </w:tabs>
      <w:snapToGrid w:val="0"/>
      <w:jc w:val="center"/>
    </w:pPr>
    <w:rPr>
      <w:sz w:val="18"/>
      <w:szCs w:val="18"/>
    </w:rPr>
  </w:style>
  <w:style w:type="paragraph" w:styleId="7">
    <w:name w:val="Title"/>
    <w:basedOn w:val="1"/>
    <w:next w:val="1"/>
    <w:link w:val="14"/>
    <w:autoRedefine/>
    <w:qFormat/>
    <w:uiPriority w:val="10"/>
    <w:pPr>
      <w:spacing w:before="240" w:after="60"/>
      <w:jc w:val="center"/>
      <w:outlineLvl w:val="0"/>
    </w:pPr>
    <w:rPr>
      <w:rFonts w:eastAsia="宋体" w:asciiTheme="majorHAnsi" w:hAnsiTheme="majorHAnsi" w:cstheme="majorBidi"/>
      <w:b/>
      <w:bCs/>
      <w:sz w:val="32"/>
      <w:szCs w:val="32"/>
    </w:rPr>
  </w:style>
  <w:style w:type="paragraph" w:styleId="8">
    <w:name w:val="annotation subject"/>
    <w:basedOn w:val="3"/>
    <w:next w:val="3"/>
    <w:link w:val="22"/>
    <w:autoRedefine/>
    <w:semiHidden/>
    <w:unhideWhenUsed/>
    <w:qFormat/>
    <w:uiPriority w:val="99"/>
    <w:rPr>
      <w:b/>
      <w:bCs/>
    </w:rPr>
  </w:style>
  <w:style w:type="table" w:styleId="10">
    <w:name w:val="Table Grid"/>
    <w:basedOn w:val="9"/>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autoRedefine/>
    <w:semiHidden/>
    <w:unhideWhenUsed/>
    <w:qFormat/>
    <w:uiPriority w:val="99"/>
    <w:rPr>
      <w:sz w:val="21"/>
      <w:szCs w:val="21"/>
    </w:rPr>
  </w:style>
  <w:style w:type="character" w:customStyle="1" w:styleId="13">
    <w:name w:val="标题 1 字符"/>
    <w:basedOn w:val="11"/>
    <w:link w:val="2"/>
    <w:autoRedefine/>
    <w:qFormat/>
    <w:uiPriority w:val="0"/>
    <w:rPr>
      <w:rFonts w:ascii="Times New Roman" w:hAnsi="Times New Roman" w:eastAsia="仿宋"/>
      <w:b/>
      <w:bCs/>
      <w:kern w:val="44"/>
      <w:sz w:val="56"/>
      <w:szCs w:val="44"/>
    </w:rPr>
  </w:style>
  <w:style w:type="character" w:customStyle="1" w:styleId="14">
    <w:name w:val="标题 字符"/>
    <w:basedOn w:val="11"/>
    <w:link w:val="7"/>
    <w:autoRedefine/>
    <w:qFormat/>
    <w:uiPriority w:val="10"/>
    <w:rPr>
      <w:rFonts w:eastAsia="宋体" w:asciiTheme="majorHAnsi" w:hAnsiTheme="majorHAnsi" w:cstheme="majorBidi"/>
      <w:b/>
      <w:bCs/>
      <w:sz w:val="32"/>
      <w:szCs w:val="32"/>
    </w:rPr>
  </w:style>
  <w:style w:type="character" w:customStyle="1" w:styleId="15">
    <w:name w:val="批注框文本 字符"/>
    <w:basedOn w:val="11"/>
    <w:link w:val="4"/>
    <w:autoRedefine/>
    <w:semiHidden/>
    <w:qFormat/>
    <w:uiPriority w:val="99"/>
    <w:rPr>
      <w:rFonts w:asciiTheme="minorHAnsi" w:hAnsiTheme="minorHAnsi" w:eastAsiaTheme="minorEastAsia" w:cstheme="minorBidi"/>
      <w:kern w:val="2"/>
      <w:sz w:val="18"/>
      <w:szCs w:val="18"/>
    </w:rPr>
  </w:style>
  <w:style w:type="paragraph" w:customStyle="1" w:styleId="16">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7">
    <w:name w:val="页眉 字符"/>
    <w:basedOn w:val="11"/>
    <w:link w:val="6"/>
    <w:autoRedefine/>
    <w:qFormat/>
    <w:uiPriority w:val="99"/>
    <w:rPr>
      <w:rFonts w:asciiTheme="minorHAnsi" w:hAnsiTheme="minorHAnsi" w:eastAsiaTheme="minorEastAsia" w:cstheme="minorBidi"/>
      <w:kern w:val="2"/>
      <w:sz w:val="18"/>
      <w:szCs w:val="18"/>
    </w:rPr>
  </w:style>
  <w:style w:type="character" w:customStyle="1" w:styleId="18">
    <w:name w:val="页脚 字符"/>
    <w:basedOn w:val="11"/>
    <w:link w:val="5"/>
    <w:autoRedefine/>
    <w:qFormat/>
    <w:uiPriority w:val="99"/>
    <w:rPr>
      <w:rFonts w:asciiTheme="minorHAnsi" w:hAnsiTheme="minorHAnsi" w:eastAsiaTheme="minorEastAsia" w:cstheme="minorBidi"/>
      <w:kern w:val="2"/>
      <w:sz w:val="18"/>
      <w:szCs w:val="18"/>
    </w:rPr>
  </w:style>
  <w:style w:type="paragraph" w:customStyle="1" w:styleId="19">
    <w:name w:val="结束语1"/>
    <w:basedOn w:val="1"/>
    <w:autoRedefine/>
    <w:qFormat/>
    <w:uiPriority w:val="0"/>
    <w:pPr>
      <w:ind w:left="100" w:leftChars="2100"/>
    </w:pPr>
    <w:rPr>
      <w:rFonts w:ascii="Times New Roman" w:hAnsi="Times New Roman" w:eastAsia="宋体" w:cs="Times New Roman"/>
      <w:sz w:val="32"/>
      <w:szCs w:val="20"/>
    </w:rPr>
  </w:style>
  <w:style w:type="paragraph" w:customStyle="1" w:styleId="20">
    <w:name w:val="Large Hanging Indent"/>
    <w:basedOn w:val="1"/>
    <w:autoRedefine/>
    <w:qFormat/>
    <w:uiPriority w:val="0"/>
    <w:pPr>
      <w:widowControl/>
      <w:tabs>
        <w:tab w:val="left" w:pos="2160"/>
      </w:tabs>
      <w:spacing w:after="240" w:line="240" w:lineRule="atLeast"/>
      <w:ind w:left="2160" w:hanging="2160"/>
      <w:jc w:val="left"/>
    </w:pPr>
    <w:rPr>
      <w:rFonts w:ascii="Times New Roman" w:hAnsi="Times New Roman" w:eastAsia="仿宋_GB2312" w:cs="Times New Roman"/>
      <w:color w:val="000000"/>
      <w:kern w:val="0"/>
      <w:sz w:val="24"/>
      <w:szCs w:val="24"/>
    </w:rPr>
  </w:style>
  <w:style w:type="character" w:customStyle="1" w:styleId="21">
    <w:name w:val="批注文字 字符"/>
    <w:basedOn w:val="11"/>
    <w:link w:val="3"/>
    <w:autoRedefine/>
    <w:semiHidden/>
    <w:qFormat/>
    <w:uiPriority w:val="99"/>
    <w:rPr>
      <w:rFonts w:asciiTheme="minorHAnsi" w:hAnsiTheme="minorHAnsi" w:eastAsiaTheme="minorEastAsia" w:cstheme="minorBidi"/>
      <w:kern w:val="2"/>
      <w:sz w:val="21"/>
      <w:szCs w:val="22"/>
    </w:rPr>
  </w:style>
  <w:style w:type="character" w:customStyle="1" w:styleId="22">
    <w:name w:val="批注主题 字符"/>
    <w:basedOn w:val="21"/>
    <w:link w:val="8"/>
    <w:autoRedefine/>
    <w:semiHidden/>
    <w:qFormat/>
    <w:uiPriority w:val="99"/>
    <w:rPr>
      <w:rFonts w:asciiTheme="minorHAnsi" w:hAnsiTheme="minorHAnsi" w:eastAsiaTheme="minorEastAsia" w:cstheme="minorBidi"/>
      <w:b/>
      <w:bCs/>
      <w:kern w:val="2"/>
      <w:sz w:val="21"/>
      <w:szCs w:val="22"/>
    </w:rPr>
  </w:style>
  <w:style w:type="paragraph" w:customStyle="1" w:styleId="23">
    <w:name w:val="Revision"/>
    <w:autoRedefine/>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w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6837</Words>
  <Characters>7205</Characters>
  <Lines>54</Lines>
  <Paragraphs>15</Paragraphs>
  <TotalTime>2</TotalTime>
  <ScaleCrop>false</ScaleCrop>
  <LinksUpToDate>false</LinksUpToDate>
  <CharactersWithSpaces>7267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2023-03-17T02:10:00Z</dcterms:created>
  <dc:creator>徐承志</dc:creator>
  <cp:lastModifiedBy>唐雨萌</cp:lastModifiedBy>
  <cp:lastPrinted>2023-03-20T02:16:00Z</cp:lastPrinted>
  <dcterms:modified xsi:type="dcterms:W3CDTF">2024-07-08T07:56:33Z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2662D954A5C645EC87CB0DF90F4DC8F8_13</vt:lpwstr>
  </property>
</Properties>
</file>