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10028"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46"/>
        <w:gridCol w:w="943"/>
        <w:gridCol w:w="1405"/>
        <w:gridCol w:w="1980"/>
        <w:gridCol w:w="1150"/>
        <w:gridCol w:w="3100"/>
        <w:gridCol w:w="804"/>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879" w:hRule="atLeast"/>
          <w:jc w:val="center"/>
        </w:trPr>
        <w:tc>
          <w:tcPr>
            <w:tcW w:w="10028" w:type="dxa"/>
            <w:gridSpan w:val="7"/>
            <w:tcBorders>
              <w:top w:val="double" w:color="auto" w:sz="4" w:space="0"/>
              <w:left w:val="double" w:color="auto" w:sz="4" w:space="0"/>
              <w:bottom w:val="single" w:color="auto" w:sz="6" w:space="0"/>
              <w:right w:val="double" w:color="auto" w:sz="4" w:space="0"/>
            </w:tcBorders>
            <w:vAlign w:val="center"/>
          </w:tcPr>
          <w:p>
            <w:pPr>
              <w:adjustRightInd w:val="0"/>
              <w:snapToGrid w:val="0"/>
              <w:spacing w:line="400" w:lineRule="atLeast"/>
              <w:ind w:left="-88" w:leftChars="-42"/>
              <w:rPr>
                <w:rFonts w:ascii="仿宋" w:hAnsi="Times New Roman" w:eastAsia="仿宋" w:cs="仿宋"/>
                <w:bCs/>
                <w:szCs w:val="21"/>
              </w:rPr>
            </w:pPr>
            <w:r>
              <w:rPr>
                <w:rFonts w:hint="eastAsia" w:ascii="仿宋" w:hAnsi="Times New Roman" w:eastAsia="仿宋" w:cs="仿宋"/>
                <w:b/>
                <w:sz w:val="32"/>
                <w:szCs w:val="32"/>
              </w:rPr>
              <w:t>采购清单</w:t>
            </w:r>
            <w:bookmarkStart w:id="0" w:name="_GoBack"/>
            <w:bookmarkEnd w:id="0"/>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9" w:hRule="atLeast"/>
          <w:jc w:val="center"/>
        </w:trPr>
        <w:tc>
          <w:tcPr>
            <w:tcW w:w="646" w:type="dxa"/>
            <w:tcBorders>
              <w:top w:val="double" w:color="auto" w:sz="4"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仿宋" w:hAnsi="Times New Roman" w:eastAsia="仿宋" w:cs="仿宋"/>
                <w:b/>
                <w:szCs w:val="21"/>
              </w:rPr>
            </w:pPr>
            <w:r>
              <w:rPr>
                <w:rFonts w:hint="eastAsia" w:ascii="仿宋" w:hAnsi="Times New Roman" w:eastAsia="仿宋" w:cs="仿宋"/>
                <w:bCs/>
                <w:szCs w:val="21"/>
              </w:rPr>
              <w:t>序号</w:t>
            </w:r>
          </w:p>
        </w:tc>
        <w:tc>
          <w:tcPr>
            <w:tcW w:w="943" w:type="dxa"/>
            <w:tcBorders>
              <w:top w:val="double" w:color="auto" w:sz="4"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仿宋" w:hAnsi="Times New Roman" w:eastAsia="仿宋" w:cs="仿宋"/>
                <w:b/>
                <w:szCs w:val="21"/>
              </w:rPr>
            </w:pPr>
            <w:r>
              <w:rPr>
                <w:rFonts w:hint="eastAsia" w:ascii="仿宋" w:hAnsi="Times New Roman" w:eastAsia="仿宋" w:cs="仿宋"/>
                <w:bCs/>
                <w:szCs w:val="21"/>
              </w:rPr>
              <w:t>标段号</w:t>
            </w:r>
          </w:p>
        </w:tc>
        <w:tc>
          <w:tcPr>
            <w:tcW w:w="1405" w:type="dxa"/>
            <w:tcBorders>
              <w:top w:val="double" w:color="auto" w:sz="4"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仿宋" w:hAnsi="Times New Roman" w:eastAsia="仿宋" w:cs="仿宋"/>
                <w:b/>
                <w:szCs w:val="21"/>
              </w:rPr>
            </w:pPr>
            <w:r>
              <w:rPr>
                <w:rFonts w:hint="eastAsia" w:ascii="仿宋" w:hAnsi="Times New Roman" w:eastAsia="仿宋" w:cs="仿宋"/>
                <w:bCs/>
                <w:szCs w:val="21"/>
              </w:rPr>
              <w:t>货物名称</w:t>
            </w:r>
          </w:p>
        </w:tc>
        <w:tc>
          <w:tcPr>
            <w:tcW w:w="1980" w:type="dxa"/>
            <w:tcBorders>
              <w:top w:val="double" w:color="auto" w:sz="4"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仿宋" w:hAnsi="Times New Roman" w:eastAsia="仿宋" w:cs="仿宋"/>
                <w:b/>
                <w:szCs w:val="21"/>
              </w:rPr>
            </w:pPr>
            <w:r>
              <w:rPr>
                <w:rFonts w:hint="eastAsia" w:ascii="仿宋" w:hAnsi="Times New Roman" w:eastAsia="仿宋" w:cs="仿宋"/>
                <w:bCs/>
                <w:szCs w:val="21"/>
              </w:rPr>
              <w:t>制造商名称</w:t>
            </w:r>
          </w:p>
        </w:tc>
        <w:tc>
          <w:tcPr>
            <w:tcW w:w="1150" w:type="dxa"/>
            <w:tcBorders>
              <w:top w:val="double" w:color="auto" w:sz="4"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仿宋" w:hAnsi="Times New Roman" w:eastAsia="仿宋" w:cs="仿宋"/>
                <w:b/>
                <w:szCs w:val="21"/>
              </w:rPr>
            </w:pPr>
            <w:r>
              <w:rPr>
                <w:rFonts w:hint="eastAsia" w:ascii="仿宋" w:hAnsi="Times New Roman" w:eastAsia="仿宋" w:cs="仿宋"/>
                <w:bCs/>
                <w:szCs w:val="21"/>
              </w:rPr>
              <w:t>型号规格</w:t>
            </w:r>
          </w:p>
        </w:tc>
        <w:tc>
          <w:tcPr>
            <w:tcW w:w="3100" w:type="dxa"/>
            <w:tcBorders>
              <w:top w:val="double" w:color="auto" w:sz="4"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仿宋" w:hAnsi="Times New Roman" w:eastAsia="仿宋" w:cs="仿宋"/>
                <w:b/>
                <w:szCs w:val="21"/>
              </w:rPr>
            </w:pPr>
            <w:r>
              <w:rPr>
                <w:rFonts w:hint="eastAsia" w:ascii="仿宋" w:hAnsi="Times New Roman" w:eastAsia="仿宋" w:cs="仿宋"/>
                <w:bCs/>
                <w:szCs w:val="21"/>
              </w:rPr>
              <w:t>主要技术参数和技术指标</w:t>
            </w:r>
          </w:p>
        </w:tc>
        <w:tc>
          <w:tcPr>
            <w:tcW w:w="804" w:type="dxa"/>
            <w:tcBorders>
              <w:top w:val="double" w:color="auto" w:sz="4"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仿宋" w:hAnsi="Times New Roman" w:eastAsia="仿宋" w:cs="仿宋"/>
                <w:b/>
                <w:szCs w:val="21"/>
              </w:rPr>
            </w:pPr>
            <w:r>
              <w:rPr>
                <w:rFonts w:ascii="仿宋" w:hAnsi="Times New Roman" w:eastAsia="仿宋" w:cs="仿宋"/>
                <w:bCs/>
                <w:szCs w:val="21"/>
              </w:rPr>
              <w:t>联合体分工</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10028" w:type="dxa"/>
            <w:gridSpan w:val="7"/>
            <w:tcBorders>
              <w:top w:val="single" w:color="auto" w:sz="6" w:space="0"/>
              <w:left w:val="double" w:color="auto" w:sz="4" w:space="0"/>
              <w:bottom w:val="single" w:color="auto" w:sz="6" w:space="0"/>
              <w:right w:val="double" w:color="auto" w:sz="4" w:space="0"/>
            </w:tcBorders>
          </w:tcPr>
          <w:p>
            <w:pPr>
              <w:adjustRightInd w:val="0"/>
              <w:snapToGrid w:val="0"/>
              <w:spacing w:line="400" w:lineRule="atLeast"/>
              <w:ind w:left="-88" w:leftChars="-42"/>
              <w:jc w:val="center"/>
              <w:rPr>
                <w:rFonts w:ascii="仿宋" w:hAnsi="Times New Roman" w:eastAsia="仿宋" w:cs="仿宋"/>
                <w:b/>
                <w:szCs w:val="21"/>
              </w:rPr>
            </w:pPr>
            <w:r>
              <w:rPr>
                <w:rFonts w:hint="eastAsia" w:ascii="仿宋" w:hAnsi="Times New Roman" w:eastAsia="仿宋" w:cs="仿宋"/>
                <w:b/>
                <w:szCs w:val="21"/>
              </w:rPr>
              <w:t>第一部分  协同办公平台三期</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646"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1</w:t>
            </w:r>
          </w:p>
        </w:tc>
        <w:tc>
          <w:tcPr>
            <w:tcW w:w="943"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w:t>
            </w:r>
          </w:p>
        </w:tc>
        <w:tc>
          <w:tcPr>
            <w:tcW w:w="1405"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应用服务器</w:t>
            </w:r>
          </w:p>
        </w:tc>
        <w:tc>
          <w:tcPr>
            <w:tcW w:w="198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color w:val="000000"/>
                <w:szCs w:val="21"/>
              </w:rPr>
            </w:pPr>
            <w:r>
              <w:rPr>
                <w:rFonts w:hint="eastAsia" w:ascii="宋体" w:hAnsi="Times New Roman" w:eastAsia="宋体" w:cs="宋体"/>
                <w:bCs/>
                <w:color w:val="000000"/>
                <w:kern w:val="0"/>
                <w:szCs w:val="21"/>
              </w:rPr>
              <w:t>中国长城科技集团股份有限公司</w:t>
            </w:r>
          </w:p>
        </w:tc>
        <w:tc>
          <w:tcPr>
            <w:tcW w:w="115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color w:val="000000"/>
                <w:szCs w:val="21"/>
              </w:rPr>
            </w:pPr>
            <w:r>
              <w:rPr>
                <w:rFonts w:hint="eastAsia" w:ascii="宋体" w:hAnsi="Times New Roman" w:eastAsia="宋体" w:cs="宋体"/>
                <w:szCs w:val="21"/>
              </w:rPr>
              <w:t>擎天EF860</w:t>
            </w:r>
          </w:p>
        </w:tc>
        <w:tc>
          <w:tcPr>
            <w:tcW w:w="310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cpu：128核(ARM芯片)，飞腾 S2500+/64 处理器（主频 2.1GHz）</w:t>
            </w:r>
          </w:p>
          <w:p>
            <w:pPr>
              <w:rPr>
                <w:rFonts w:ascii="宋体" w:hAnsi="Times New Roman" w:eastAsia="宋体" w:cs="宋体"/>
                <w:szCs w:val="21"/>
              </w:rPr>
            </w:pPr>
            <w:r>
              <w:rPr>
                <w:rFonts w:hint="eastAsia" w:ascii="宋体" w:hAnsi="Times New Roman" w:eastAsia="宋体" w:cs="宋体"/>
                <w:szCs w:val="21"/>
              </w:rPr>
              <w:t>内存：16*32GB DDR4 2666</w:t>
            </w:r>
          </w:p>
          <w:p>
            <w:pPr>
              <w:rPr>
                <w:rFonts w:ascii="宋体" w:hAnsi="Times New Roman" w:eastAsia="宋体" w:cs="宋体"/>
                <w:szCs w:val="21"/>
              </w:rPr>
            </w:pPr>
            <w:r>
              <w:rPr>
                <w:rFonts w:hint="eastAsia" w:ascii="宋体" w:hAnsi="Times New Roman" w:eastAsia="宋体" w:cs="宋体"/>
                <w:szCs w:val="21"/>
              </w:rPr>
              <w:t>硬盘：2*960GB SSD</w:t>
            </w:r>
          </w:p>
          <w:p>
            <w:pPr>
              <w:rPr>
                <w:rFonts w:ascii="宋体" w:hAnsi="Times New Roman" w:eastAsia="宋体" w:cs="宋体"/>
                <w:szCs w:val="21"/>
              </w:rPr>
            </w:pPr>
            <w:r>
              <w:rPr>
                <w:rFonts w:hint="eastAsia" w:ascii="宋体" w:hAnsi="Times New Roman" w:eastAsia="宋体" w:cs="宋体"/>
                <w:szCs w:val="21"/>
              </w:rPr>
              <w:t>raid卡：支持RAID 0/1/10/5/6/50/60,1GB缓存</w:t>
            </w:r>
          </w:p>
          <w:p>
            <w:pPr>
              <w:rPr>
                <w:rFonts w:ascii="宋体" w:hAnsi="Times New Roman" w:eastAsia="宋体" w:cs="宋体"/>
                <w:szCs w:val="21"/>
              </w:rPr>
            </w:pPr>
            <w:r>
              <w:rPr>
                <w:rFonts w:hint="eastAsia" w:ascii="宋体" w:hAnsi="Times New Roman" w:eastAsia="宋体" w:cs="宋体"/>
                <w:szCs w:val="21"/>
              </w:rPr>
              <w:t>网卡：4*千兆网口</w:t>
            </w:r>
          </w:p>
          <w:p>
            <w:pPr>
              <w:rPr>
                <w:rFonts w:ascii="宋体" w:hAnsi="Times New Roman" w:eastAsia="宋体" w:cs="宋体"/>
                <w:szCs w:val="21"/>
              </w:rPr>
            </w:pPr>
            <w:r>
              <w:rPr>
                <w:rFonts w:hint="eastAsia" w:ascii="宋体" w:hAnsi="Times New Roman" w:eastAsia="宋体" w:cs="宋体"/>
                <w:szCs w:val="21"/>
              </w:rPr>
              <w:t>电源：800W CRPS铂金冗余电源</w:t>
            </w:r>
          </w:p>
          <w:p>
            <w:pPr>
              <w:rPr>
                <w:rFonts w:ascii="宋体" w:hAnsi="Times New Roman" w:eastAsia="宋体" w:cs="宋体"/>
                <w:szCs w:val="21"/>
              </w:rPr>
            </w:pPr>
            <w:r>
              <w:rPr>
                <w:rFonts w:hint="eastAsia" w:ascii="宋体" w:hAnsi="Times New Roman" w:eastAsia="宋体" w:cs="宋体"/>
                <w:szCs w:val="21"/>
              </w:rPr>
              <w:t>电源线：国标/弯头/1.5m</w:t>
            </w:r>
          </w:p>
          <w:p>
            <w:pPr>
              <w:rPr>
                <w:rFonts w:ascii="宋体" w:hAnsi="Times New Roman" w:eastAsia="宋体" w:cs="宋体"/>
                <w:szCs w:val="21"/>
              </w:rPr>
            </w:pPr>
            <w:r>
              <w:rPr>
                <w:rFonts w:hint="eastAsia" w:ascii="宋体" w:hAnsi="Times New Roman" w:eastAsia="宋体" w:cs="宋体"/>
                <w:szCs w:val="21"/>
              </w:rPr>
              <w:t>滑轨：2U</w:t>
            </w:r>
          </w:p>
          <w:p>
            <w:pPr>
              <w:rPr>
                <w:rFonts w:ascii="宋体" w:hAnsi="Times New Roman" w:eastAsia="宋体" w:cs="宋体"/>
                <w:szCs w:val="21"/>
              </w:rPr>
            </w:pPr>
            <w:r>
              <w:rPr>
                <w:rFonts w:hint="eastAsia" w:ascii="宋体" w:hAnsi="Times New Roman" w:eastAsia="宋体" w:cs="宋体"/>
                <w:szCs w:val="21"/>
              </w:rPr>
              <w:t>操作系统：麒麟V10 SP3试用版</w:t>
            </w:r>
          </w:p>
          <w:p>
            <w:pPr>
              <w:rPr>
                <w:rFonts w:ascii="宋体" w:hAnsi="Times New Roman" w:eastAsia="宋体" w:cs="宋体"/>
                <w:b/>
                <w:szCs w:val="21"/>
              </w:rPr>
            </w:pPr>
            <w:r>
              <w:rPr>
                <w:rFonts w:hint="eastAsia" w:ascii="宋体" w:hAnsi="Times New Roman" w:eastAsia="宋体" w:cs="宋体"/>
                <w:szCs w:val="21"/>
              </w:rPr>
              <w:t>服务：3年质保服务</w:t>
            </w:r>
          </w:p>
        </w:tc>
        <w:tc>
          <w:tcPr>
            <w:tcW w:w="80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szCs w:val="21"/>
              </w:rPr>
              <w:t>中国软件与技术服务股份有限公司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1" w:hRule="atLeast"/>
          <w:jc w:val="center"/>
        </w:trPr>
        <w:tc>
          <w:tcPr>
            <w:tcW w:w="646"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2</w:t>
            </w:r>
          </w:p>
        </w:tc>
        <w:tc>
          <w:tcPr>
            <w:tcW w:w="943"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w:t>
            </w:r>
          </w:p>
        </w:tc>
        <w:tc>
          <w:tcPr>
            <w:tcW w:w="1405"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数据库服务器</w:t>
            </w:r>
          </w:p>
        </w:tc>
        <w:tc>
          <w:tcPr>
            <w:tcW w:w="198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b/>
                <w:szCs w:val="21"/>
              </w:rPr>
            </w:pPr>
            <w:r>
              <w:rPr>
                <w:rFonts w:hint="eastAsia" w:ascii="宋体" w:hAnsi="Times New Roman" w:eastAsia="宋体" w:cs="宋体"/>
                <w:bCs/>
                <w:color w:val="000000"/>
                <w:kern w:val="0"/>
                <w:szCs w:val="21"/>
              </w:rPr>
              <w:t>中国长城科技集团股份有限公司</w:t>
            </w:r>
          </w:p>
        </w:tc>
        <w:tc>
          <w:tcPr>
            <w:tcW w:w="1150" w:type="dxa"/>
            <w:tcBorders>
              <w:top w:val="single" w:color="auto" w:sz="6" w:space="0"/>
              <w:left w:val="single" w:color="auto" w:sz="6" w:space="0"/>
              <w:bottom w:val="single" w:color="auto" w:sz="6" w:space="0"/>
              <w:right w:val="single" w:color="auto" w:sz="6" w:space="0"/>
            </w:tcBorders>
          </w:tcPr>
          <w:p>
            <w:pPr>
              <w:spacing w:before="29" w:line="230" w:lineRule="auto"/>
              <w:ind w:right="28"/>
              <w:rPr>
                <w:rFonts w:ascii="宋体" w:hAnsi="Times New Roman" w:eastAsia="宋体" w:cs="宋体"/>
                <w:b/>
                <w:szCs w:val="21"/>
              </w:rPr>
            </w:pPr>
            <w:r>
              <w:rPr>
                <w:rFonts w:hint="eastAsia" w:ascii="宋体" w:hAnsi="Times New Roman" w:eastAsia="宋体" w:cs="宋体"/>
                <w:szCs w:val="21"/>
              </w:rPr>
              <w:t>擎天DF729</w:t>
            </w:r>
          </w:p>
        </w:tc>
        <w:tc>
          <w:tcPr>
            <w:tcW w:w="310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cpu：飞腾 FT-2000+/64 处理器（64 核，主频 2.2GHz）</w:t>
            </w:r>
          </w:p>
          <w:p>
            <w:pPr>
              <w:rPr>
                <w:rFonts w:ascii="宋体" w:hAnsi="Times New Roman" w:eastAsia="宋体" w:cs="宋体"/>
                <w:szCs w:val="21"/>
              </w:rPr>
            </w:pPr>
            <w:r>
              <w:rPr>
                <w:rFonts w:hint="eastAsia" w:ascii="宋体" w:hAnsi="Times New Roman" w:eastAsia="宋体" w:cs="宋体"/>
                <w:szCs w:val="21"/>
              </w:rPr>
              <w:t>内存：16*32GB DDR4 2666</w:t>
            </w:r>
          </w:p>
          <w:p>
            <w:pPr>
              <w:rPr>
                <w:rFonts w:ascii="宋体" w:hAnsi="Times New Roman" w:eastAsia="宋体" w:cs="宋体"/>
                <w:szCs w:val="21"/>
              </w:rPr>
            </w:pPr>
            <w:r>
              <w:rPr>
                <w:rFonts w:hint="eastAsia" w:ascii="宋体" w:hAnsi="Times New Roman" w:eastAsia="宋体" w:cs="宋体"/>
                <w:szCs w:val="21"/>
              </w:rPr>
              <w:t>硬盘：2*960GB SSD</w:t>
            </w:r>
          </w:p>
          <w:p>
            <w:pPr>
              <w:rPr>
                <w:rFonts w:ascii="宋体" w:hAnsi="Times New Roman" w:eastAsia="宋体" w:cs="宋体"/>
                <w:szCs w:val="21"/>
              </w:rPr>
            </w:pPr>
            <w:r>
              <w:rPr>
                <w:rFonts w:hint="eastAsia" w:ascii="宋体" w:hAnsi="Times New Roman" w:eastAsia="宋体" w:cs="宋体"/>
                <w:szCs w:val="21"/>
              </w:rPr>
              <w:t>raid卡：支持RAID 0/1/10/5/6/50/60,1GB缓存</w:t>
            </w:r>
          </w:p>
          <w:p>
            <w:pPr>
              <w:rPr>
                <w:rFonts w:ascii="宋体" w:hAnsi="Times New Roman" w:eastAsia="宋体" w:cs="宋体"/>
                <w:szCs w:val="21"/>
              </w:rPr>
            </w:pPr>
            <w:r>
              <w:rPr>
                <w:rFonts w:hint="eastAsia" w:ascii="宋体" w:hAnsi="Times New Roman" w:eastAsia="宋体" w:cs="宋体"/>
                <w:szCs w:val="21"/>
              </w:rPr>
              <w:t>网卡：4*千兆网口</w:t>
            </w:r>
          </w:p>
          <w:p>
            <w:pPr>
              <w:rPr>
                <w:rFonts w:ascii="宋体" w:hAnsi="Times New Roman" w:eastAsia="宋体" w:cs="宋体"/>
                <w:szCs w:val="21"/>
              </w:rPr>
            </w:pPr>
            <w:r>
              <w:rPr>
                <w:rFonts w:hint="eastAsia" w:ascii="宋体" w:hAnsi="Times New Roman" w:eastAsia="宋体" w:cs="宋体"/>
                <w:szCs w:val="21"/>
              </w:rPr>
              <w:t>电源：550W CRPS铂金冗余电源</w:t>
            </w:r>
          </w:p>
          <w:p>
            <w:pPr>
              <w:rPr>
                <w:rFonts w:ascii="宋体" w:hAnsi="Times New Roman" w:eastAsia="宋体" w:cs="宋体"/>
                <w:szCs w:val="21"/>
              </w:rPr>
            </w:pPr>
            <w:r>
              <w:rPr>
                <w:rFonts w:hint="eastAsia" w:ascii="宋体" w:hAnsi="Times New Roman" w:eastAsia="宋体" w:cs="宋体"/>
                <w:szCs w:val="21"/>
              </w:rPr>
              <w:t>电源线：国标/弯头/1.5m</w:t>
            </w:r>
          </w:p>
          <w:p>
            <w:pPr>
              <w:rPr>
                <w:rFonts w:ascii="宋体" w:hAnsi="Times New Roman" w:eastAsia="宋体" w:cs="宋体"/>
                <w:szCs w:val="21"/>
              </w:rPr>
            </w:pPr>
            <w:r>
              <w:rPr>
                <w:rFonts w:hint="eastAsia" w:ascii="宋体" w:hAnsi="Times New Roman" w:eastAsia="宋体" w:cs="宋体"/>
                <w:szCs w:val="21"/>
              </w:rPr>
              <w:t>滑轨：2U</w:t>
            </w:r>
          </w:p>
          <w:p>
            <w:pPr>
              <w:rPr>
                <w:rFonts w:ascii="宋体" w:hAnsi="Times New Roman" w:eastAsia="宋体" w:cs="宋体"/>
                <w:szCs w:val="21"/>
              </w:rPr>
            </w:pPr>
            <w:r>
              <w:rPr>
                <w:rFonts w:hint="eastAsia" w:ascii="宋体" w:hAnsi="Times New Roman" w:eastAsia="宋体" w:cs="宋体"/>
                <w:szCs w:val="21"/>
              </w:rPr>
              <w:t>操作系统：麒麟V10 SP3试用版</w:t>
            </w:r>
          </w:p>
          <w:p>
            <w:pPr>
              <w:rPr>
                <w:rFonts w:ascii="宋体" w:hAnsi="Times New Roman" w:eastAsia="宋体" w:cs="宋体"/>
                <w:b/>
                <w:szCs w:val="21"/>
              </w:rPr>
            </w:pPr>
            <w:r>
              <w:rPr>
                <w:rFonts w:hint="eastAsia" w:ascii="宋体" w:hAnsi="Times New Roman" w:eastAsia="宋体" w:cs="宋体"/>
                <w:szCs w:val="21"/>
              </w:rPr>
              <w:t>服务：3年质保服务</w:t>
            </w:r>
          </w:p>
        </w:tc>
        <w:tc>
          <w:tcPr>
            <w:tcW w:w="80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szCs w:val="21"/>
              </w:rPr>
              <w:t>中国软件与技术服务股份有限公司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646"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3</w:t>
            </w:r>
          </w:p>
        </w:tc>
        <w:tc>
          <w:tcPr>
            <w:tcW w:w="943"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w:t>
            </w:r>
          </w:p>
        </w:tc>
        <w:tc>
          <w:tcPr>
            <w:tcW w:w="1405"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HBA 卡</w:t>
            </w:r>
          </w:p>
        </w:tc>
        <w:tc>
          <w:tcPr>
            <w:tcW w:w="1980"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w:t>
            </w:r>
          </w:p>
        </w:tc>
        <w:tc>
          <w:tcPr>
            <w:tcW w:w="1150"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Cs/>
                <w:color w:val="000000"/>
                <w:kern w:val="0"/>
                <w:szCs w:val="21"/>
              </w:rPr>
              <w:t>Qlogic 2662</w:t>
            </w:r>
          </w:p>
        </w:tc>
        <w:tc>
          <w:tcPr>
            <w:tcW w:w="3100"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rPr>
                <w:rFonts w:ascii="宋体" w:hAnsi="Times New Roman" w:eastAsia="宋体" w:cs="宋体"/>
                <w:b/>
                <w:szCs w:val="21"/>
              </w:rPr>
            </w:pPr>
            <w:r>
              <w:rPr>
                <w:rFonts w:ascii="仿宋" w:hAnsi="Times New Roman" w:eastAsia="仿宋" w:cs="仿宋"/>
                <w:spacing w:val="-4"/>
                <w:sz w:val="20"/>
                <w:szCs w:val="20"/>
              </w:rPr>
              <w:t>1</w:t>
            </w:r>
            <w:r>
              <w:rPr>
                <w:rFonts w:hint="eastAsia" w:ascii="宋体" w:hAnsi="Times New Roman" w:eastAsia="宋体" w:cs="宋体"/>
                <w:szCs w:val="21"/>
              </w:rPr>
              <w:t>6GB 双端口 HBA</w:t>
            </w:r>
          </w:p>
        </w:tc>
        <w:tc>
          <w:tcPr>
            <w:tcW w:w="80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szCs w:val="21"/>
              </w:rPr>
              <w:t>中国软件与技术服务股份有限公司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1" w:hRule="atLeast"/>
          <w:jc w:val="center"/>
        </w:trPr>
        <w:tc>
          <w:tcPr>
            <w:tcW w:w="646"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4</w:t>
            </w:r>
          </w:p>
        </w:tc>
        <w:tc>
          <w:tcPr>
            <w:tcW w:w="943"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w:t>
            </w:r>
          </w:p>
        </w:tc>
        <w:tc>
          <w:tcPr>
            <w:tcW w:w="1405"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机柜</w:t>
            </w:r>
          </w:p>
        </w:tc>
        <w:tc>
          <w:tcPr>
            <w:tcW w:w="1980"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rPr>
                <w:rFonts w:ascii="宋体" w:hAnsi="Times New Roman" w:eastAsia="宋体" w:cs="宋体"/>
                <w:b/>
                <w:sz w:val="20"/>
                <w:szCs w:val="20"/>
              </w:rPr>
            </w:pPr>
            <w:r>
              <w:rPr>
                <w:rFonts w:hint="eastAsia" w:ascii="宋体" w:hAnsi="Times New Roman" w:eastAsia="宋体" w:cs="宋体"/>
                <w:spacing w:val="-5"/>
                <w:sz w:val="20"/>
                <w:szCs w:val="20"/>
              </w:rPr>
              <w:t>政通机房</w:t>
            </w:r>
          </w:p>
        </w:tc>
        <w:tc>
          <w:tcPr>
            <w:tcW w:w="1150" w:type="dxa"/>
            <w:tcBorders>
              <w:top w:val="single" w:color="auto" w:sz="6" w:space="0"/>
              <w:left w:val="single" w:color="auto" w:sz="6" w:space="0"/>
              <w:bottom w:val="single" w:color="auto" w:sz="6" w:space="0"/>
              <w:right w:val="single" w:color="auto" w:sz="6" w:space="0"/>
            </w:tcBorders>
          </w:tcPr>
          <w:p>
            <w:pPr>
              <w:jc w:val="left"/>
              <w:rPr>
                <w:rFonts w:ascii="宋体" w:hAnsi="Times New Roman" w:eastAsia="宋体" w:cs="宋体"/>
                <w:sz w:val="20"/>
                <w:szCs w:val="20"/>
              </w:rPr>
            </w:pPr>
            <w:r>
              <w:rPr>
                <w:rFonts w:hint="eastAsia" w:ascii="宋体" w:hAnsi="Times New Roman" w:eastAsia="宋体" w:cs="宋体"/>
                <w:sz w:val="20"/>
                <w:szCs w:val="20"/>
              </w:rPr>
              <w:t>42U</w:t>
            </w:r>
          </w:p>
        </w:tc>
        <w:tc>
          <w:tcPr>
            <w:tcW w:w="310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 w:val="20"/>
                <w:szCs w:val="20"/>
              </w:rPr>
            </w:pPr>
            <w:r>
              <w:rPr>
                <w:rFonts w:hint="eastAsia" w:ascii="宋体" w:hAnsi="Times New Roman" w:eastAsia="宋体" w:cs="宋体"/>
                <w:sz w:val="20"/>
                <w:szCs w:val="20"/>
              </w:rPr>
              <w:t>在政通机房租赁 1 台 42U 机柜</w:t>
            </w:r>
          </w:p>
        </w:tc>
        <w:tc>
          <w:tcPr>
            <w:tcW w:w="80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szCs w:val="21"/>
              </w:rPr>
              <w:t>中国软件与技术服务股份有限公司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646"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5</w:t>
            </w:r>
          </w:p>
        </w:tc>
        <w:tc>
          <w:tcPr>
            <w:tcW w:w="943"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w:t>
            </w:r>
          </w:p>
        </w:tc>
        <w:tc>
          <w:tcPr>
            <w:tcW w:w="1405"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存储</w:t>
            </w:r>
          </w:p>
        </w:tc>
        <w:tc>
          <w:tcPr>
            <w:tcW w:w="198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color w:val="000000"/>
                <w:sz w:val="20"/>
                <w:szCs w:val="20"/>
              </w:rPr>
            </w:pPr>
            <w:r>
              <w:rPr>
                <w:rFonts w:hint="eastAsia" w:ascii="宋体" w:hAnsi="Times New Roman" w:eastAsia="宋体" w:cs="宋体"/>
                <w:color w:val="000000"/>
                <w:kern w:val="0"/>
                <w:sz w:val="20"/>
                <w:szCs w:val="20"/>
              </w:rPr>
              <w:t>北京同有飞骥科技股份有限公司</w:t>
            </w:r>
          </w:p>
        </w:tc>
        <w:tc>
          <w:tcPr>
            <w:tcW w:w="115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color w:val="000000"/>
                <w:sz w:val="20"/>
                <w:szCs w:val="20"/>
              </w:rPr>
            </w:pPr>
            <w:r>
              <w:rPr>
                <w:rFonts w:hint="eastAsia" w:ascii="宋体" w:hAnsi="Times New Roman" w:eastAsia="宋体" w:cs="宋体"/>
                <w:color w:val="000000"/>
                <w:kern w:val="0"/>
                <w:sz w:val="20"/>
                <w:szCs w:val="20"/>
              </w:rPr>
              <w:t>NetStor ACS5000L</w:t>
            </w:r>
          </w:p>
        </w:tc>
        <w:tc>
          <w:tcPr>
            <w:tcW w:w="310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color w:val="000000"/>
                <w:sz w:val="20"/>
                <w:szCs w:val="20"/>
              </w:rPr>
            </w:pPr>
            <w:r>
              <w:rPr>
                <w:rFonts w:hint="eastAsia" w:ascii="宋体" w:hAnsi="Times New Roman" w:eastAsia="宋体" w:cs="宋体"/>
                <w:color w:val="000000"/>
                <w:kern w:val="0"/>
                <w:sz w:val="20"/>
                <w:szCs w:val="20"/>
              </w:rPr>
              <w:t>集中存储，盘控一体 48 盘位， Active-Active 双控制器架构，标配国产 FT-15000A CPU，16 核处理器，1.5GH 主频，配置名录 内操作系统(提供银河麒麟操作系统内核源码授权); 缓存128GB，配置 BBU+256GB 容量 FLASH 双重缓存保护模块;配置4 个 1Gb ISCSI 主机接口，8 个 16Gb FC 端口，8 个 1Gb NAS端口、4个SAS 3.0的Mini SAS HD扩 展口。配置 2 块 960G 全闪存加速模块，配 置 22 块 10K RPM 1800G 企业级 SAS 硬盘， 20 块 7200RPM 4TB 企业级 NLSAS 硬盘。支持RAID级别 0，1，3，5，6，10，30，50，60 ；支持FC、iSCSI、NFS、CIFS等协议；全中文管理软件，配置冗余热插拨电源和导轨。</w:t>
            </w:r>
          </w:p>
        </w:tc>
        <w:tc>
          <w:tcPr>
            <w:tcW w:w="80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szCs w:val="21"/>
              </w:rPr>
              <w:t>中国软件与技术服务股份有限公司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1" w:hRule="atLeast"/>
          <w:jc w:val="center"/>
        </w:trPr>
        <w:tc>
          <w:tcPr>
            <w:tcW w:w="646"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6</w:t>
            </w:r>
          </w:p>
        </w:tc>
        <w:tc>
          <w:tcPr>
            <w:tcW w:w="943"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w:t>
            </w:r>
          </w:p>
        </w:tc>
        <w:tc>
          <w:tcPr>
            <w:tcW w:w="1405"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交换机</w:t>
            </w:r>
          </w:p>
        </w:tc>
        <w:tc>
          <w:tcPr>
            <w:tcW w:w="198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color w:val="000000"/>
                <w:sz w:val="20"/>
                <w:szCs w:val="20"/>
              </w:rPr>
            </w:pPr>
            <w:r>
              <w:rPr>
                <w:rFonts w:hint="eastAsia" w:ascii="宋体" w:hAnsi="Times New Roman" w:eastAsia="宋体" w:cs="宋体"/>
                <w:color w:val="000000"/>
                <w:kern w:val="0"/>
                <w:sz w:val="20"/>
                <w:szCs w:val="20"/>
              </w:rPr>
              <w:t>迈普通信技术股份有限公司</w:t>
            </w:r>
          </w:p>
        </w:tc>
        <w:tc>
          <w:tcPr>
            <w:tcW w:w="115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color w:val="000000"/>
                <w:sz w:val="20"/>
                <w:szCs w:val="20"/>
              </w:rPr>
            </w:pPr>
            <w:r>
              <w:rPr>
                <w:rFonts w:hint="eastAsia" w:ascii="宋体" w:hAnsi="Times New Roman" w:eastAsia="宋体" w:cs="宋体"/>
                <w:color w:val="000000"/>
                <w:kern w:val="0"/>
                <w:sz w:val="20"/>
                <w:szCs w:val="20"/>
              </w:rPr>
              <w:t>NSS4320-56TXQFP</w:t>
            </w:r>
          </w:p>
        </w:tc>
        <w:tc>
          <w:tcPr>
            <w:tcW w:w="3100" w:type="dxa"/>
            <w:tcBorders>
              <w:top w:val="single" w:color="auto" w:sz="6" w:space="0"/>
              <w:left w:val="single" w:color="auto" w:sz="6" w:space="0"/>
              <w:bottom w:val="single" w:color="auto" w:sz="6" w:space="0"/>
              <w:right w:val="single" w:color="auto" w:sz="6" w:space="0"/>
            </w:tcBorders>
            <w:vAlign w:val="center"/>
          </w:tcPr>
          <w:p>
            <w:pPr>
              <w:widowControl/>
              <w:jc w:val="left"/>
              <w:textAlignment w:val="center"/>
              <w:rPr>
                <w:rFonts w:ascii="宋体" w:hAnsi="Times New Roman" w:eastAsia="宋体" w:cs="宋体"/>
                <w:color w:val="000000"/>
                <w:sz w:val="20"/>
                <w:szCs w:val="20"/>
              </w:rPr>
            </w:pPr>
            <w:r>
              <w:rPr>
                <w:rFonts w:hint="eastAsia" w:ascii="宋体" w:hAnsi="Times New Roman" w:eastAsia="宋体" w:cs="宋体"/>
                <w:color w:val="000000"/>
                <w:kern w:val="0"/>
                <w:sz w:val="20"/>
                <w:szCs w:val="20"/>
              </w:rPr>
              <w:t>自主安全以太网交换机主机，交换容量≥376Gbps;包转发率≥279Mpps、配置48个10/100/1000Base-T电接口、6个SFP+光口(支持千兆、万兆模式)，2个100G(支持40G)接口，配置两个模块化电源。配置 2 个万兆单模光口模块。配置 2 个万兆 多模光口模块。2 个千兆单模光口模块。</w:t>
            </w:r>
          </w:p>
        </w:tc>
        <w:tc>
          <w:tcPr>
            <w:tcW w:w="80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szCs w:val="21"/>
              </w:rPr>
              <w:t>中国软件与技术服务股份有限公司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646"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7</w:t>
            </w:r>
          </w:p>
        </w:tc>
        <w:tc>
          <w:tcPr>
            <w:tcW w:w="943"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w:t>
            </w:r>
          </w:p>
        </w:tc>
        <w:tc>
          <w:tcPr>
            <w:tcW w:w="1405"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服务器操作系统（物理机版）</w:t>
            </w:r>
          </w:p>
        </w:tc>
        <w:tc>
          <w:tcPr>
            <w:tcW w:w="198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b/>
                <w:szCs w:val="21"/>
              </w:rPr>
            </w:pPr>
            <w:r>
              <w:rPr>
                <w:rFonts w:hint="eastAsia" w:ascii="宋体" w:hAnsi="Times New Roman" w:eastAsia="宋体" w:cs="宋体"/>
                <w:color w:val="000000"/>
                <w:kern w:val="0"/>
                <w:sz w:val="20"/>
                <w:szCs w:val="20"/>
              </w:rPr>
              <w:t>麒麟软件有限公司</w:t>
            </w:r>
          </w:p>
        </w:tc>
        <w:tc>
          <w:tcPr>
            <w:tcW w:w="115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b/>
                <w:szCs w:val="21"/>
              </w:rPr>
            </w:pPr>
            <w:r>
              <w:rPr>
                <w:rFonts w:hint="eastAsia" w:ascii="宋体" w:hAnsi="Times New Roman" w:eastAsia="宋体" w:cs="宋体"/>
                <w:color w:val="000000"/>
                <w:kern w:val="0"/>
                <w:sz w:val="20"/>
                <w:szCs w:val="20"/>
              </w:rPr>
              <w:t>银河麒麟高级服务器操作系统V10</w:t>
            </w:r>
          </w:p>
        </w:tc>
        <w:tc>
          <w:tcPr>
            <w:tcW w:w="310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color w:val="000000"/>
                <w:sz w:val="20"/>
                <w:szCs w:val="20"/>
              </w:rPr>
            </w:pPr>
            <w:r>
              <w:rPr>
                <w:rFonts w:hint="eastAsia" w:ascii="宋体" w:hAnsi="Times New Roman" w:eastAsia="宋体" w:cs="宋体"/>
                <w:color w:val="000000"/>
                <w:kern w:val="0"/>
                <w:sz w:val="20"/>
                <w:szCs w:val="20"/>
              </w:rPr>
              <w:t>1、麒麟软件有限公司自主研发的银河麒麟高级服务器操作系统；</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2、支持国产 ARM V8 架构 16 核及以上 CPU，同时支持海光、兆芯、龙芯、申威架构CPU；</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3、支持光盘安装、U盘安装、网络安装等安装方式；</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4、支持最新国家标准字符集；</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5、支持图形化软件包升级工具；</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6、支持主流数据库工具；</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7、支持运维监控管理工具；</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8、支持图形化的 SELinux、防火墙以及 VPN 的配置管理工具。支持常用的系统工具等。</w:t>
            </w:r>
          </w:p>
        </w:tc>
        <w:tc>
          <w:tcPr>
            <w:tcW w:w="80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szCs w:val="21"/>
              </w:rPr>
              <w:t>中国软件与技术服务股份有限公司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646"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8</w:t>
            </w:r>
          </w:p>
        </w:tc>
        <w:tc>
          <w:tcPr>
            <w:tcW w:w="943"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w:t>
            </w:r>
          </w:p>
        </w:tc>
        <w:tc>
          <w:tcPr>
            <w:tcW w:w="1405"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服务器操作系统（虚拟机版）</w:t>
            </w:r>
          </w:p>
        </w:tc>
        <w:tc>
          <w:tcPr>
            <w:tcW w:w="198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b/>
                <w:szCs w:val="21"/>
              </w:rPr>
            </w:pPr>
            <w:r>
              <w:rPr>
                <w:rFonts w:hint="eastAsia" w:ascii="宋体" w:hAnsi="Times New Roman" w:eastAsia="宋体" w:cs="宋体"/>
                <w:color w:val="000000"/>
                <w:kern w:val="0"/>
                <w:sz w:val="20"/>
                <w:szCs w:val="20"/>
              </w:rPr>
              <w:t>麒麟软件有限公司</w:t>
            </w:r>
          </w:p>
        </w:tc>
        <w:tc>
          <w:tcPr>
            <w:tcW w:w="115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b/>
                <w:szCs w:val="21"/>
              </w:rPr>
            </w:pPr>
            <w:r>
              <w:rPr>
                <w:rFonts w:hint="eastAsia" w:ascii="宋体" w:hAnsi="Times New Roman" w:eastAsia="宋体" w:cs="宋体"/>
                <w:color w:val="000000"/>
                <w:kern w:val="0"/>
                <w:sz w:val="20"/>
                <w:szCs w:val="20"/>
              </w:rPr>
              <w:t>银河麒麟高级服务器操作系统V10</w:t>
            </w:r>
          </w:p>
        </w:tc>
        <w:tc>
          <w:tcPr>
            <w:tcW w:w="310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color w:val="000000"/>
                <w:sz w:val="20"/>
                <w:szCs w:val="20"/>
              </w:rPr>
            </w:pPr>
            <w:r>
              <w:rPr>
                <w:rFonts w:hint="eastAsia" w:ascii="宋体" w:hAnsi="Times New Roman" w:eastAsia="宋体" w:cs="宋体"/>
                <w:color w:val="000000"/>
                <w:kern w:val="0"/>
                <w:sz w:val="20"/>
                <w:szCs w:val="20"/>
              </w:rPr>
              <w:t>1、麒麟软件有限公司自主研发的银河麒麟高级服务器操作系统；</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2、支持国产 ARM V8 架构 16 核及以上 CPU，同时支持海光、兆芯、龙芯、申威架构CPU；</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3、支持光盘安装、U盘安装、网络安装等安装方式；</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4、支持最新国家标准字符集；</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5、支持图形化软件包升级工具；</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6、支持主流数据库工具；</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7、支持运维监控管理工具；</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8、支持图形化的 SELinux、防火墙以及 VPN 的配置管理工具。支持常用的系统工具等。</w:t>
            </w:r>
          </w:p>
        </w:tc>
        <w:tc>
          <w:tcPr>
            <w:tcW w:w="80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szCs w:val="21"/>
              </w:rPr>
              <w:t>中国软件与技术服务股份有限公司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646"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9</w:t>
            </w:r>
          </w:p>
        </w:tc>
        <w:tc>
          <w:tcPr>
            <w:tcW w:w="943"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w:t>
            </w:r>
          </w:p>
        </w:tc>
        <w:tc>
          <w:tcPr>
            <w:tcW w:w="1405"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数据库软件</w:t>
            </w:r>
          </w:p>
        </w:tc>
        <w:tc>
          <w:tcPr>
            <w:tcW w:w="198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b/>
                <w:szCs w:val="21"/>
              </w:rPr>
            </w:pPr>
            <w:r>
              <w:rPr>
                <w:rFonts w:hint="eastAsia" w:ascii="宋体" w:hAnsi="Times New Roman" w:eastAsia="宋体" w:cs="宋体"/>
                <w:color w:val="000000"/>
                <w:kern w:val="0"/>
                <w:sz w:val="20"/>
                <w:szCs w:val="20"/>
              </w:rPr>
              <w:t>武汉达梦数据库股份有限公司</w:t>
            </w:r>
          </w:p>
        </w:tc>
        <w:tc>
          <w:tcPr>
            <w:tcW w:w="115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b/>
                <w:szCs w:val="21"/>
              </w:rPr>
            </w:pPr>
            <w:r>
              <w:rPr>
                <w:rFonts w:hint="eastAsia" w:ascii="宋体" w:hAnsi="Times New Roman" w:eastAsia="宋体" w:cs="宋体"/>
                <w:color w:val="000000"/>
                <w:kern w:val="0"/>
                <w:sz w:val="20"/>
                <w:szCs w:val="20"/>
              </w:rPr>
              <w:t>达梦数据库管理系统[简称：DM]V8.1</w:t>
            </w:r>
          </w:p>
        </w:tc>
        <w:tc>
          <w:tcPr>
            <w:tcW w:w="310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color w:val="000000"/>
                <w:sz w:val="20"/>
                <w:szCs w:val="20"/>
              </w:rPr>
            </w:pPr>
            <w:r>
              <w:rPr>
                <w:rFonts w:hint="eastAsia" w:ascii="宋体" w:hAnsi="Times New Roman" w:eastAsia="宋体" w:cs="宋体"/>
                <w:color w:val="000000"/>
                <w:kern w:val="0"/>
                <w:sz w:val="20"/>
                <w:szCs w:val="20"/>
              </w:rPr>
              <w:t xml:space="preserve"> 达梦数据库管理系统[简称：DM]V8.1是达梦公司推出的具有完全自主知识产权、高性能、高安全性的大型通用关系型数据库管理系统，支持基于自主研发统一内核的多集群体系架构，在一套数据库产品内核代码上，包括双机主备集群、共享存储集群、读写分离集群、大规模并行处理集群等多种集群架构；DM V8.1以及所有集群均与国产处理器、操作系统和中间件完成了适配。DM V8.1单机单表可支持不低于140TB数据，支持万亿行数据的批量装载、数据插入、更新、查询、删除等操作。DM V8.1单机支持不低于60000 物理并发连接。</w:t>
            </w:r>
          </w:p>
        </w:tc>
        <w:tc>
          <w:tcPr>
            <w:tcW w:w="80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szCs w:val="21"/>
              </w:rPr>
              <w:t>中国软件与技术服务股份有限公司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646"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10</w:t>
            </w:r>
          </w:p>
        </w:tc>
        <w:tc>
          <w:tcPr>
            <w:tcW w:w="943"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w:t>
            </w:r>
          </w:p>
        </w:tc>
        <w:tc>
          <w:tcPr>
            <w:tcW w:w="1405"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数据库读写分离集群软件</w:t>
            </w:r>
          </w:p>
        </w:tc>
        <w:tc>
          <w:tcPr>
            <w:tcW w:w="198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b/>
                <w:szCs w:val="21"/>
              </w:rPr>
            </w:pPr>
            <w:r>
              <w:rPr>
                <w:rFonts w:hint="eastAsia" w:ascii="宋体" w:hAnsi="Times New Roman" w:eastAsia="宋体" w:cs="宋体"/>
                <w:color w:val="000000"/>
                <w:kern w:val="0"/>
                <w:sz w:val="20"/>
                <w:szCs w:val="20"/>
              </w:rPr>
              <w:t>武汉达梦数据库股份有限公司</w:t>
            </w:r>
          </w:p>
        </w:tc>
        <w:tc>
          <w:tcPr>
            <w:tcW w:w="115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b/>
                <w:szCs w:val="21"/>
              </w:rPr>
            </w:pPr>
            <w:r>
              <w:rPr>
                <w:rFonts w:hint="eastAsia" w:ascii="宋体" w:hAnsi="Times New Roman" w:eastAsia="宋体" w:cs="宋体"/>
                <w:color w:val="000000"/>
                <w:kern w:val="0"/>
                <w:sz w:val="20"/>
                <w:szCs w:val="20"/>
              </w:rPr>
              <w:t>达梦读写分离集群软件[简称：DMRWC]V7.0</w:t>
            </w:r>
          </w:p>
        </w:tc>
        <w:tc>
          <w:tcPr>
            <w:tcW w:w="310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color w:val="000000"/>
                <w:sz w:val="20"/>
                <w:szCs w:val="20"/>
              </w:rPr>
            </w:pPr>
            <w:r>
              <w:rPr>
                <w:rFonts w:hint="eastAsia" w:ascii="宋体" w:hAnsi="Times New Roman" w:eastAsia="宋体" w:cs="宋体"/>
                <w:color w:val="000000"/>
                <w:kern w:val="0"/>
                <w:sz w:val="20"/>
                <w:szCs w:val="20"/>
              </w:rPr>
              <w:t>达梦读写分离集群软件[简称：DMRWC]V7.0 是达梦公司提供的数据库层面的高可用软件，DMRWC和达梦数据库管理系统DM V8.1产品一样，都是由达梦数据库股份有限公司提供的数据库产品，符合信创适配要求，可以部署在国产信创服务器上，用于提升数据库管理系统并发事务处理性能的集群软件。</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DMRWC V7.0创新地实现了事务级别的读、写操作分离执行的技术方案。若事务全为读操作，则全部在备机上执行；若事务全为写操作，则全部在主机上执行；若事务既有读又有写，备机会将写操作返回给主机执行，该事务中从写操作开始以后所有操作均在主机上执行，保证事务一致性。在一个高并发的事务型系统中，当写事务占的比例相对读事务较小时，可通过客户端来实现读、写事务的自动分离，读事务在备机执行，写事务在主机执行，减轻主机的负载。同时用户可通过驱动程序的连接属性来指定主机分配事务数的比例，以更好的适应应用场景需求。</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DMRWC V7.0支持一主多备，通过增加备机节点资源，可以提高系统的并发能力，增强系统的性能；达梦读写分离集群DMRWC V7.0具有高可用性和高可靠性，可以保证数据的零丢失；可以在硬件故障（如磁盘损坏）、自然灾害（地震、火灾）等极端情况下，避免数据损坏、丢失，保障数据安全，快速恢复数据库服务，满足用户不间断提供数据库服务的要求。DMRWC V7.0支持主机故障后，秒级的故障快速切换到备机，备机自动接管，且数据与原主库数据一致；支持应用透明故障切换，可以使用户感受不到失败；故障节点恢复后，DMRWC支持通过守护进程将故障节点重新启动自动加入集群，且历史数据自动同步；</w:t>
            </w:r>
          </w:p>
        </w:tc>
        <w:tc>
          <w:tcPr>
            <w:tcW w:w="80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szCs w:val="21"/>
              </w:rPr>
              <w:t>中国软件与技术服务股份有限公司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646"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11</w:t>
            </w:r>
          </w:p>
        </w:tc>
        <w:tc>
          <w:tcPr>
            <w:tcW w:w="943"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w:t>
            </w:r>
          </w:p>
        </w:tc>
        <w:tc>
          <w:tcPr>
            <w:tcW w:w="1405"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中间件（虚拟化版）（扩容）</w:t>
            </w:r>
          </w:p>
        </w:tc>
        <w:tc>
          <w:tcPr>
            <w:tcW w:w="198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b/>
                <w:szCs w:val="21"/>
              </w:rPr>
            </w:pPr>
            <w:r>
              <w:rPr>
                <w:rFonts w:hint="eastAsia" w:ascii="宋体" w:hAnsi="Times New Roman" w:eastAsia="宋体" w:cs="宋体"/>
                <w:color w:val="000000"/>
                <w:kern w:val="0"/>
                <w:sz w:val="20"/>
                <w:szCs w:val="20"/>
              </w:rPr>
              <w:t xml:space="preserve">深圳市金蝶天燕云计算股份有限公司 </w:t>
            </w:r>
          </w:p>
        </w:tc>
        <w:tc>
          <w:tcPr>
            <w:tcW w:w="115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b/>
                <w:szCs w:val="21"/>
              </w:rPr>
            </w:pPr>
            <w:r>
              <w:rPr>
                <w:rFonts w:hint="eastAsia" w:ascii="宋体" w:hAnsi="Times New Roman" w:eastAsia="宋体" w:cs="宋体"/>
                <w:color w:val="000000"/>
                <w:kern w:val="0"/>
                <w:sz w:val="20"/>
                <w:szCs w:val="20"/>
              </w:rPr>
              <w:t>金蝶apusic应用服务器软件 V10.0/容器化版</w:t>
            </w:r>
          </w:p>
        </w:tc>
        <w:tc>
          <w:tcPr>
            <w:tcW w:w="310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color w:val="000000"/>
                <w:sz w:val="20"/>
                <w:szCs w:val="20"/>
              </w:rPr>
            </w:pPr>
            <w:r>
              <w:rPr>
                <w:rFonts w:hint="eastAsia" w:ascii="宋体" w:hAnsi="Times New Roman" w:eastAsia="宋体" w:cs="宋体"/>
                <w:color w:val="000000"/>
                <w:kern w:val="0"/>
                <w:sz w:val="20"/>
                <w:szCs w:val="20"/>
              </w:rPr>
              <w:t>金蝶apusic应用服务器软件支持国产操作系统及各种主流操作系统(Windows、Linux 等); 支持国产数据库及市场主流数据库系统;支持多种开放性标准(如 XML、 Web Services、EJB、JMS、JTS)，支持 JDK1.5(32/64 位)、JDK6(32/64 位);支持基于国密证书进行安全通讯。支持云化的服务支持，实现动态服务器构建的云化管理。</w:t>
            </w:r>
          </w:p>
        </w:tc>
        <w:tc>
          <w:tcPr>
            <w:tcW w:w="80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szCs w:val="21"/>
              </w:rPr>
              <w:t>中国软件与技术服务股份有限公司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646"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12</w:t>
            </w:r>
          </w:p>
        </w:tc>
        <w:tc>
          <w:tcPr>
            <w:tcW w:w="943"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w:t>
            </w:r>
          </w:p>
        </w:tc>
        <w:tc>
          <w:tcPr>
            <w:tcW w:w="1405"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云平台节点授权</w:t>
            </w:r>
          </w:p>
        </w:tc>
        <w:tc>
          <w:tcPr>
            <w:tcW w:w="198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b/>
                <w:szCs w:val="21"/>
              </w:rPr>
            </w:pPr>
            <w:r>
              <w:rPr>
                <w:rFonts w:hint="eastAsia" w:ascii="宋体" w:hAnsi="Times New Roman" w:eastAsia="宋体" w:cs="宋体"/>
                <w:color w:val="000000"/>
                <w:kern w:val="0"/>
                <w:sz w:val="20"/>
                <w:szCs w:val="20"/>
              </w:rPr>
              <w:t>麒麟软件有限公司</w:t>
            </w:r>
          </w:p>
        </w:tc>
        <w:tc>
          <w:tcPr>
            <w:tcW w:w="115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b/>
                <w:szCs w:val="21"/>
              </w:rPr>
            </w:pPr>
            <w:r>
              <w:rPr>
                <w:rFonts w:hint="eastAsia" w:ascii="宋体" w:hAnsi="Times New Roman" w:eastAsia="宋体" w:cs="宋体"/>
                <w:color w:val="000000"/>
                <w:kern w:val="0"/>
                <w:sz w:val="20"/>
                <w:szCs w:val="20"/>
              </w:rPr>
              <w:t>银河麒麟云平台软件V5.0</w:t>
            </w:r>
          </w:p>
        </w:tc>
        <w:tc>
          <w:tcPr>
            <w:tcW w:w="310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color w:val="000000"/>
                <w:sz w:val="20"/>
                <w:szCs w:val="20"/>
              </w:rPr>
            </w:pPr>
            <w:r>
              <w:rPr>
                <w:rFonts w:hint="eastAsia" w:ascii="宋体" w:hAnsi="Times New Roman" w:eastAsia="宋体" w:cs="宋体"/>
                <w:color w:val="000000"/>
                <w:kern w:val="0"/>
                <w:sz w:val="20"/>
                <w:szCs w:val="20"/>
              </w:rPr>
              <w:t>银河麒麟云平台支持资源的统一纳管和资源自动调度下发，根据节点进行授权使用。</w:t>
            </w:r>
          </w:p>
        </w:tc>
        <w:tc>
          <w:tcPr>
            <w:tcW w:w="80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szCs w:val="21"/>
              </w:rPr>
              <w:t>中国软件与技术服务股份有限公司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646"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13</w:t>
            </w:r>
          </w:p>
        </w:tc>
        <w:tc>
          <w:tcPr>
            <w:tcW w:w="943"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w:t>
            </w:r>
          </w:p>
        </w:tc>
        <w:tc>
          <w:tcPr>
            <w:tcW w:w="1405"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spacing w:val="-1"/>
                <w:szCs w:val="21"/>
              </w:rPr>
              <w:t>文件在线阅览系统</w:t>
            </w:r>
          </w:p>
        </w:tc>
        <w:tc>
          <w:tcPr>
            <w:tcW w:w="198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b/>
                <w:szCs w:val="21"/>
              </w:rPr>
            </w:pPr>
            <w:r>
              <w:rPr>
                <w:rFonts w:hint="eastAsia" w:ascii="宋体" w:hAnsi="Times New Roman" w:eastAsia="宋体" w:cs="宋体"/>
                <w:color w:val="000000"/>
                <w:kern w:val="0"/>
                <w:sz w:val="20"/>
                <w:szCs w:val="20"/>
              </w:rPr>
              <w:t>北京数科网维技术有限责任公司</w:t>
            </w:r>
          </w:p>
        </w:tc>
        <w:tc>
          <w:tcPr>
            <w:tcW w:w="115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b/>
                <w:szCs w:val="21"/>
              </w:rPr>
            </w:pPr>
            <w:r>
              <w:rPr>
                <w:rFonts w:hint="eastAsia" w:ascii="宋体" w:hAnsi="Times New Roman" w:eastAsia="宋体" w:cs="宋体"/>
                <w:color w:val="000000"/>
                <w:kern w:val="0"/>
                <w:sz w:val="20"/>
                <w:szCs w:val="20"/>
              </w:rPr>
              <w:t>数科文档网页轻阅读系统V3.0</w:t>
            </w:r>
          </w:p>
        </w:tc>
        <w:tc>
          <w:tcPr>
            <w:tcW w:w="310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color w:val="000000"/>
                <w:sz w:val="20"/>
                <w:szCs w:val="20"/>
              </w:rPr>
            </w:pPr>
            <w:r>
              <w:rPr>
                <w:rFonts w:hint="eastAsia" w:ascii="宋体" w:hAnsi="Times New Roman" w:eastAsia="宋体" w:cs="宋体"/>
                <w:color w:val="000000"/>
                <w:kern w:val="0"/>
                <w:sz w:val="20"/>
                <w:szCs w:val="20"/>
              </w:rPr>
              <w:t>1. 基本功能</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支持国产化操作系统及国产 CPU 芯片，通过 OFD 标准符合性测试，提供多 种格式文件无插件预览并与第三方应用系统集成的能力。</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2. 主要性能参数:</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(1) 基本要求:通过 OFD 标准符合性测试。</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(2) 可支持预览格式:ofd、pdf、ceb、sep、gd、gw、s2、s72、s92、s10、 nps、xps 等版式文件格式;sfd 安全文件格式;Office、WPS 等流式文件 格式;jpeg、jpg、png、gif、bmp、tif、tiff 等图片文件格式;psd、 ai、cdr、dwg、dwt、dxf 图像文件格式;rar、zip 压缩包;可以打开、 下载 OFD 文件中包含的附件。</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(3) 无插件阅读:应提供 OFD 版式文件跨平台、跨浏览器的无插件阅读功 能。应提供翻页、缩放、跳转、全文检索、导览等基本功能。支持阅读水 印、打印水印分别控制。</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(4) 按需推送:应实现文档内容按需推送功能，以提升阅读效果。</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(5) 文档编辑:可向文档页面中添加图文注释，提供替换、删除、插入等 修订功能;支持手写批注，支持对字体颜色和线条粗细进行选择配置，提 供橡皮擦功能。</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(6) 应用集成:应提供应用集成接口，实现与长沙市协同办公平台业务系 统的无缝对接。</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(7) 性能指标:文档首页加载和呈现时间小于 2 秒。单服务器部署时，支 持 2000 用户在线，200 以上并发。</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(8) 升级服务:所有产品均提供一年免费升级服务。</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3. 基础平台:支持信创和 X86 操作平台</w:t>
            </w:r>
          </w:p>
        </w:tc>
        <w:tc>
          <w:tcPr>
            <w:tcW w:w="80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szCs w:val="21"/>
              </w:rPr>
              <w:t>中国软件与技术服务股份有限公司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646"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14</w:t>
            </w:r>
          </w:p>
        </w:tc>
        <w:tc>
          <w:tcPr>
            <w:tcW w:w="943"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w:t>
            </w:r>
          </w:p>
        </w:tc>
        <w:tc>
          <w:tcPr>
            <w:tcW w:w="1405"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公文在线转版系统</w:t>
            </w:r>
          </w:p>
        </w:tc>
        <w:tc>
          <w:tcPr>
            <w:tcW w:w="198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b/>
                <w:szCs w:val="21"/>
              </w:rPr>
            </w:pPr>
            <w:r>
              <w:rPr>
                <w:rFonts w:hint="eastAsia" w:ascii="宋体" w:hAnsi="Times New Roman" w:eastAsia="宋体" w:cs="宋体"/>
                <w:color w:val="000000"/>
                <w:kern w:val="0"/>
                <w:sz w:val="20"/>
                <w:szCs w:val="20"/>
              </w:rPr>
              <w:t>北京数科网维技术有限责任公司</w:t>
            </w:r>
          </w:p>
        </w:tc>
        <w:tc>
          <w:tcPr>
            <w:tcW w:w="115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b/>
                <w:szCs w:val="21"/>
              </w:rPr>
            </w:pPr>
            <w:r>
              <w:rPr>
                <w:rFonts w:hint="eastAsia" w:ascii="宋体" w:hAnsi="Times New Roman" w:eastAsia="宋体" w:cs="宋体"/>
                <w:color w:val="000000"/>
                <w:kern w:val="0"/>
                <w:sz w:val="20"/>
                <w:szCs w:val="20"/>
              </w:rPr>
              <w:t>数科文件转换迁移系统V3.0</w:t>
            </w:r>
          </w:p>
        </w:tc>
        <w:tc>
          <w:tcPr>
            <w:tcW w:w="310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color w:val="000000"/>
                <w:sz w:val="20"/>
                <w:szCs w:val="20"/>
              </w:rPr>
            </w:pPr>
            <w:r>
              <w:rPr>
                <w:rFonts w:hint="eastAsia" w:ascii="宋体" w:hAnsi="Times New Roman" w:eastAsia="宋体" w:cs="宋体"/>
                <w:color w:val="000000"/>
                <w:kern w:val="0"/>
                <w:sz w:val="20"/>
                <w:szCs w:val="20"/>
              </w:rPr>
              <w:t>1. 基本功能</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支持国产化操作系统及国产 CPU 芯片，通过 OFD 标准符合性测试;提供多种 格式文件集中批量转换成 OFD 格式并与第三方应用系统集成的能力。</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2. 主要性能参数:</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(1) 安全可靠:支持安全可靠的操作系统、电子签章及国产 CPU 芯片，能 在安全可靠环境下高效流畅运行。</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(2) 基本功能:应提供文件集中转换和迁移功能，支持将 TXT、RTF、WPS、 DPS、UOS、UOP、PDF、DOC/DOCX、XLS/XLSX、PPT/PPTX、HTML、JSP、XLSM、 XLSM、DWG、CEB/CEBX、各类图片等多种格式文档转换为 OFD 格式;应提 供规则化数据套用模板生成 OFD 文件功能，支撑模式化电子文件的生成。 (3) 文件加工:支持对 OFD 文件添加、修改和删除文件标识、元数据、附 件、水印、背景、页面、二维条码等加工处理，提供文档组合拆分、电子 签章处理、加密封装、数字签名等技术机制，支持流式定位版式盖章功能; 附件合并转版时自动处理页码。</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(4) 服务接口:系统以服务的方式部署在服务端，支持以 C++、Java API、 Web Service、Http 等多种技术形态的功能调用。</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(5) 集群部署:支持集群式部署，转换节点宕机时转换服务不停止。</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(6) 系统管理:提供转换任务管理机制，图形化转换监控、转换日志、统 计分析等功能。</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(7) 性能指标:单服务器节点流式文档转换速度应大于 50 页/秒。</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(8) 应用集成:应提供应用集成接口，实现与长沙市协同办公平台业务系 统的无缝对接。</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(9) 升级服务:所有产品均提供一年免费升级服务。</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3. 基础平台:支持信创和 X86 操作平台。</w:t>
            </w:r>
          </w:p>
        </w:tc>
        <w:tc>
          <w:tcPr>
            <w:tcW w:w="80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szCs w:val="21"/>
              </w:rPr>
              <w:t>中国软件与技术服务股份有限公司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646"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15</w:t>
            </w:r>
          </w:p>
        </w:tc>
        <w:tc>
          <w:tcPr>
            <w:tcW w:w="943"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w:t>
            </w:r>
          </w:p>
        </w:tc>
        <w:tc>
          <w:tcPr>
            <w:tcW w:w="1405"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移动办公支撑系统</w:t>
            </w:r>
          </w:p>
        </w:tc>
        <w:tc>
          <w:tcPr>
            <w:tcW w:w="198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b/>
                <w:szCs w:val="21"/>
              </w:rPr>
            </w:pPr>
            <w:r>
              <w:rPr>
                <w:rFonts w:hint="eastAsia" w:ascii="宋体" w:hAnsi="Times New Roman" w:eastAsia="宋体" w:cs="宋体"/>
                <w:color w:val="000000"/>
                <w:kern w:val="0"/>
                <w:sz w:val="20"/>
                <w:szCs w:val="20"/>
              </w:rPr>
              <w:t>珠海金山办公软件有限公司</w:t>
            </w:r>
          </w:p>
        </w:tc>
        <w:tc>
          <w:tcPr>
            <w:tcW w:w="115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b/>
                <w:szCs w:val="21"/>
              </w:rPr>
            </w:pPr>
            <w:r>
              <w:rPr>
                <w:rFonts w:hint="eastAsia" w:ascii="宋体" w:hAnsi="Helvetica" w:eastAsia="宋体" w:cs="宋体"/>
                <w:color w:val="333333"/>
                <w:szCs w:val="21"/>
                <w:u w:val="none"/>
              </w:rPr>
              <w:t>WPS Office移动增强版办公软件V13</w:t>
            </w:r>
          </w:p>
        </w:tc>
        <w:tc>
          <w:tcPr>
            <w:tcW w:w="310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color w:val="000000"/>
                <w:sz w:val="20"/>
                <w:szCs w:val="20"/>
              </w:rPr>
            </w:pPr>
            <w:r>
              <w:rPr>
                <w:rFonts w:hint="eastAsia" w:ascii="宋体" w:hAnsi="Times New Roman" w:eastAsia="宋体" w:cs="宋体"/>
                <w:color w:val="000000"/>
                <w:kern w:val="0"/>
                <w:sz w:val="20"/>
                <w:szCs w:val="20"/>
              </w:rPr>
              <w:t>1.基本功能</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(1) 支持平台:支持安卓和 iOS 两个主流的移动操作平台。</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(2) 多端协同:支持与 PC 端办公软件进行文件移动快传，支持多种常见 云端存储，支持文档漫游功能和演示文档共享播放播放功能。</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(3) 文件编辑:支持安卓和 iOS 平台 APP 直接编辑工作文件，支持电子公 文系统流转的 wps、doc、et、dps 等常用公文格式。支持对文档进行查找 替换、字数统计、拼写检查等操作。阅读模式和编辑模式可随时切换，提 供夜间模式，编辑功能下提供格式面板，多种格式可同时设置。编辑模式 下支持文档编辑，文字、段落、对象属性设置，插入图片等功能，阅读模 式下支持文档页面放大、缩小，调节屏幕亮度，增减字号等功能。支持批 注、公式、水印、OLE 对象的显示，并且可以将移动编辑的内容存回服务 器。</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(4) 批注修订:支持手写批注与修订功能。根据不同需求，支持拟稿人， 核稿人，排版人员等对文件有修改权限，使用人随时随地开启修订保护。 (5) 接口调用:安卓和 iOS 平台 APP 均要求能面向第三方 App 整合调用提 供 API 接口。API 支持的功能要能满足文档打开、关闭、保存、修订、用 户名修改、书签调用、手写批注、插入图片、字体调整、表格操作、文档 加解密保护接口等。保存和打开文件均要求支持 WebDAV、FTP 协议;</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(6) 应用集成:支持与长沙市协同办公平台公文处理延伸，支持将在电脑 端对 Office 的公文相关处理无缝延伸到移动办公端，两端的数据保持实 时同步。支持移动公文全真阅读显示;支持移动端公文修订审阅方式显示; 支持移动端公文套红头操作;支持移动端公文用户锁定;支持移动端公文 电子签章处理;支持移动端公文手写签批处理。</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2. 主要性能参数:</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(1) 文字处理性能</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支持打开 100M 以上的文档。支持手写批注、以及修订功能;支持字号、 字体加粗、倾斜、下划线、删除线、颜色字体、对齐方式、高亮显示、行 距、字体样式、项目符号、编号、智能排版、上下标、小型大写字母、全 部大写、查找、缩放、全屏等; 支持段落布局功能，支持段落缩进设置，并提供五种段落缩进效果设置。 段前后距离设置标尺显示。</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(2) 表格处理性能:支持打开 200M 以上的大文档。支持单元格的复制、 剪切以及粘贴功能;支持背板显示计数、求和、平均数、最大值、最小值 等快速计算结果;支持智能识别电话号码及邮箱地址;支持文档打印并支 持输出为 PDF 格式。</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(3) 演示处理性能:兼容 PC 端缩略图显示模式;支持全屏播放,并可按要 求设定换页动画效果。兼容显示 SmartArt 对象;支持录制幻灯片演讲过 程，支持插入图片、文本框、图表、形状、备注、幻灯片、表格、图表、 背景音乐、音频、视频等功能;支持 PPT 提取、PPT 合并、文档瘦身、加 密文档等文档二次操作等。</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(4) PDF 处理性能:支持 PDF 阅读记忆功能;支持 PDF 标注、插入文字、 添加水印、文档瘦身、页面调整、PDF 提取、PDF 合并、PDF 签名等编辑 功能。支持 PDF 播放。</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(5) 运行性能:启动打开文档-Android 版:文字打开效率，小于 0.6 秒 (样张大小 28kb~500kb);启动打开文档-iOS 版:文字打开效率，小于 0.9 秒。</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(6) 二次开发能力:提供接口，方便操作文档，如打开文件、开启修订、 获取书签批注等 283 个接口。</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(7) 升级服务:所有产品均提供一年免费升级服务。</w:t>
            </w:r>
          </w:p>
        </w:tc>
        <w:tc>
          <w:tcPr>
            <w:tcW w:w="80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szCs w:val="21"/>
              </w:rPr>
              <w:t>中国软件与技术服务股份有限公司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646"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16</w:t>
            </w:r>
          </w:p>
        </w:tc>
        <w:tc>
          <w:tcPr>
            <w:tcW w:w="943"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w:t>
            </w:r>
          </w:p>
        </w:tc>
        <w:tc>
          <w:tcPr>
            <w:tcW w:w="1405"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PC 办公支撑系统</w:t>
            </w:r>
          </w:p>
        </w:tc>
        <w:tc>
          <w:tcPr>
            <w:tcW w:w="198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b/>
                <w:szCs w:val="21"/>
              </w:rPr>
            </w:pPr>
            <w:r>
              <w:rPr>
                <w:rFonts w:hint="eastAsia" w:ascii="宋体" w:hAnsi="Times New Roman" w:eastAsia="宋体" w:cs="宋体"/>
                <w:color w:val="000000"/>
                <w:kern w:val="0"/>
                <w:sz w:val="20"/>
                <w:szCs w:val="20"/>
              </w:rPr>
              <w:t>北京金山办公软件股份有限公司</w:t>
            </w:r>
          </w:p>
        </w:tc>
        <w:tc>
          <w:tcPr>
            <w:tcW w:w="115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b/>
                <w:szCs w:val="21"/>
              </w:rPr>
            </w:pPr>
            <w:r>
              <w:rPr>
                <w:rFonts w:hint="eastAsia" w:ascii="宋体" w:hAnsi="Times New Roman" w:eastAsia="宋体" w:cs="宋体"/>
                <w:color w:val="000000"/>
                <w:kern w:val="0"/>
                <w:sz w:val="20"/>
                <w:szCs w:val="20"/>
              </w:rPr>
              <w:t>WPS文档中台系统V7</w:t>
            </w:r>
          </w:p>
        </w:tc>
        <w:tc>
          <w:tcPr>
            <w:tcW w:w="310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color w:val="000000"/>
                <w:sz w:val="20"/>
                <w:szCs w:val="20"/>
              </w:rPr>
            </w:pPr>
            <w:r>
              <w:rPr>
                <w:rFonts w:hint="eastAsia" w:ascii="宋体" w:hAnsi="Times New Roman" w:eastAsia="宋体" w:cs="宋体"/>
                <w:color w:val="000000"/>
                <w:kern w:val="0"/>
                <w:sz w:val="20"/>
                <w:szCs w:val="20"/>
              </w:rPr>
              <w:t>1. 基本功能 根据长沙市协同办公平台当前业务现状，提供公文在线起草、核稿、智能 排版的平台，平台将包括如下几个重点组成:1、与业务系统集成对接实 现在线 WPS OFFICE 编辑能力，减低业务系统对于浏览器控件的依赖;2、 提供系统部署以及与业务系统的集成开发对接。</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2. 主要性能参数</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(1) 支持平台:支持国产化操作系统及国产 CPU 芯片。</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(2) 无插件编辑:在线编辑服务为长沙市协同办公平台提供高效的文档处 理方式，集成 office 客户端的主要功能，以 web 页面的方式进行功能和 文档内容的呈现，业务系统可以将此能力嵌入到任何对文档进行在线编辑 或协同编辑的场景中。提供电脑可随时随地的在线编辑文档的能力，支持 由业务系统自定义编辑权限、版本管理、文档水印。</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(3) 公文起草:支持在线拟稿，整个公文处理过程不需要安装任何插件， 支持多书签套用支持结构化字段一键替换;支持在正文中添加文字或图片 水印，支持将图片进行翻转、旋转、水印、缩放等功能。</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(4) 公文核稿:支持在线编辑支持核稿修订留痕;支持对领导签发后的文 件进行一键清稿操作，支持对批注、修订痕迹、墨迹等按需保留或删除的 功能。</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(5) 公文排版∶支持多书签套用实现公文套红，支持智能排版，满足国标 要求提供智能公文接口，根据国标要求，自动套用字体、学号、边距设定， 一键自动排版，高效准确。</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(6) 智能公文:提供相应的调用接口或服务，支持在服务端实现将元数据 自动填充到指定流式文件模板的公文域中，并基于模板生成含完整元数据 的流式文件，以上功能支持批量操作。支持将 WPS Office 对公文格式的 高效处理能力进行服务化，为各办公系统提供能力，智能公文支持文件格 式:"WPT","WPS","DOCX"。</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(7) 书签替换:支持将正文内容按照书签位置添加到模板文件中 ，可用 于插入红头(图片)、填充具体文字、或将某个文档的内容填充到具体章 节，支持格式(模板文件):DOC、DOT、WPS、WPT、DOCX、DOTX、DOCM、 DOTM、RTF、MHT、MHTML、TXT、HTM、HTML、XML、WORDXML、UOF、UOT， EMF、WMF、JPG、JPEG、JPE、PNG、BMP、GIF、TIF、TIFF、WDP、SVG、CGM。 (8) 文档合并与拆分:支持同类型文档合并，合并后文档格式默认以第一 个文件格式为准;文档拆分支持的文件格式: DOC、DOCX、WPS、PPT、PPTX、 XLS、XLSX、PDF。</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(9) 在线协同编辑:实现将文档编辑能力嵌入到任何对文档进行在线编辑 或协同编辑的场景中，无需任何插件。</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(10) 接口调用:通过长沙市协同办公平台应用提供获取文件的接口，以 及文件相关的信息，通过在线处理服务打开在线文件，可实现版本管理， 文件编辑权限管控、历史版本预览、打开(或模板)文件等。</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(11) 多端同步:使用线编辑能力时实现多端同步，当文档发生对应场景 的变化时将通知到第三方应用。相关应用可通过回调推送的数据，完成文 件的历史版本管理、用户在线情况统计等。</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(12) 升级服务:所有产品均提供一年免费升级服务。</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3. 基础平台:支持信创和 X86 操作平台</w:t>
            </w:r>
          </w:p>
        </w:tc>
        <w:tc>
          <w:tcPr>
            <w:tcW w:w="80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szCs w:val="21"/>
              </w:rPr>
              <w:t>中国软件与技术服务股份有限公司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646"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17</w:t>
            </w:r>
          </w:p>
        </w:tc>
        <w:tc>
          <w:tcPr>
            <w:tcW w:w="943"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w:t>
            </w:r>
          </w:p>
        </w:tc>
        <w:tc>
          <w:tcPr>
            <w:tcW w:w="1405"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数据四性检测</w:t>
            </w:r>
          </w:p>
        </w:tc>
        <w:tc>
          <w:tcPr>
            <w:tcW w:w="198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b/>
                <w:szCs w:val="21"/>
              </w:rPr>
            </w:pPr>
            <w:r>
              <w:rPr>
                <w:rFonts w:hint="eastAsia" w:ascii="宋体" w:hAnsi="Times New Roman" w:eastAsia="宋体" w:cs="宋体"/>
                <w:color w:val="000000"/>
                <w:kern w:val="0"/>
                <w:sz w:val="20"/>
                <w:szCs w:val="20"/>
              </w:rPr>
              <w:t>上海泰宇信息技术股份有限公司</w:t>
            </w:r>
          </w:p>
        </w:tc>
        <w:tc>
          <w:tcPr>
            <w:tcW w:w="115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b/>
                <w:szCs w:val="21"/>
              </w:rPr>
            </w:pPr>
            <w:r>
              <w:rPr>
                <w:rFonts w:hint="eastAsia" w:ascii="宋体" w:hAnsi="Times New Roman" w:eastAsia="宋体" w:cs="宋体"/>
                <w:color w:val="000000"/>
                <w:kern w:val="0"/>
                <w:sz w:val="20"/>
                <w:szCs w:val="20"/>
              </w:rPr>
              <w:t>TY—SXJC—WS</w:t>
            </w:r>
          </w:p>
        </w:tc>
        <w:tc>
          <w:tcPr>
            <w:tcW w:w="310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color w:val="000000"/>
                <w:sz w:val="20"/>
                <w:szCs w:val="20"/>
              </w:rPr>
            </w:pPr>
            <w:r>
              <w:rPr>
                <w:rFonts w:hint="eastAsia" w:ascii="宋体" w:hAnsi="Times New Roman" w:eastAsia="宋体" w:cs="宋体"/>
                <w:color w:val="000000"/>
                <w:kern w:val="0"/>
                <w:sz w:val="20"/>
                <w:szCs w:val="20"/>
              </w:rPr>
              <w:t>按照 DA/T 70-2018 的要求以及档案部门的接收要求，对电子公文的真实 性、完整性、可用性和安全性等方面进行检测，检测合格后方可提交归档。 支持对电子档案真实性、完整性、可用性、安全性四个方面检测。 具体功能:导入导出、预检、一键检测、检测进度、检测报告、规则查看、 错误代码库、检测条目明细记录、检测环节配置</w:t>
            </w:r>
          </w:p>
        </w:tc>
        <w:tc>
          <w:tcPr>
            <w:tcW w:w="80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szCs w:val="21"/>
              </w:rPr>
              <w:t>中国软件与技术服务股份有限公司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646"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18</w:t>
            </w:r>
          </w:p>
        </w:tc>
        <w:tc>
          <w:tcPr>
            <w:tcW w:w="943"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w:t>
            </w:r>
          </w:p>
        </w:tc>
        <w:tc>
          <w:tcPr>
            <w:tcW w:w="1405"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防病毒系统（物理机）</w:t>
            </w:r>
          </w:p>
        </w:tc>
        <w:tc>
          <w:tcPr>
            <w:tcW w:w="198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b/>
                <w:szCs w:val="21"/>
              </w:rPr>
            </w:pPr>
            <w:r>
              <w:rPr>
                <w:rFonts w:hint="eastAsia" w:ascii="宋体" w:hAnsi="Times New Roman" w:eastAsia="宋体" w:cs="宋体"/>
                <w:color w:val="000000"/>
                <w:kern w:val="0"/>
                <w:sz w:val="20"/>
                <w:szCs w:val="20"/>
              </w:rPr>
              <w:t>奇安信网神信息技术（北京）股份有限公司</w:t>
            </w:r>
          </w:p>
        </w:tc>
        <w:tc>
          <w:tcPr>
            <w:tcW w:w="115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b/>
                <w:szCs w:val="21"/>
              </w:rPr>
            </w:pPr>
            <w:r>
              <w:rPr>
                <w:rFonts w:hint="eastAsia" w:ascii="宋体" w:hAnsi="Times New Roman" w:eastAsia="宋体" w:cs="宋体"/>
                <w:color w:val="000000"/>
                <w:kern w:val="0"/>
                <w:sz w:val="20"/>
                <w:szCs w:val="20"/>
              </w:rPr>
              <w:t>奇安信网神终端安全管理系统V8.0</w:t>
            </w:r>
          </w:p>
        </w:tc>
        <w:tc>
          <w:tcPr>
            <w:tcW w:w="310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color w:val="000000"/>
                <w:sz w:val="20"/>
                <w:szCs w:val="20"/>
              </w:rPr>
            </w:pPr>
            <w:r>
              <w:rPr>
                <w:rFonts w:hint="eastAsia" w:ascii="宋体" w:hAnsi="Times New Roman" w:eastAsia="宋体" w:cs="宋体"/>
                <w:color w:val="000000"/>
                <w:kern w:val="0"/>
                <w:sz w:val="20"/>
                <w:szCs w:val="20"/>
              </w:rPr>
              <w:t>针对服务器操作系统提供病毒查杀等功能。含一年病毒特征库升级服务。</w:t>
            </w:r>
          </w:p>
        </w:tc>
        <w:tc>
          <w:tcPr>
            <w:tcW w:w="80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szCs w:val="21"/>
              </w:rPr>
              <w:t>中国软件与技术服务股份有限公司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646"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19</w:t>
            </w:r>
          </w:p>
        </w:tc>
        <w:tc>
          <w:tcPr>
            <w:tcW w:w="943"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w:t>
            </w:r>
          </w:p>
        </w:tc>
        <w:tc>
          <w:tcPr>
            <w:tcW w:w="1405"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防病毒系统（虚拟机）</w:t>
            </w:r>
          </w:p>
        </w:tc>
        <w:tc>
          <w:tcPr>
            <w:tcW w:w="198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b/>
                <w:szCs w:val="21"/>
              </w:rPr>
            </w:pPr>
            <w:r>
              <w:rPr>
                <w:rFonts w:hint="eastAsia" w:ascii="宋体" w:hAnsi="Times New Roman" w:eastAsia="宋体" w:cs="宋体"/>
                <w:color w:val="000000"/>
                <w:kern w:val="0"/>
                <w:sz w:val="20"/>
                <w:szCs w:val="20"/>
              </w:rPr>
              <w:t>奇安信网神信息技术（北京）股份有限公司</w:t>
            </w:r>
          </w:p>
        </w:tc>
        <w:tc>
          <w:tcPr>
            <w:tcW w:w="115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b/>
                <w:szCs w:val="21"/>
              </w:rPr>
            </w:pPr>
            <w:r>
              <w:rPr>
                <w:rFonts w:hint="eastAsia" w:ascii="宋体" w:hAnsi="Times New Roman" w:eastAsia="宋体" w:cs="宋体"/>
                <w:color w:val="000000"/>
                <w:kern w:val="0"/>
                <w:sz w:val="20"/>
                <w:szCs w:val="20"/>
              </w:rPr>
              <w:t>奇安信网神终端安全管理系统V8.0</w:t>
            </w:r>
          </w:p>
        </w:tc>
        <w:tc>
          <w:tcPr>
            <w:tcW w:w="3100" w:type="dxa"/>
            <w:tcBorders>
              <w:top w:val="single" w:color="auto" w:sz="6" w:space="0"/>
              <w:left w:val="single" w:color="auto" w:sz="6" w:space="0"/>
              <w:bottom w:val="single" w:color="auto" w:sz="6" w:space="0"/>
              <w:right w:val="single" w:color="auto" w:sz="6" w:space="0"/>
            </w:tcBorders>
          </w:tcPr>
          <w:p>
            <w:pPr>
              <w:widowControl/>
              <w:textAlignment w:val="center"/>
              <w:rPr>
                <w:rFonts w:ascii="宋体" w:hAnsi="Times New Roman" w:eastAsia="宋体" w:cs="宋体"/>
                <w:color w:val="000000"/>
                <w:sz w:val="20"/>
                <w:szCs w:val="20"/>
              </w:rPr>
            </w:pPr>
            <w:r>
              <w:rPr>
                <w:rFonts w:hint="eastAsia" w:ascii="宋体" w:hAnsi="Times New Roman" w:eastAsia="宋体" w:cs="宋体"/>
                <w:color w:val="000000"/>
                <w:kern w:val="0"/>
                <w:sz w:val="20"/>
                <w:szCs w:val="20"/>
              </w:rPr>
              <w:t>针对服务器操作系统提供病毒查杀等功能。含一年病毒特征库升级服务。</w:t>
            </w:r>
          </w:p>
        </w:tc>
        <w:tc>
          <w:tcPr>
            <w:tcW w:w="80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szCs w:val="21"/>
              </w:rPr>
              <w:t>中国软件与技术服务股份有限公司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646"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20</w:t>
            </w:r>
          </w:p>
        </w:tc>
        <w:tc>
          <w:tcPr>
            <w:tcW w:w="943"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w:t>
            </w:r>
          </w:p>
        </w:tc>
        <w:tc>
          <w:tcPr>
            <w:tcW w:w="1405"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协同办公系统升级（PC 端）</w:t>
            </w:r>
          </w:p>
        </w:tc>
        <w:tc>
          <w:tcPr>
            <w:tcW w:w="198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中国软件与技术服务股份有限公司</w:t>
            </w:r>
          </w:p>
        </w:tc>
        <w:tc>
          <w:tcPr>
            <w:tcW w:w="115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定制</w:t>
            </w:r>
          </w:p>
        </w:tc>
        <w:tc>
          <w:tcPr>
            <w:tcW w:w="310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PC 端包括公文管理、会议管理、电子档案、应急事件管理、日程管理、业务系统 监测管理、会议经费管理、培训经费管理、用餐管理、政策汇集、应用支撑平台升级等功能模块</w:t>
            </w:r>
          </w:p>
        </w:tc>
        <w:tc>
          <w:tcPr>
            <w:tcW w:w="80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szCs w:val="21"/>
              </w:rPr>
              <w:t>中国软件与技术服务股份有限公司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646"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21</w:t>
            </w:r>
          </w:p>
        </w:tc>
        <w:tc>
          <w:tcPr>
            <w:tcW w:w="943"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w:t>
            </w:r>
          </w:p>
        </w:tc>
        <w:tc>
          <w:tcPr>
            <w:tcW w:w="1405"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个性化办公方案</w:t>
            </w:r>
          </w:p>
        </w:tc>
        <w:tc>
          <w:tcPr>
            <w:tcW w:w="198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中国软件与技术服务股份有限公司</w:t>
            </w:r>
          </w:p>
        </w:tc>
        <w:tc>
          <w:tcPr>
            <w:tcW w:w="115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定制</w:t>
            </w:r>
          </w:p>
        </w:tc>
        <w:tc>
          <w:tcPr>
            <w:tcW w:w="310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对于已建协同办公系统的单位，将提供通用数据接口，并根据其已建的协同办公 系统的业务需求特点，进行个性化定制对接方案，并针对特定功能需求提供测试联调等服务</w:t>
            </w:r>
          </w:p>
        </w:tc>
        <w:tc>
          <w:tcPr>
            <w:tcW w:w="80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szCs w:val="21"/>
              </w:rPr>
              <w:t>中国软件与技术服务股份有限公司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646"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22</w:t>
            </w:r>
          </w:p>
        </w:tc>
        <w:tc>
          <w:tcPr>
            <w:tcW w:w="943"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w:t>
            </w:r>
          </w:p>
        </w:tc>
        <w:tc>
          <w:tcPr>
            <w:tcW w:w="1405"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协同移动 APP 升级</w:t>
            </w:r>
          </w:p>
        </w:tc>
        <w:tc>
          <w:tcPr>
            <w:tcW w:w="198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中国软件与技术服务股份有限公司</w:t>
            </w:r>
          </w:p>
        </w:tc>
        <w:tc>
          <w:tcPr>
            <w:tcW w:w="115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定制</w:t>
            </w:r>
          </w:p>
        </w:tc>
        <w:tc>
          <w:tcPr>
            <w:tcW w:w="310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移动端升级包含日程安排、应急事件管理等功能模块</w:t>
            </w:r>
          </w:p>
        </w:tc>
        <w:tc>
          <w:tcPr>
            <w:tcW w:w="80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szCs w:val="21"/>
              </w:rPr>
              <w:t>中国软件与技术服务股份有限公司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646"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23</w:t>
            </w:r>
          </w:p>
        </w:tc>
        <w:tc>
          <w:tcPr>
            <w:tcW w:w="943"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w:t>
            </w:r>
          </w:p>
        </w:tc>
        <w:tc>
          <w:tcPr>
            <w:tcW w:w="1405"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区块链对接</w:t>
            </w:r>
          </w:p>
        </w:tc>
        <w:tc>
          <w:tcPr>
            <w:tcW w:w="198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中国软件与技术服务股份有限公司</w:t>
            </w:r>
          </w:p>
        </w:tc>
        <w:tc>
          <w:tcPr>
            <w:tcW w:w="115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定制</w:t>
            </w:r>
          </w:p>
        </w:tc>
        <w:tc>
          <w:tcPr>
            <w:tcW w:w="310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区块链＋公文以及区块链＋用车管理</w:t>
            </w:r>
          </w:p>
        </w:tc>
        <w:tc>
          <w:tcPr>
            <w:tcW w:w="80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szCs w:val="21"/>
              </w:rPr>
              <w:t>中国软件与技术服务股份有限公司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646"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24</w:t>
            </w:r>
          </w:p>
        </w:tc>
        <w:tc>
          <w:tcPr>
            <w:tcW w:w="943"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w:t>
            </w:r>
          </w:p>
        </w:tc>
        <w:tc>
          <w:tcPr>
            <w:tcW w:w="1405"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区块链平台功能</w:t>
            </w:r>
          </w:p>
        </w:tc>
        <w:tc>
          <w:tcPr>
            <w:tcW w:w="198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中国软件与技术服务股份有限公司</w:t>
            </w:r>
          </w:p>
        </w:tc>
        <w:tc>
          <w:tcPr>
            <w:tcW w:w="115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定制</w:t>
            </w:r>
          </w:p>
        </w:tc>
        <w:tc>
          <w:tcPr>
            <w:tcW w:w="310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开发链上数据目录管理、链上数据项管理、看板模板管理等功能</w:t>
            </w:r>
          </w:p>
        </w:tc>
        <w:tc>
          <w:tcPr>
            <w:tcW w:w="80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szCs w:val="21"/>
              </w:rPr>
              <w:t>中国软件与技术服务股份有限公司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56" w:hRule="atLeast"/>
          <w:jc w:val="center"/>
        </w:trPr>
        <w:tc>
          <w:tcPr>
            <w:tcW w:w="646"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25</w:t>
            </w:r>
          </w:p>
        </w:tc>
        <w:tc>
          <w:tcPr>
            <w:tcW w:w="943"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w:t>
            </w:r>
          </w:p>
        </w:tc>
        <w:tc>
          <w:tcPr>
            <w:tcW w:w="1405"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市本级单位基础配置</w:t>
            </w:r>
          </w:p>
        </w:tc>
        <w:tc>
          <w:tcPr>
            <w:tcW w:w="198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中国软件与技术服务股份有限公司</w:t>
            </w:r>
          </w:p>
        </w:tc>
        <w:tc>
          <w:tcPr>
            <w:tcW w:w="115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服务</w:t>
            </w:r>
          </w:p>
        </w:tc>
        <w:tc>
          <w:tcPr>
            <w:tcW w:w="310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提供市本级单位基础配置服务</w:t>
            </w:r>
          </w:p>
        </w:tc>
        <w:tc>
          <w:tcPr>
            <w:tcW w:w="80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szCs w:val="21"/>
              </w:rPr>
              <w:t>中国软件与技术服务股份有限公司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646"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26</w:t>
            </w:r>
          </w:p>
        </w:tc>
        <w:tc>
          <w:tcPr>
            <w:tcW w:w="943"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w:t>
            </w:r>
          </w:p>
        </w:tc>
        <w:tc>
          <w:tcPr>
            <w:tcW w:w="1405"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市直二级单位基础配置</w:t>
            </w:r>
          </w:p>
        </w:tc>
        <w:tc>
          <w:tcPr>
            <w:tcW w:w="198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中国软件与技术服务股份有限公司</w:t>
            </w:r>
          </w:p>
        </w:tc>
        <w:tc>
          <w:tcPr>
            <w:tcW w:w="115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服务</w:t>
            </w:r>
          </w:p>
        </w:tc>
        <w:tc>
          <w:tcPr>
            <w:tcW w:w="310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提供市直二级单位基础配置服务</w:t>
            </w:r>
          </w:p>
        </w:tc>
        <w:tc>
          <w:tcPr>
            <w:tcW w:w="80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szCs w:val="21"/>
              </w:rPr>
              <w:t>中国软件与技术服务股份有限公司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646"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27</w:t>
            </w:r>
          </w:p>
        </w:tc>
        <w:tc>
          <w:tcPr>
            <w:tcW w:w="943"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w:t>
            </w:r>
          </w:p>
        </w:tc>
        <w:tc>
          <w:tcPr>
            <w:tcW w:w="1405"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区县单位基础配置</w:t>
            </w:r>
          </w:p>
        </w:tc>
        <w:tc>
          <w:tcPr>
            <w:tcW w:w="198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中国软件与技术服务股份有限公司</w:t>
            </w:r>
          </w:p>
        </w:tc>
        <w:tc>
          <w:tcPr>
            <w:tcW w:w="115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服务</w:t>
            </w:r>
          </w:p>
        </w:tc>
        <w:tc>
          <w:tcPr>
            <w:tcW w:w="310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提供区县单位基础配置服务</w:t>
            </w:r>
          </w:p>
        </w:tc>
        <w:tc>
          <w:tcPr>
            <w:tcW w:w="80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szCs w:val="21"/>
              </w:rPr>
              <w:t>中国软件与技术服务股份有限公司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646"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28</w:t>
            </w:r>
          </w:p>
        </w:tc>
        <w:tc>
          <w:tcPr>
            <w:tcW w:w="943"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w:t>
            </w:r>
          </w:p>
        </w:tc>
        <w:tc>
          <w:tcPr>
            <w:tcW w:w="1405"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定制版单位个性化配置</w:t>
            </w:r>
          </w:p>
        </w:tc>
        <w:tc>
          <w:tcPr>
            <w:tcW w:w="198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中国软件与技术服务股份有限公司</w:t>
            </w:r>
          </w:p>
        </w:tc>
        <w:tc>
          <w:tcPr>
            <w:tcW w:w="115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服务</w:t>
            </w:r>
          </w:p>
        </w:tc>
        <w:tc>
          <w:tcPr>
            <w:tcW w:w="310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提供定制版单位个性化配置服务</w:t>
            </w:r>
          </w:p>
        </w:tc>
        <w:tc>
          <w:tcPr>
            <w:tcW w:w="80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szCs w:val="21"/>
              </w:rPr>
              <w:t>中国软件与技术服务股份有限公司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646"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29</w:t>
            </w:r>
          </w:p>
        </w:tc>
        <w:tc>
          <w:tcPr>
            <w:tcW w:w="943"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w:t>
            </w:r>
          </w:p>
        </w:tc>
        <w:tc>
          <w:tcPr>
            <w:tcW w:w="1405"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技术支持服务</w:t>
            </w:r>
          </w:p>
        </w:tc>
        <w:tc>
          <w:tcPr>
            <w:tcW w:w="198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中国软件与技术服务股份有限公司</w:t>
            </w:r>
          </w:p>
        </w:tc>
        <w:tc>
          <w:tcPr>
            <w:tcW w:w="115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服务</w:t>
            </w:r>
          </w:p>
        </w:tc>
        <w:tc>
          <w:tcPr>
            <w:tcW w:w="310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提供 6 名技术经理驻场服务，其中包含 2 名高 级技术经理，3 名中级技术经理，1 名客服专员。为市委办，市直单位、芙蓉区、天心区、开福 区、雨花区、望城区 640 家单位，宁乡 93 家单位提供技术支持服务。</w:t>
            </w:r>
          </w:p>
        </w:tc>
        <w:tc>
          <w:tcPr>
            <w:tcW w:w="80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szCs w:val="21"/>
              </w:rPr>
              <w:t>中国软件与技术服务股份有限公司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646"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30</w:t>
            </w:r>
          </w:p>
        </w:tc>
        <w:tc>
          <w:tcPr>
            <w:tcW w:w="943"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w:t>
            </w:r>
          </w:p>
        </w:tc>
        <w:tc>
          <w:tcPr>
            <w:tcW w:w="1405"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协同办公平台（三期）安全 检测</w:t>
            </w:r>
          </w:p>
        </w:tc>
        <w:tc>
          <w:tcPr>
            <w:tcW w:w="198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中国软件与技术服务股份有限公司</w:t>
            </w:r>
          </w:p>
        </w:tc>
        <w:tc>
          <w:tcPr>
            <w:tcW w:w="115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服务</w:t>
            </w:r>
          </w:p>
        </w:tc>
        <w:tc>
          <w:tcPr>
            <w:tcW w:w="310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提供协同办公平台（三期）安全检测服务</w:t>
            </w:r>
          </w:p>
        </w:tc>
        <w:tc>
          <w:tcPr>
            <w:tcW w:w="80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szCs w:val="21"/>
              </w:rPr>
              <w:t>中国软件与技术服务股份有限公司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646"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31</w:t>
            </w:r>
          </w:p>
        </w:tc>
        <w:tc>
          <w:tcPr>
            <w:tcW w:w="943"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w:t>
            </w:r>
          </w:p>
        </w:tc>
        <w:tc>
          <w:tcPr>
            <w:tcW w:w="1405"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在线学习平台资源扩容</w:t>
            </w:r>
          </w:p>
        </w:tc>
        <w:tc>
          <w:tcPr>
            <w:tcW w:w="198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中国软件与技术服务股份有限公司</w:t>
            </w:r>
          </w:p>
        </w:tc>
        <w:tc>
          <w:tcPr>
            <w:tcW w:w="115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定制</w:t>
            </w:r>
          </w:p>
        </w:tc>
        <w:tc>
          <w:tcPr>
            <w:tcW w:w="310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新增 30 条平台介绍、操作指南及常见问题解答等在线培训视频，和 1 个项目推广宣传动画</w:t>
            </w:r>
          </w:p>
        </w:tc>
        <w:tc>
          <w:tcPr>
            <w:tcW w:w="80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szCs w:val="21"/>
              </w:rPr>
              <w:t>中国软件与技术服务股份有限公司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646"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32</w:t>
            </w:r>
          </w:p>
        </w:tc>
        <w:tc>
          <w:tcPr>
            <w:tcW w:w="943"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w:t>
            </w:r>
          </w:p>
        </w:tc>
        <w:tc>
          <w:tcPr>
            <w:tcW w:w="1405"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人员培训（协同平台培训）</w:t>
            </w:r>
          </w:p>
        </w:tc>
        <w:tc>
          <w:tcPr>
            <w:tcW w:w="198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中国软件与技术服务股份有限公司</w:t>
            </w:r>
          </w:p>
        </w:tc>
        <w:tc>
          <w:tcPr>
            <w:tcW w:w="115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服务</w:t>
            </w:r>
          </w:p>
        </w:tc>
        <w:tc>
          <w:tcPr>
            <w:tcW w:w="310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提供协同平台培训服务</w:t>
            </w:r>
          </w:p>
        </w:tc>
        <w:tc>
          <w:tcPr>
            <w:tcW w:w="80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szCs w:val="21"/>
              </w:rPr>
              <w:t>中国软件与技术服务股份有限公司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646"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33</w:t>
            </w:r>
          </w:p>
        </w:tc>
        <w:tc>
          <w:tcPr>
            <w:tcW w:w="943"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b/>
                <w:szCs w:val="21"/>
              </w:rPr>
              <w:t>/</w:t>
            </w:r>
          </w:p>
        </w:tc>
        <w:tc>
          <w:tcPr>
            <w:tcW w:w="1405"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pacing w:val="-1"/>
                <w:szCs w:val="21"/>
              </w:rPr>
              <w:t>数据资源局系统迁移</w:t>
            </w:r>
          </w:p>
        </w:tc>
        <w:tc>
          <w:tcPr>
            <w:tcW w:w="198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中国软件与技术服务股份有限公司</w:t>
            </w:r>
          </w:p>
        </w:tc>
        <w:tc>
          <w:tcPr>
            <w:tcW w:w="115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服务</w:t>
            </w:r>
          </w:p>
        </w:tc>
        <w:tc>
          <w:tcPr>
            <w:tcW w:w="310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szCs w:val="21"/>
              </w:rPr>
            </w:pPr>
            <w:r>
              <w:rPr>
                <w:rFonts w:hint="eastAsia" w:ascii="宋体" w:hAnsi="Times New Roman" w:eastAsia="宋体" w:cs="宋体"/>
                <w:szCs w:val="21"/>
              </w:rPr>
              <w:t>长沙市数据资源管理局与长沙市大数据中心更改使用市协同办公系统（标准版），并将现有系统数据迁移到新系统，整合到长沙市协同办公平台</w:t>
            </w:r>
          </w:p>
        </w:tc>
        <w:tc>
          <w:tcPr>
            <w:tcW w:w="80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宋体" w:hAnsi="Times New Roman" w:eastAsia="宋体" w:cs="宋体"/>
                <w:b/>
                <w:szCs w:val="21"/>
              </w:rPr>
            </w:pPr>
            <w:r>
              <w:rPr>
                <w:rFonts w:hint="eastAsia" w:ascii="宋体" w:hAnsi="Times New Roman" w:eastAsia="宋体" w:cs="宋体"/>
                <w:szCs w:val="21"/>
              </w:rPr>
              <w:t>中国软件与技术服务股份有限公司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10028" w:type="dxa"/>
            <w:gridSpan w:val="7"/>
            <w:tcBorders>
              <w:top w:val="single" w:color="auto" w:sz="6" w:space="0"/>
              <w:left w:val="double" w:color="auto" w:sz="4" w:space="0"/>
              <w:bottom w:val="single" w:color="auto" w:sz="6" w:space="0"/>
              <w:right w:val="double" w:color="auto" w:sz="4" w:space="0"/>
            </w:tcBorders>
          </w:tcPr>
          <w:p>
            <w:pPr>
              <w:adjustRightInd w:val="0"/>
              <w:snapToGrid w:val="0"/>
              <w:spacing w:line="400" w:lineRule="atLeast"/>
              <w:ind w:left="-88" w:leftChars="-42"/>
              <w:jc w:val="center"/>
              <w:rPr>
                <w:rFonts w:ascii="仿宋" w:hAnsi="Times New Roman" w:eastAsia="仿宋" w:cs="仿宋"/>
                <w:b/>
                <w:szCs w:val="21"/>
              </w:rPr>
            </w:pPr>
            <w:r>
              <w:rPr>
                <w:rFonts w:hint="eastAsia" w:ascii="仿宋" w:hAnsi="Times New Roman" w:eastAsia="仿宋" w:cs="仿宋"/>
                <w:b/>
                <w:bCs/>
                <w:spacing w:val="-4"/>
                <w:szCs w:val="21"/>
              </w:rPr>
              <w:t>第二部分</w:t>
            </w:r>
            <w:r>
              <w:rPr>
                <w:rFonts w:hint="eastAsia" w:ascii="仿宋" w:hAnsi="Times New Roman" w:eastAsia="仿宋" w:cs="仿宋"/>
                <w:spacing w:val="-4"/>
                <w:szCs w:val="21"/>
              </w:rPr>
              <w:t xml:space="preserve">  </w:t>
            </w:r>
            <w:r>
              <w:rPr>
                <w:rFonts w:hint="eastAsia" w:ascii="仿宋" w:hAnsi="Times New Roman" w:eastAsia="仿宋" w:cs="仿宋"/>
                <w:b/>
                <w:bCs/>
                <w:spacing w:val="-4"/>
                <w:szCs w:val="21"/>
              </w:rPr>
              <w:t>湘易办政务版（原长政通）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646"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仿宋" w:hAnsi="Times New Roman" w:eastAsia="仿宋" w:cs="仿宋"/>
                <w:b/>
                <w:szCs w:val="21"/>
              </w:rPr>
            </w:pPr>
            <w:r>
              <w:rPr>
                <w:rFonts w:hint="eastAsia" w:ascii="仿宋" w:hAnsi="Times New Roman" w:eastAsia="仿宋" w:cs="仿宋"/>
                <w:b/>
                <w:szCs w:val="21"/>
              </w:rPr>
              <w:t>1</w:t>
            </w:r>
          </w:p>
        </w:tc>
        <w:tc>
          <w:tcPr>
            <w:tcW w:w="943"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color w:val="000000"/>
                <w:kern w:val="0"/>
                <w:sz w:val="20"/>
                <w:szCs w:val="20"/>
              </w:rPr>
            </w:pPr>
            <w:r>
              <w:rPr>
                <w:rFonts w:hint="eastAsia" w:ascii="宋体" w:hAnsi="Times New Roman" w:eastAsia="宋体" w:cs="宋体"/>
                <w:color w:val="000000"/>
                <w:kern w:val="0"/>
                <w:sz w:val="20"/>
                <w:szCs w:val="20"/>
              </w:rPr>
              <w:t>/</w:t>
            </w:r>
          </w:p>
        </w:tc>
        <w:tc>
          <w:tcPr>
            <w:tcW w:w="1405"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color w:val="000000"/>
                <w:kern w:val="0"/>
                <w:sz w:val="20"/>
                <w:szCs w:val="20"/>
              </w:rPr>
            </w:pPr>
            <w:r>
              <w:rPr>
                <w:rFonts w:hint="eastAsia" w:ascii="宋体" w:hAnsi="Times New Roman" w:eastAsia="宋体" w:cs="宋体"/>
                <w:color w:val="000000"/>
                <w:kern w:val="0"/>
                <w:sz w:val="20"/>
                <w:szCs w:val="20"/>
              </w:rPr>
              <w:t>平台扩容</w:t>
            </w:r>
          </w:p>
        </w:tc>
        <w:tc>
          <w:tcPr>
            <w:tcW w:w="198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color w:val="000000"/>
                <w:kern w:val="0"/>
                <w:sz w:val="20"/>
                <w:szCs w:val="20"/>
              </w:rPr>
            </w:pPr>
            <w:r>
              <w:rPr>
                <w:rFonts w:hint="eastAsia" w:ascii="宋体" w:hAnsi="Times New Roman" w:eastAsia="宋体" w:cs="宋体"/>
                <w:color w:val="000000"/>
                <w:kern w:val="0"/>
                <w:sz w:val="20"/>
                <w:szCs w:val="20"/>
              </w:rPr>
              <w:t>深圳市腾讯计算机系统有限公司</w:t>
            </w:r>
          </w:p>
        </w:tc>
        <w:tc>
          <w:tcPr>
            <w:tcW w:w="115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color w:val="000000"/>
                <w:kern w:val="0"/>
                <w:sz w:val="20"/>
                <w:szCs w:val="20"/>
              </w:rPr>
            </w:pPr>
            <w:r>
              <w:rPr>
                <w:rFonts w:ascii="宋体" w:hAnsi="Times New Roman" w:eastAsia="宋体" w:cs="宋体"/>
                <w:color w:val="000000"/>
                <w:kern w:val="0"/>
                <w:sz w:val="20"/>
                <w:szCs w:val="20"/>
              </w:rPr>
              <w:t>服务</w:t>
            </w:r>
          </w:p>
        </w:tc>
        <w:tc>
          <w:tcPr>
            <w:tcW w:w="310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color w:val="000000"/>
                <w:kern w:val="0"/>
                <w:sz w:val="20"/>
                <w:szCs w:val="20"/>
              </w:rPr>
            </w:pPr>
            <w:r>
              <w:rPr>
                <w:rFonts w:hint="eastAsia" w:ascii="宋体" w:hAnsi="Times New Roman" w:eastAsia="宋体" w:cs="宋体"/>
                <w:color w:val="000000"/>
                <w:kern w:val="0"/>
                <w:sz w:val="20"/>
                <w:szCs w:val="20"/>
              </w:rPr>
              <w:t>提供平台扩容服务</w:t>
            </w:r>
          </w:p>
        </w:tc>
        <w:tc>
          <w:tcPr>
            <w:tcW w:w="80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仿宋" w:hAnsi="Times New Roman" w:eastAsia="仿宋" w:cs="仿宋"/>
                <w:b/>
                <w:szCs w:val="21"/>
              </w:rPr>
            </w:pPr>
            <w:r>
              <w:rPr>
                <w:rFonts w:hint="eastAsia" w:ascii="宋体" w:hAnsi="Times New Roman" w:eastAsia="宋体" w:cs="宋体"/>
                <w:color w:val="000000"/>
                <w:kern w:val="0"/>
                <w:sz w:val="20"/>
                <w:szCs w:val="20"/>
              </w:rPr>
              <w:t>湖南顶壹信息技术有限公司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646"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仿宋" w:hAnsi="Times New Roman" w:eastAsia="仿宋" w:cs="仿宋"/>
                <w:b/>
                <w:szCs w:val="21"/>
              </w:rPr>
            </w:pPr>
            <w:r>
              <w:rPr>
                <w:rFonts w:hint="eastAsia" w:ascii="仿宋" w:hAnsi="Times New Roman" w:eastAsia="仿宋" w:cs="仿宋"/>
                <w:b/>
                <w:szCs w:val="21"/>
              </w:rPr>
              <w:t>2</w:t>
            </w:r>
          </w:p>
        </w:tc>
        <w:tc>
          <w:tcPr>
            <w:tcW w:w="943"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color w:val="000000"/>
                <w:kern w:val="0"/>
                <w:sz w:val="20"/>
                <w:szCs w:val="20"/>
              </w:rPr>
            </w:pPr>
            <w:r>
              <w:rPr>
                <w:rFonts w:hint="eastAsia" w:ascii="宋体" w:hAnsi="Times New Roman" w:eastAsia="宋体" w:cs="宋体"/>
                <w:color w:val="000000"/>
                <w:kern w:val="0"/>
                <w:sz w:val="20"/>
                <w:szCs w:val="20"/>
              </w:rPr>
              <w:t>/</w:t>
            </w:r>
          </w:p>
        </w:tc>
        <w:tc>
          <w:tcPr>
            <w:tcW w:w="1405"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color w:val="000000"/>
                <w:kern w:val="0"/>
                <w:sz w:val="20"/>
                <w:szCs w:val="20"/>
              </w:rPr>
            </w:pPr>
            <w:r>
              <w:rPr>
                <w:rFonts w:hint="eastAsia" w:ascii="宋体" w:hAnsi="Times New Roman" w:eastAsia="宋体" w:cs="宋体"/>
                <w:color w:val="000000"/>
                <w:kern w:val="0"/>
                <w:sz w:val="20"/>
                <w:szCs w:val="20"/>
              </w:rPr>
              <w:t>在线阅读系统</w:t>
            </w:r>
          </w:p>
        </w:tc>
        <w:tc>
          <w:tcPr>
            <w:tcW w:w="198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color w:val="000000"/>
                <w:kern w:val="0"/>
                <w:sz w:val="20"/>
                <w:szCs w:val="20"/>
              </w:rPr>
            </w:pPr>
            <w:r>
              <w:rPr>
                <w:rFonts w:hint="eastAsia" w:ascii="宋体" w:hAnsi="Times New Roman" w:eastAsia="宋体" w:cs="宋体"/>
                <w:color w:val="000000"/>
                <w:kern w:val="0"/>
                <w:sz w:val="20"/>
                <w:szCs w:val="20"/>
              </w:rPr>
              <w:t>北京数科网维技术有限责任公司</w:t>
            </w:r>
          </w:p>
        </w:tc>
        <w:tc>
          <w:tcPr>
            <w:tcW w:w="115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color w:val="000000"/>
                <w:kern w:val="0"/>
                <w:sz w:val="20"/>
                <w:szCs w:val="20"/>
              </w:rPr>
            </w:pPr>
            <w:r>
              <w:rPr>
                <w:rFonts w:hint="eastAsia" w:ascii="宋体" w:hAnsi="Times New Roman" w:eastAsia="宋体" w:cs="宋体"/>
                <w:color w:val="000000"/>
                <w:kern w:val="0"/>
                <w:sz w:val="20"/>
                <w:szCs w:val="20"/>
              </w:rPr>
              <w:t>数科文档网页轻阅读系统V3.0</w:t>
            </w:r>
          </w:p>
        </w:tc>
        <w:tc>
          <w:tcPr>
            <w:tcW w:w="310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color w:val="000000"/>
                <w:kern w:val="0"/>
                <w:sz w:val="20"/>
                <w:szCs w:val="20"/>
              </w:rPr>
            </w:pPr>
            <w:r>
              <w:rPr>
                <w:rFonts w:hint="eastAsia" w:ascii="宋体" w:hAnsi="Times New Roman" w:eastAsia="宋体" w:cs="宋体"/>
                <w:color w:val="000000"/>
                <w:kern w:val="0"/>
                <w:sz w:val="20"/>
                <w:szCs w:val="20"/>
              </w:rPr>
              <w:t>1. 基本功能</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支持国产化操作系统及国产 CPU 芯片，通过 OFD 标准符合性测试，提供多 种格式文件无插件预览并与第三方应用系统集成的能力。</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2. 主要性能参数:</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(1) 基本要求:通过 OFD 标准符合性测试。</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(2) 可支持预览格式:ofd、pdf、ceb、sep、gd、gw、s2、s72、s92、s10、 nps、xps 等版式文件格式;sfd 安全文件格式;Office、WPS 等流式文件 格式;jpeg、jpg、png、gif、bmp、tif、tiff 等图片文件格式;psd、 ai、cdr、dwg、dwt、dxf 图像文件格式;rar、zip 压缩包;可以打开、 下载 OFD 文件中包含的附件。</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(3) 无插件阅读:应提供 OFD 版式文件跨平台、跨浏览器的无插件阅读功 能。应提供翻页、缩放、跳转、全文检索、导览等基本功能。支持阅读水 印、打印水印分别控制。</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(4) 按需推送:应实现文档内容按需推送功能，以提升阅读效果。</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(5) 文档编辑:可向文档页面中添加图文注释，提供替换、删除、插入等 修订功能;支持手写批注，支持对字体颜色和线条粗细进行选择配置，提 供橡皮擦功能。</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(6) 应用集成:应提供应用集成接口，实现与长沙市协同办公平台业务系 统的无缝对接。</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(7) 性能指标:文档首页加载和呈现时间小于 2 秒。单服务器部署时，支 持 2000 用户在线，200 以上并发。</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(8) 升级服务:所有产品均提供一年免费升级服务。</w:t>
            </w:r>
            <w:r>
              <w:rPr>
                <w:rFonts w:hint="eastAsia" w:ascii="宋体" w:hAnsi="Times New Roman" w:eastAsia="宋体" w:cs="宋体"/>
                <w:color w:val="000000"/>
                <w:kern w:val="0"/>
                <w:sz w:val="20"/>
                <w:szCs w:val="20"/>
              </w:rPr>
              <w:br w:type="textWrapping"/>
            </w:r>
            <w:r>
              <w:rPr>
                <w:rFonts w:hint="eastAsia" w:ascii="宋体" w:hAnsi="Times New Roman" w:eastAsia="宋体" w:cs="宋体"/>
                <w:color w:val="000000"/>
                <w:kern w:val="0"/>
                <w:sz w:val="20"/>
                <w:szCs w:val="20"/>
              </w:rPr>
              <w:t>3. 基础平台:支持信创和 X86 操作平台</w:t>
            </w:r>
          </w:p>
        </w:tc>
        <w:tc>
          <w:tcPr>
            <w:tcW w:w="80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仿宋" w:hAnsi="Times New Roman" w:eastAsia="仿宋" w:cs="仿宋"/>
                <w:b/>
                <w:szCs w:val="21"/>
              </w:rPr>
            </w:pPr>
            <w:r>
              <w:rPr>
                <w:rFonts w:hint="eastAsia" w:ascii="宋体" w:hAnsi="Times New Roman" w:eastAsia="宋体" w:cs="宋体"/>
                <w:color w:val="000000"/>
                <w:kern w:val="0"/>
                <w:sz w:val="20"/>
                <w:szCs w:val="20"/>
              </w:rPr>
              <w:t>湖南顶壹信息技术有限公司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646"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仿宋" w:hAnsi="Times New Roman" w:eastAsia="仿宋" w:cs="仿宋"/>
                <w:b/>
                <w:szCs w:val="21"/>
              </w:rPr>
            </w:pPr>
            <w:r>
              <w:rPr>
                <w:rFonts w:hint="eastAsia" w:ascii="仿宋" w:hAnsi="Times New Roman" w:eastAsia="仿宋" w:cs="仿宋"/>
                <w:b/>
                <w:szCs w:val="21"/>
              </w:rPr>
              <w:t>3</w:t>
            </w:r>
          </w:p>
        </w:tc>
        <w:tc>
          <w:tcPr>
            <w:tcW w:w="943"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仿宋" w:hAnsi="Times New Roman" w:eastAsia="仿宋" w:cs="仿宋"/>
                <w:b/>
                <w:szCs w:val="21"/>
              </w:rPr>
            </w:pPr>
            <w:r>
              <w:rPr>
                <w:rFonts w:hint="eastAsia" w:ascii="仿宋" w:hAnsi="Times New Roman" w:eastAsia="仿宋" w:cs="仿宋"/>
                <w:b/>
                <w:szCs w:val="21"/>
              </w:rPr>
              <w:t>/</w:t>
            </w:r>
          </w:p>
        </w:tc>
        <w:tc>
          <w:tcPr>
            <w:tcW w:w="1405"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color w:val="000000"/>
                <w:kern w:val="0"/>
                <w:sz w:val="20"/>
                <w:szCs w:val="20"/>
              </w:rPr>
            </w:pPr>
            <w:r>
              <w:rPr>
                <w:rFonts w:hint="eastAsia" w:ascii="宋体" w:hAnsi="Times New Roman" w:eastAsia="宋体" w:cs="宋体"/>
                <w:color w:val="000000"/>
                <w:kern w:val="0"/>
                <w:sz w:val="20"/>
                <w:szCs w:val="20"/>
              </w:rPr>
              <w:t>国密软件系统</w:t>
            </w:r>
          </w:p>
        </w:tc>
        <w:tc>
          <w:tcPr>
            <w:tcW w:w="198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color w:val="000000"/>
                <w:kern w:val="0"/>
                <w:sz w:val="20"/>
                <w:szCs w:val="20"/>
              </w:rPr>
            </w:pPr>
            <w:r>
              <w:rPr>
                <w:rFonts w:hint="eastAsia" w:ascii="宋体" w:hAnsi="Times New Roman" w:eastAsia="宋体" w:cs="宋体"/>
                <w:color w:val="000000"/>
                <w:kern w:val="0"/>
                <w:sz w:val="20"/>
                <w:szCs w:val="20"/>
              </w:rPr>
              <w:t>财付通支付科技有限公司</w:t>
            </w:r>
          </w:p>
        </w:tc>
        <w:tc>
          <w:tcPr>
            <w:tcW w:w="115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color w:val="000000"/>
                <w:kern w:val="0"/>
                <w:sz w:val="20"/>
                <w:szCs w:val="20"/>
              </w:rPr>
            </w:pPr>
            <w:r>
              <w:rPr>
                <w:rFonts w:hint="eastAsia" w:ascii="宋体" w:hAnsi="Times New Roman" w:eastAsia="宋体" w:cs="宋体"/>
                <w:color w:val="000000"/>
                <w:kern w:val="0"/>
                <w:sz w:val="20"/>
                <w:szCs w:val="20"/>
              </w:rPr>
              <w:t>Tencentsm 密码模块软件</w:t>
            </w:r>
          </w:p>
          <w:p>
            <w:pPr>
              <w:rPr>
                <w:rFonts w:ascii="宋体" w:hAnsi="Times New Roman" w:eastAsia="宋体" w:cs="宋体"/>
                <w:color w:val="000000"/>
                <w:kern w:val="0"/>
                <w:sz w:val="20"/>
                <w:szCs w:val="20"/>
              </w:rPr>
            </w:pPr>
            <w:r>
              <w:rPr>
                <w:rFonts w:hint="eastAsia" w:ascii="宋体" w:hAnsi="Times New Roman" w:eastAsia="宋体" w:cs="宋体"/>
                <w:color w:val="000000"/>
                <w:kern w:val="0"/>
                <w:sz w:val="20"/>
                <w:szCs w:val="20"/>
              </w:rPr>
              <w:t>V1.0.0</w:t>
            </w:r>
          </w:p>
        </w:tc>
        <w:tc>
          <w:tcPr>
            <w:tcW w:w="310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color w:val="000000"/>
                <w:kern w:val="0"/>
                <w:sz w:val="20"/>
                <w:szCs w:val="20"/>
              </w:rPr>
            </w:pPr>
            <w:r>
              <w:rPr>
                <w:rFonts w:hint="eastAsia" w:ascii="宋体" w:hAnsi="Times New Roman" w:eastAsia="宋体" w:cs="宋体"/>
                <w:color w:val="000000"/>
                <w:kern w:val="0"/>
                <w:sz w:val="20"/>
                <w:szCs w:val="20"/>
              </w:rPr>
              <w:t>按照等级保护三级对现有整改信息系统进行符合商用密码应用安全性评估设计， 通过对现有信息系统中集成部署商用密码产品， 采用小幅度应用升级的方式，从而完成信息系统密码应用设计，满足机构中对密码的适应性建设需求。</w:t>
            </w:r>
          </w:p>
          <w:p>
            <w:pPr>
              <w:rPr>
                <w:rFonts w:ascii="宋体" w:hAnsi="Times New Roman" w:eastAsia="宋体" w:cs="宋体"/>
                <w:color w:val="000000"/>
                <w:kern w:val="0"/>
                <w:sz w:val="20"/>
                <w:szCs w:val="20"/>
              </w:rPr>
            </w:pPr>
            <w:r>
              <w:rPr>
                <w:rFonts w:hint="eastAsia" w:ascii="宋体" w:hAnsi="Times New Roman" w:eastAsia="宋体" w:cs="宋体"/>
                <w:color w:val="000000"/>
                <w:kern w:val="0"/>
                <w:sz w:val="20"/>
                <w:szCs w:val="20"/>
              </w:rPr>
              <w:t>湘易办政务版平台采用服务端密码中间件、客户端国密套件 SDK、移动端国密套件 SDK，以及服务端密码中间件对接政务云密码机资源， 保证平台应用和数据安全方面密码应用安全。</w:t>
            </w:r>
          </w:p>
        </w:tc>
        <w:tc>
          <w:tcPr>
            <w:tcW w:w="80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仿宋" w:hAnsi="Times New Roman" w:eastAsia="仿宋" w:cs="仿宋"/>
                <w:b/>
                <w:szCs w:val="21"/>
              </w:rPr>
            </w:pPr>
            <w:r>
              <w:rPr>
                <w:rFonts w:hint="eastAsia" w:ascii="宋体" w:hAnsi="Times New Roman" w:eastAsia="宋体" w:cs="宋体"/>
                <w:color w:val="000000"/>
                <w:kern w:val="0"/>
                <w:sz w:val="20"/>
                <w:szCs w:val="20"/>
              </w:rPr>
              <w:t>湖南顶壹信息技术有限公司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646"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仿宋" w:hAnsi="Times New Roman" w:eastAsia="仿宋" w:cs="仿宋"/>
                <w:b/>
                <w:szCs w:val="21"/>
              </w:rPr>
            </w:pPr>
            <w:r>
              <w:rPr>
                <w:rFonts w:hint="eastAsia" w:ascii="仿宋" w:hAnsi="Times New Roman" w:eastAsia="仿宋" w:cs="仿宋"/>
                <w:b/>
                <w:szCs w:val="21"/>
              </w:rPr>
              <w:t>4</w:t>
            </w:r>
          </w:p>
        </w:tc>
        <w:tc>
          <w:tcPr>
            <w:tcW w:w="943"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仿宋" w:hAnsi="Times New Roman" w:eastAsia="仿宋" w:cs="仿宋"/>
                <w:b/>
                <w:szCs w:val="21"/>
              </w:rPr>
            </w:pPr>
            <w:r>
              <w:rPr>
                <w:rFonts w:hint="eastAsia" w:ascii="仿宋" w:hAnsi="Times New Roman" w:eastAsia="仿宋" w:cs="仿宋"/>
                <w:b/>
                <w:szCs w:val="21"/>
              </w:rPr>
              <w:t>/</w:t>
            </w:r>
          </w:p>
        </w:tc>
        <w:tc>
          <w:tcPr>
            <w:tcW w:w="1405"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color w:val="000000"/>
                <w:kern w:val="0"/>
                <w:sz w:val="20"/>
                <w:szCs w:val="20"/>
              </w:rPr>
            </w:pPr>
            <w:r>
              <w:rPr>
                <w:rFonts w:hint="eastAsia" w:ascii="宋体" w:hAnsi="Times New Roman" w:eastAsia="宋体" w:cs="宋体"/>
                <w:color w:val="000000"/>
                <w:kern w:val="0"/>
                <w:sz w:val="20"/>
                <w:szCs w:val="20"/>
              </w:rPr>
              <w:t>软件开发费</w:t>
            </w:r>
          </w:p>
        </w:tc>
        <w:tc>
          <w:tcPr>
            <w:tcW w:w="198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color w:val="000000"/>
                <w:kern w:val="0"/>
                <w:sz w:val="20"/>
                <w:szCs w:val="20"/>
              </w:rPr>
            </w:pPr>
            <w:r>
              <w:rPr>
                <w:rFonts w:hint="eastAsia" w:ascii="宋体" w:hAnsi="Times New Roman" w:eastAsia="宋体" w:cs="宋体"/>
                <w:color w:val="000000"/>
                <w:kern w:val="0"/>
                <w:sz w:val="20"/>
                <w:szCs w:val="20"/>
              </w:rPr>
              <w:t>湖南顶壹信息技术有限公司</w:t>
            </w:r>
          </w:p>
        </w:tc>
        <w:tc>
          <w:tcPr>
            <w:tcW w:w="115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color w:val="000000"/>
                <w:kern w:val="0"/>
                <w:sz w:val="20"/>
                <w:szCs w:val="20"/>
              </w:rPr>
            </w:pPr>
            <w:r>
              <w:rPr>
                <w:rFonts w:hint="eastAsia" w:ascii="宋体" w:hAnsi="Times New Roman" w:eastAsia="宋体" w:cs="宋体"/>
                <w:color w:val="000000"/>
                <w:kern w:val="0"/>
                <w:sz w:val="20"/>
                <w:szCs w:val="20"/>
              </w:rPr>
              <w:t>定制</w:t>
            </w:r>
          </w:p>
        </w:tc>
        <w:tc>
          <w:tcPr>
            <w:tcW w:w="310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color w:val="000000"/>
                <w:kern w:val="0"/>
                <w:sz w:val="20"/>
                <w:szCs w:val="20"/>
              </w:rPr>
            </w:pPr>
            <w:r>
              <w:rPr>
                <w:rFonts w:hint="eastAsia" w:ascii="宋体" w:hAnsi="Times New Roman" w:eastAsia="宋体" w:cs="宋体"/>
                <w:color w:val="000000"/>
                <w:kern w:val="0"/>
                <w:sz w:val="20"/>
                <w:szCs w:val="20"/>
              </w:rPr>
              <w:t>提供软件开发服务。</w:t>
            </w:r>
          </w:p>
        </w:tc>
        <w:tc>
          <w:tcPr>
            <w:tcW w:w="80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仿宋" w:hAnsi="Times New Roman" w:eastAsia="仿宋" w:cs="仿宋"/>
                <w:b/>
                <w:szCs w:val="21"/>
              </w:rPr>
            </w:pPr>
            <w:r>
              <w:rPr>
                <w:rFonts w:hint="eastAsia" w:ascii="宋体" w:hAnsi="Times New Roman" w:eastAsia="宋体" w:cs="宋体"/>
                <w:color w:val="000000"/>
                <w:kern w:val="0"/>
                <w:sz w:val="20"/>
                <w:szCs w:val="20"/>
              </w:rPr>
              <w:t>湖南顶壹信息技术有限公司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646" w:type="dxa"/>
            <w:tcBorders>
              <w:top w:val="single" w:color="auto" w:sz="6" w:space="0"/>
              <w:left w:val="double" w:color="auto" w:sz="4" w:space="0"/>
              <w:bottom w:val="single" w:color="auto" w:sz="6" w:space="0"/>
              <w:right w:val="single" w:color="auto" w:sz="6" w:space="0"/>
            </w:tcBorders>
          </w:tcPr>
          <w:p>
            <w:pPr>
              <w:adjustRightInd w:val="0"/>
              <w:snapToGrid w:val="0"/>
              <w:spacing w:line="400" w:lineRule="atLeast"/>
              <w:ind w:left="-88" w:leftChars="-42"/>
              <w:jc w:val="center"/>
              <w:rPr>
                <w:rFonts w:ascii="仿宋" w:hAnsi="Times New Roman" w:eastAsia="仿宋" w:cs="仿宋"/>
                <w:b/>
                <w:szCs w:val="21"/>
              </w:rPr>
            </w:pPr>
            <w:r>
              <w:rPr>
                <w:rFonts w:hint="eastAsia" w:ascii="仿宋" w:hAnsi="Times New Roman" w:eastAsia="仿宋" w:cs="仿宋"/>
                <w:b/>
                <w:szCs w:val="21"/>
              </w:rPr>
              <w:t>5</w:t>
            </w:r>
          </w:p>
        </w:tc>
        <w:tc>
          <w:tcPr>
            <w:tcW w:w="943" w:type="dxa"/>
            <w:tcBorders>
              <w:top w:val="single" w:color="auto" w:sz="6" w:space="0"/>
              <w:left w:val="single" w:color="auto" w:sz="6" w:space="0"/>
              <w:bottom w:val="single" w:color="auto" w:sz="6" w:space="0"/>
              <w:right w:val="single" w:color="auto" w:sz="6" w:space="0"/>
            </w:tcBorders>
          </w:tcPr>
          <w:p>
            <w:pPr>
              <w:adjustRightInd w:val="0"/>
              <w:snapToGrid w:val="0"/>
              <w:spacing w:line="400" w:lineRule="atLeast"/>
              <w:ind w:left="-88" w:leftChars="-42"/>
              <w:jc w:val="center"/>
              <w:rPr>
                <w:rFonts w:ascii="仿宋" w:hAnsi="Times New Roman" w:eastAsia="仿宋" w:cs="仿宋"/>
                <w:b/>
                <w:szCs w:val="21"/>
              </w:rPr>
            </w:pPr>
            <w:r>
              <w:rPr>
                <w:rFonts w:hint="eastAsia" w:ascii="仿宋" w:hAnsi="Times New Roman" w:eastAsia="仿宋" w:cs="仿宋"/>
                <w:b/>
                <w:szCs w:val="21"/>
              </w:rPr>
              <w:t>/</w:t>
            </w:r>
          </w:p>
        </w:tc>
        <w:tc>
          <w:tcPr>
            <w:tcW w:w="1405"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color w:val="000000"/>
                <w:kern w:val="0"/>
                <w:sz w:val="20"/>
                <w:szCs w:val="20"/>
              </w:rPr>
            </w:pPr>
            <w:r>
              <w:rPr>
                <w:rFonts w:hint="eastAsia" w:ascii="宋体" w:hAnsi="Times New Roman" w:eastAsia="宋体" w:cs="宋体"/>
                <w:color w:val="000000"/>
                <w:kern w:val="0"/>
                <w:sz w:val="20"/>
                <w:szCs w:val="20"/>
              </w:rPr>
              <w:t>系统集成</w:t>
            </w:r>
          </w:p>
        </w:tc>
        <w:tc>
          <w:tcPr>
            <w:tcW w:w="198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color w:val="000000"/>
                <w:kern w:val="0"/>
                <w:sz w:val="20"/>
                <w:szCs w:val="20"/>
              </w:rPr>
            </w:pPr>
            <w:r>
              <w:rPr>
                <w:rFonts w:hint="eastAsia" w:ascii="宋体" w:hAnsi="Times New Roman" w:eastAsia="宋体" w:cs="宋体"/>
                <w:color w:val="000000"/>
                <w:kern w:val="0"/>
                <w:sz w:val="20"/>
                <w:szCs w:val="20"/>
              </w:rPr>
              <w:t>湖南顶壹信息技术有限公司</w:t>
            </w:r>
          </w:p>
        </w:tc>
        <w:tc>
          <w:tcPr>
            <w:tcW w:w="115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color w:val="000000"/>
                <w:kern w:val="0"/>
                <w:sz w:val="20"/>
                <w:szCs w:val="20"/>
              </w:rPr>
            </w:pPr>
            <w:r>
              <w:rPr>
                <w:rFonts w:hint="eastAsia" w:ascii="宋体" w:hAnsi="Times New Roman" w:eastAsia="宋体" w:cs="宋体"/>
                <w:color w:val="000000"/>
                <w:kern w:val="0"/>
                <w:sz w:val="20"/>
                <w:szCs w:val="20"/>
              </w:rPr>
              <w:t>服务</w:t>
            </w:r>
          </w:p>
        </w:tc>
        <w:tc>
          <w:tcPr>
            <w:tcW w:w="3100" w:type="dxa"/>
            <w:tcBorders>
              <w:top w:val="single" w:color="auto" w:sz="6" w:space="0"/>
              <w:left w:val="single" w:color="auto" w:sz="6" w:space="0"/>
              <w:bottom w:val="single" w:color="auto" w:sz="6" w:space="0"/>
              <w:right w:val="single" w:color="auto" w:sz="6" w:space="0"/>
            </w:tcBorders>
          </w:tcPr>
          <w:p>
            <w:pPr>
              <w:rPr>
                <w:rFonts w:ascii="宋体" w:hAnsi="Times New Roman" w:eastAsia="宋体" w:cs="宋体"/>
                <w:color w:val="000000"/>
                <w:kern w:val="0"/>
                <w:sz w:val="20"/>
                <w:szCs w:val="20"/>
              </w:rPr>
            </w:pPr>
            <w:r>
              <w:rPr>
                <w:rFonts w:hint="eastAsia" w:ascii="宋体" w:hAnsi="Times New Roman" w:eastAsia="宋体" w:cs="宋体"/>
                <w:color w:val="000000"/>
                <w:kern w:val="0"/>
                <w:sz w:val="20"/>
                <w:szCs w:val="20"/>
              </w:rPr>
              <w:t>提供系统集成服务。</w:t>
            </w:r>
          </w:p>
        </w:tc>
        <w:tc>
          <w:tcPr>
            <w:tcW w:w="804" w:type="dxa"/>
            <w:tcBorders>
              <w:top w:val="single" w:color="auto" w:sz="6" w:space="0"/>
              <w:left w:val="single" w:color="auto" w:sz="6" w:space="0"/>
              <w:bottom w:val="single" w:color="auto" w:sz="6" w:space="0"/>
              <w:right w:val="double" w:color="auto" w:sz="4" w:space="0"/>
            </w:tcBorders>
          </w:tcPr>
          <w:p>
            <w:pPr>
              <w:adjustRightInd w:val="0"/>
              <w:snapToGrid w:val="0"/>
              <w:spacing w:line="400" w:lineRule="atLeast"/>
              <w:ind w:left="-88" w:leftChars="-42"/>
              <w:jc w:val="center"/>
              <w:rPr>
                <w:rFonts w:ascii="仿宋" w:hAnsi="Times New Roman" w:eastAsia="仿宋" w:cs="仿宋"/>
                <w:b/>
                <w:szCs w:val="21"/>
              </w:rPr>
            </w:pPr>
            <w:r>
              <w:rPr>
                <w:rFonts w:hint="eastAsia" w:ascii="宋体" w:hAnsi="Times New Roman" w:eastAsia="宋体" w:cs="宋体"/>
                <w:color w:val="000000"/>
                <w:kern w:val="0"/>
                <w:sz w:val="20"/>
                <w:szCs w:val="20"/>
              </w:rPr>
              <w:t>湖南顶壹信息技术有限公司</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646" w:type="dxa"/>
            <w:tcBorders>
              <w:top w:val="single" w:color="auto" w:sz="6" w:space="0"/>
              <w:left w:val="double" w:color="auto" w:sz="4" w:space="0"/>
              <w:bottom w:val="double" w:color="auto" w:sz="4" w:space="0"/>
              <w:right w:val="single" w:color="auto" w:sz="6" w:space="0"/>
            </w:tcBorders>
          </w:tcPr>
          <w:p>
            <w:pPr>
              <w:adjustRightInd w:val="0"/>
              <w:snapToGrid w:val="0"/>
              <w:spacing w:line="400" w:lineRule="atLeast"/>
              <w:ind w:left="-88" w:leftChars="-42"/>
              <w:jc w:val="center"/>
              <w:rPr>
                <w:rFonts w:ascii="仿宋" w:hAnsi="Times New Roman" w:eastAsia="仿宋" w:cs="仿宋"/>
                <w:b/>
                <w:szCs w:val="21"/>
              </w:rPr>
            </w:pPr>
            <w:r>
              <w:rPr>
                <w:rFonts w:hint="eastAsia" w:ascii="仿宋" w:hAnsi="Times New Roman" w:eastAsia="仿宋" w:cs="仿宋"/>
                <w:b/>
                <w:szCs w:val="21"/>
              </w:rPr>
              <w:t>6</w:t>
            </w:r>
          </w:p>
        </w:tc>
        <w:tc>
          <w:tcPr>
            <w:tcW w:w="943" w:type="dxa"/>
            <w:tcBorders>
              <w:top w:val="single" w:color="auto" w:sz="6" w:space="0"/>
              <w:left w:val="single" w:color="auto" w:sz="6" w:space="0"/>
              <w:bottom w:val="double" w:color="auto" w:sz="4" w:space="0"/>
              <w:right w:val="single" w:color="auto" w:sz="6" w:space="0"/>
            </w:tcBorders>
          </w:tcPr>
          <w:p>
            <w:pPr>
              <w:adjustRightInd w:val="0"/>
              <w:snapToGrid w:val="0"/>
              <w:spacing w:line="400" w:lineRule="atLeast"/>
              <w:ind w:left="-88" w:leftChars="-42"/>
              <w:jc w:val="center"/>
              <w:rPr>
                <w:rFonts w:ascii="仿宋" w:hAnsi="Times New Roman" w:eastAsia="仿宋" w:cs="仿宋"/>
                <w:b/>
                <w:szCs w:val="21"/>
              </w:rPr>
            </w:pPr>
            <w:r>
              <w:rPr>
                <w:rFonts w:hint="eastAsia" w:ascii="仿宋" w:hAnsi="Times New Roman" w:eastAsia="仿宋" w:cs="仿宋"/>
                <w:b/>
                <w:szCs w:val="21"/>
              </w:rPr>
              <w:t>/</w:t>
            </w:r>
          </w:p>
        </w:tc>
        <w:tc>
          <w:tcPr>
            <w:tcW w:w="1405" w:type="dxa"/>
            <w:tcBorders>
              <w:top w:val="single" w:color="auto" w:sz="6" w:space="0"/>
              <w:left w:val="single" w:color="auto" w:sz="6" w:space="0"/>
              <w:bottom w:val="double" w:color="auto" w:sz="4" w:space="0"/>
              <w:right w:val="single" w:color="auto" w:sz="6" w:space="0"/>
            </w:tcBorders>
          </w:tcPr>
          <w:p>
            <w:pPr>
              <w:rPr>
                <w:rFonts w:ascii="宋体" w:hAnsi="Times New Roman" w:eastAsia="宋体" w:cs="宋体"/>
                <w:color w:val="000000"/>
                <w:kern w:val="0"/>
                <w:sz w:val="20"/>
                <w:szCs w:val="20"/>
              </w:rPr>
            </w:pPr>
            <w:r>
              <w:rPr>
                <w:rFonts w:hint="eastAsia" w:ascii="宋体" w:hAnsi="Times New Roman" w:eastAsia="宋体" w:cs="宋体"/>
                <w:color w:val="000000"/>
                <w:kern w:val="0"/>
                <w:sz w:val="20"/>
                <w:szCs w:val="20"/>
              </w:rPr>
              <w:t>运营费</w:t>
            </w:r>
          </w:p>
        </w:tc>
        <w:tc>
          <w:tcPr>
            <w:tcW w:w="1980" w:type="dxa"/>
            <w:tcBorders>
              <w:top w:val="single" w:color="auto" w:sz="6" w:space="0"/>
              <w:left w:val="single" w:color="auto" w:sz="6" w:space="0"/>
              <w:bottom w:val="double" w:color="auto" w:sz="4" w:space="0"/>
              <w:right w:val="single" w:color="auto" w:sz="6" w:space="0"/>
            </w:tcBorders>
          </w:tcPr>
          <w:p>
            <w:pPr>
              <w:rPr>
                <w:rFonts w:ascii="宋体" w:hAnsi="Times New Roman" w:eastAsia="宋体" w:cs="宋体"/>
                <w:color w:val="000000"/>
                <w:kern w:val="0"/>
                <w:sz w:val="20"/>
                <w:szCs w:val="20"/>
              </w:rPr>
            </w:pPr>
            <w:r>
              <w:rPr>
                <w:rFonts w:hint="eastAsia" w:ascii="宋体" w:hAnsi="Times New Roman" w:eastAsia="宋体" w:cs="宋体"/>
                <w:color w:val="000000"/>
                <w:kern w:val="0"/>
                <w:sz w:val="20"/>
                <w:szCs w:val="20"/>
              </w:rPr>
              <w:t>湖南顶壹信息技术有限公司</w:t>
            </w:r>
          </w:p>
        </w:tc>
        <w:tc>
          <w:tcPr>
            <w:tcW w:w="1150" w:type="dxa"/>
            <w:tcBorders>
              <w:top w:val="single" w:color="auto" w:sz="6" w:space="0"/>
              <w:left w:val="single" w:color="auto" w:sz="6" w:space="0"/>
              <w:bottom w:val="double" w:color="auto" w:sz="4" w:space="0"/>
              <w:right w:val="single" w:color="auto" w:sz="6" w:space="0"/>
            </w:tcBorders>
          </w:tcPr>
          <w:p>
            <w:pPr>
              <w:rPr>
                <w:rFonts w:ascii="宋体" w:hAnsi="Times New Roman" w:eastAsia="宋体" w:cs="宋体"/>
                <w:color w:val="000000"/>
                <w:kern w:val="0"/>
                <w:sz w:val="20"/>
                <w:szCs w:val="20"/>
              </w:rPr>
            </w:pPr>
            <w:r>
              <w:rPr>
                <w:rFonts w:hint="eastAsia" w:ascii="宋体" w:hAnsi="Times New Roman" w:eastAsia="宋体" w:cs="宋体"/>
                <w:color w:val="000000"/>
                <w:kern w:val="0"/>
                <w:sz w:val="20"/>
                <w:szCs w:val="20"/>
              </w:rPr>
              <w:t>服务</w:t>
            </w:r>
          </w:p>
        </w:tc>
        <w:tc>
          <w:tcPr>
            <w:tcW w:w="3100" w:type="dxa"/>
            <w:tcBorders>
              <w:top w:val="single" w:color="auto" w:sz="6" w:space="0"/>
              <w:left w:val="single" w:color="auto" w:sz="6" w:space="0"/>
              <w:bottom w:val="double" w:color="auto" w:sz="4" w:space="0"/>
              <w:right w:val="single" w:color="auto" w:sz="6" w:space="0"/>
            </w:tcBorders>
          </w:tcPr>
          <w:p>
            <w:pPr>
              <w:rPr>
                <w:rFonts w:ascii="宋体" w:hAnsi="Times New Roman" w:eastAsia="宋体" w:cs="宋体"/>
                <w:color w:val="000000"/>
                <w:kern w:val="0"/>
                <w:sz w:val="20"/>
                <w:szCs w:val="20"/>
              </w:rPr>
            </w:pPr>
            <w:r>
              <w:rPr>
                <w:rFonts w:hint="eastAsia" w:ascii="宋体" w:hAnsi="Times New Roman" w:eastAsia="宋体" w:cs="宋体"/>
                <w:color w:val="000000"/>
                <w:kern w:val="0"/>
                <w:sz w:val="20"/>
                <w:szCs w:val="20"/>
              </w:rPr>
              <w:t>为湘易办政务版提供一年期平台运营推广服务，包括客服及技术支撑服务、全市 湘易办政务版通用规则配置服务、重点事件支持响应及保障支持服务、平台推广运营 服务、日常系统软文编写及推送服务、使用指南编制等服务，为平台接入应用提供协</w:t>
            </w:r>
          </w:p>
          <w:p>
            <w:pPr>
              <w:rPr>
                <w:rFonts w:ascii="宋体" w:hAnsi="Times New Roman" w:eastAsia="宋体" w:cs="宋体"/>
                <w:color w:val="000000"/>
                <w:kern w:val="0"/>
                <w:sz w:val="20"/>
                <w:szCs w:val="20"/>
              </w:rPr>
            </w:pPr>
            <w:r>
              <w:rPr>
                <w:rFonts w:hint="eastAsia" w:ascii="宋体" w:hAnsi="Times New Roman" w:eastAsia="宋体" w:cs="宋体"/>
                <w:color w:val="000000"/>
                <w:kern w:val="0"/>
                <w:sz w:val="20"/>
                <w:szCs w:val="20"/>
              </w:rPr>
              <w:t>助支持， 对平台运行及用户使用情况进行数据统计，为领导决策提供辅助服务。</w:t>
            </w:r>
          </w:p>
        </w:tc>
        <w:tc>
          <w:tcPr>
            <w:tcW w:w="804" w:type="dxa"/>
            <w:tcBorders>
              <w:top w:val="single" w:color="auto" w:sz="6" w:space="0"/>
              <w:left w:val="single" w:color="auto" w:sz="6" w:space="0"/>
              <w:bottom w:val="double" w:color="auto" w:sz="4" w:space="0"/>
              <w:right w:val="double" w:color="auto" w:sz="4" w:space="0"/>
            </w:tcBorders>
          </w:tcPr>
          <w:p>
            <w:pPr>
              <w:adjustRightInd w:val="0"/>
              <w:snapToGrid w:val="0"/>
              <w:spacing w:line="400" w:lineRule="atLeast"/>
              <w:ind w:left="-88" w:leftChars="-42"/>
              <w:jc w:val="center"/>
              <w:rPr>
                <w:rFonts w:ascii="仿宋" w:hAnsi="Times New Roman" w:eastAsia="仿宋" w:cs="仿宋"/>
                <w:b/>
                <w:szCs w:val="21"/>
              </w:rPr>
            </w:pPr>
            <w:r>
              <w:rPr>
                <w:rFonts w:hint="eastAsia" w:ascii="宋体" w:hAnsi="Times New Roman" w:eastAsia="宋体" w:cs="宋体"/>
                <w:color w:val="000000"/>
                <w:kern w:val="0"/>
                <w:sz w:val="20"/>
                <w:szCs w:val="20"/>
              </w:rPr>
              <w:t>湖南顶壹信息技术有限公司</w:t>
            </w:r>
          </w:p>
        </w:tc>
      </w:tr>
    </w:tbl>
    <w:p>
      <w:pPr>
        <w:widowControl/>
        <w:jc w:val="left"/>
        <w:sectPr>
          <w:pgSz w:w="11906" w:h="16838"/>
          <w:pgMar w:top="1440" w:right="1800" w:bottom="1276" w:left="1800" w:header="851" w:footer="992" w:gutter="0"/>
          <w:cols w:space="720" w:num="1"/>
          <w:docGrid w:type="lines" w:linePitch="312" w:charSpace="0"/>
        </w:sect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Helvetica">
    <w:altName w:val="Arial"/>
    <w:panose1 w:val="020B0504020202020204"/>
    <w:charset w:val="00"/>
    <w:family w:val="swiss"/>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cxYTRkZmJlNjViYjA2M2JmZmE5YTA5YTMyOTBmMGYifQ=="/>
  </w:docVars>
  <w:rsids>
    <w:rsidRoot w:val="53717FB5"/>
    <w:rsid w:val="53717F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2024-02-22T07:42:00Z</dcterms:created>
  <dc:creator>万泉</dc:creator>
  <cp:lastModifiedBy>万泉</cp:lastModifiedBy>
  <dcterms:modified xsi:type="dcterms:W3CDTF">2024-02-22T07:43:33Z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A5FB23B9D9514F2A83B21D486AE2D921_11</vt:lpwstr>
  </property>
</Properties>
</file>