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74ADF0">
      <w:pPr>
        <w:pStyle w:val="3"/>
        <w:keepNext w:val="0"/>
        <w:keepLines w:val="0"/>
        <w:pageBreakBefore/>
        <w:widowControl w:val="0"/>
        <w:kinsoku/>
        <w:wordWrap/>
        <w:overflowPunct/>
        <w:topLinePunct w:val="0"/>
        <w:autoSpaceDE/>
        <w:autoSpaceDN/>
        <w:bidi w:val="0"/>
        <w:adjustRightInd w:val="0"/>
        <w:snapToGrid w:val="0"/>
        <w:spacing w:line="360" w:lineRule="auto"/>
        <w:jc w:val="center"/>
        <w:textAlignment w:val="auto"/>
        <w:outlineLvl w:val="2"/>
        <w:rPr>
          <w:rStyle w:val="9"/>
          <w:rFonts w:hint="eastAsia" w:ascii="CESI黑体-GB2312" w:hAnsi="CESI黑体-GB2312" w:eastAsia="CESI黑体-GB2312" w:cs="CESI黑体-GB2312"/>
          <w:color w:val="auto"/>
          <w:kern w:val="0"/>
          <w:sz w:val="24"/>
          <w:szCs w:val="24"/>
          <w:highlight w:val="none"/>
          <w:vertAlign w:val="baseline"/>
          <w:lang w:val="en-US" w:eastAsia="zh-CN" w:bidi="ar"/>
        </w:rPr>
      </w:pPr>
      <w:r>
        <w:rPr>
          <w:rFonts w:hint="eastAsia" w:ascii="黑体" w:hAnsi="华文中宋" w:eastAsia="黑体"/>
          <w:b/>
          <w:sz w:val="32"/>
          <w:szCs w:val="32"/>
          <w:highlight w:val="white"/>
        </w:rPr>
        <w:t>第四章 技术规格、参数与要求</w:t>
      </w:r>
    </w:p>
    <w:p w14:paraId="3D4B00AF">
      <w:pPr>
        <w:pStyle w:val="7"/>
        <w:keepNext w:val="0"/>
        <w:keepLines w:val="0"/>
        <w:pageBreakBefore w:val="0"/>
        <w:widowControl/>
        <w:suppressLineNumbers w:val="0"/>
        <w:kinsoku/>
        <w:wordWrap/>
        <w:overflowPunct/>
        <w:topLinePunct w:val="0"/>
        <w:autoSpaceDE/>
        <w:autoSpaceDN/>
        <w:bidi w:val="0"/>
        <w:adjustRightInd/>
        <w:snapToGrid w:val="0"/>
        <w:spacing w:before="157" w:beforeLines="50" w:after="157" w:afterLines="50" w:line="360" w:lineRule="auto"/>
        <w:jc w:val="center"/>
        <w:textAlignment w:val="center"/>
        <w:rPr>
          <w:rStyle w:val="9"/>
          <w:rFonts w:hint="default" w:ascii="CESI黑体-GB2312" w:hAnsi="CESI黑体-GB2312" w:eastAsia="CESI黑体-GB2312" w:cs="CESI黑体-GB2312"/>
          <w:color w:val="auto"/>
          <w:kern w:val="0"/>
          <w:sz w:val="24"/>
          <w:szCs w:val="24"/>
          <w:highlight w:val="none"/>
          <w:vertAlign w:val="baseline"/>
          <w:lang w:val="en-US" w:eastAsia="zh-CN" w:bidi="ar"/>
        </w:rPr>
      </w:pPr>
      <w:r>
        <w:rPr>
          <w:rStyle w:val="9"/>
          <w:rFonts w:hint="eastAsia" w:ascii="CESI黑体-GB2312" w:hAnsi="CESI黑体-GB2312" w:eastAsia="CESI黑体-GB2312" w:cs="CESI黑体-GB2312"/>
          <w:color w:val="auto"/>
          <w:kern w:val="0"/>
          <w:sz w:val="24"/>
          <w:szCs w:val="24"/>
          <w:highlight w:val="none"/>
          <w:vertAlign w:val="baseline"/>
          <w:lang w:val="en-US" w:eastAsia="zh-CN" w:bidi="ar"/>
        </w:rPr>
        <w:t xml:space="preserve">第一节 </w:t>
      </w:r>
      <w:r>
        <w:rPr>
          <w:rStyle w:val="9"/>
          <w:rFonts w:hint="default" w:ascii="CESI黑体-GB2312" w:hAnsi="CESI黑体-GB2312" w:eastAsia="CESI黑体-GB2312" w:cs="CESI黑体-GB2312"/>
          <w:color w:val="auto"/>
          <w:kern w:val="0"/>
          <w:sz w:val="24"/>
          <w:szCs w:val="24"/>
          <w:highlight w:val="none"/>
          <w:vertAlign w:val="baseline"/>
          <w:lang w:val="en-US" w:eastAsia="zh-CN" w:bidi="ar"/>
        </w:rPr>
        <w:t>货物需求一览表</w:t>
      </w:r>
    </w:p>
    <w:tbl>
      <w:tblPr>
        <w:tblStyle w:val="8"/>
        <w:tblW w:w="1045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82"/>
        <w:gridCol w:w="2705"/>
        <w:gridCol w:w="1149"/>
        <w:gridCol w:w="870"/>
        <w:gridCol w:w="1931"/>
        <w:gridCol w:w="1412"/>
        <w:gridCol w:w="1907"/>
      </w:tblGrid>
      <w:tr w14:paraId="158D63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482" w:type="dxa"/>
            <w:noWrap w:val="0"/>
            <w:vAlign w:val="center"/>
          </w:tcPr>
          <w:p w14:paraId="3C3438C1">
            <w:pPr>
              <w:pStyle w:val="7"/>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baseline"/>
              <w:rPr>
                <w:rStyle w:val="9"/>
                <w:rFonts w:hint="eastAsia" w:ascii="黑体" w:hAnsi="黑体" w:eastAsia="黑体" w:cs="黑体"/>
                <w:b/>
                <w:color w:val="000000"/>
                <w:sz w:val="21"/>
                <w:szCs w:val="21"/>
                <w:highlight w:val="none"/>
                <w:lang w:val="en-US" w:eastAsia="zh-CN"/>
              </w:rPr>
            </w:pPr>
            <w:r>
              <w:rPr>
                <w:rStyle w:val="9"/>
                <w:rFonts w:hint="eastAsia" w:ascii="黑体" w:hAnsi="黑体" w:eastAsia="黑体" w:cs="黑体"/>
                <w:b/>
                <w:color w:val="000000"/>
                <w:sz w:val="21"/>
                <w:szCs w:val="21"/>
                <w:highlight w:val="none"/>
                <w:lang w:val="en-US" w:eastAsia="zh-CN"/>
              </w:rPr>
              <w:t>序号</w:t>
            </w:r>
          </w:p>
        </w:tc>
        <w:tc>
          <w:tcPr>
            <w:tcW w:w="2705" w:type="dxa"/>
            <w:noWrap w:val="0"/>
            <w:vAlign w:val="center"/>
          </w:tcPr>
          <w:p w14:paraId="0229C5CD">
            <w:pPr>
              <w:pStyle w:val="7"/>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baseline"/>
              <w:rPr>
                <w:rStyle w:val="9"/>
                <w:rFonts w:hint="eastAsia" w:ascii="黑体" w:hAnsi="黑体" w:eastAsia="黑体" w:cs="黑体"/>
                <w:b/>
                <w:color w:val="000000"/>
                <w:sz w:val="21"/>
                <w:szCs w:val="21"/>
                <w:highlight w:val="none"/>
              </w:rPr>
            </w:pPr>
            <w:r>
              <w:rPr>
                <w:rStyle w:val="9"/>
                <w:rFonts w:hint="eastAsia" w:ascii="黑体" w:hAnsi="黑体" w:eastAsia="黑体" w:cs="黑体"/>
                <w:b/>
                <w:color w:val="000000"/>
                <w:sz w:val="21"/>
                <w:szCs w:val="21"/>
                <w:highlight w:val="none"/>
                <w:lang w:val="en-US" w:eastAsia="zh-CN"/>
              </w:rPr>
              <w:t>项目</w:t>
            </w:r>
            <w:r>
              <w:rPr>
                <w:rStyle w:val="9"/>
                <w:rFonts w:hint="eastAsia" w:ascii="黑体" w:hAnsi="黑体" w:eastAsia="黑体" w:cs="黑体"/>
                <w:b/>
                <w:color w:val="000000"/>
                <w:sz w:val="21"/>
                <w:szCs w:val="21"/>
                <w:highlight w:val="none"/>
              </w:rPr>
              <w:t>名称</w:t>
            </w:r>
          </w:p>
        </w:tc>
        <w:tc>
          <w:tcPr>
            <w:tcW w:w="1149" w:type="dxa"/>
            <w:noWrap w:val="0"/>
            <w:vAlign w:val="center"/>
          </w:tcPr>
          <w:p w14:paraId="2CAABF56">
            <w:pPr>
              <w:pStyle w:val="7"/>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baseline"/>
              <w:rPr>
                <w:rStyle w:val="9"/>
                <w:rFonts w:hint="eastAsia" w:ascii="黑体" w:hAnsi="黑体" w:eastAsia="黑体" w:cs="黑体"/>
                <w:b/>
                <w:color w:val="000000"/>
                <w:sz w:val="21"/>
                <w:szCs w:val="21"/>
                <w:highlight w:val="none"/>
              </w:rPr>
            </w:pPr>
            <w:r>
              <w:rPr>
                <w:rStyle w:val="9"/>
                <w:rFonts w:hint="eastAsia" w:ascii="黑体" w:hAnsi="黑体" w:eastAsia="黑体" w:cs="黑体"/>
                <w:b/>
                <w:color w:val="000000"/>
                <w:kern w:val="0"/>
                <w:sz w:val="21"/>
                <w:szCs w:val="21"/>
              </w:rPr>
              <w:t>是否接受进口设备</w:t>
            </w:r>
          </w:p>
        </w:tc>
        <w:tc>
          <w:tcPr>
            <w:tcW w:w="870" w:type="dxa"/>
            <w:noWrap w:val="0"/>
            <w:vAlign w:val="center"/>
          </w:tcPr>
          <w:p w14:paraId="5B43C42C">
            <w:pPr>
              <w:pStyle w:val="7"/>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baseline"/>
              <w:rPr>
                <w:rStyle w:val="9"/>
                <w:rFonts w:hint="eastAsia" w:ascii="黑体" w:hAnsi="黑体" w:eastAsia="黑体" w:cs="黑体"/>
                <w:b/>
                <w:color w:val="000000"/>
                <w:sz w:val="21"/>
                <w:szCs w:val="21"/>
                <w:highlight w:val="none"/>
              </w:rPr>
            </w:pPr>
            <w:r>
              <w:rPr>
                <w:rStyle w:val="9"/>
                <w:rFonts w:hint="eastAsia" w:ascii="黑体" w:hAnsi="黑体" w:eastAsia="黑体" w:cs="黑体"/>
                <w:b/>
                <w:color w:val="000000"/>
                <w:sz w:val="21"/>
                <w:szCs w:val="21"/>
                <w:highlight w:val="none"/>
              </w:rPr>
              <w:t>数量</w:t>
            </w:r>
          </w:p>
          <w:p w14:paraId="5619538E">
            <w:pPr>
              <w:pStyle w:val="7"/>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baseline"/>
              <w:rPr>
                <w:rStyle w:val="9"/>
                <w:rFonts w:hint="eastAsia" w:ascii="黑体" w:hAnsi="黑体" w:eastAsia="黑体" w:cs="黑体"/>
                <w:b/>
                <w:color w:val="000000"/>
                <w:sz w:val="21"/>
                <w:szCs w:val="21"/>
                <w:highlight w:val="none"/>
                <w:lang w:val="en-US" w:eastAsia="zh-CN" w:bidi="ar-SA"/>
              </w:rPr>
            </w:pPr>
            <w:r>
              <w:rPr>
                <w:rStyle w:val="9"/>
                <w:rFonts w:hint="eastAsia" w:ascii="黑体" w:hAnsi="黑体" w:eastAsia="黑体" w:cs="黑体"/>
                <w:b/>
                <w:color w:val="000000"/>
                <w:sz w:val="21"/>
                <w:szCs w:val="21"/>
                <w:highlight w:val="none"/>
                <w:lang w:eastAsia="zh-CN"/>
              </w:rPr>
              <w:t>（</w:t>
            </w:r>
            <w:r>
              <w:rPr>
                <w:rStyle w:val="9"/>
                <w:rFonts w:hint="eastAsia" w:ascii="黑体" w:hAnsi="黑体" w:eastAsia="黑体" w:cs="黑体"/>
                <w:b/>
                <w:color w:val="000000"/>
                <w:sz w:val="21"/>
                <w:szCs w:val="21"/>
                <w:highlight w:val="none"/>
                <w:lang w:val="en-US" w:eastAsia="zh-CN"/>
              </w:rPr>
              <w:t>项</w:t>
            </w:r>
            <w:r>
              <w:rPr>
                <w:rStyle w:val="9"/>
                <w:rFonts w:hint="eastAsia" w:ascii="黑体" w:hAnsi="黑体" w:eastAsia="黑体" w:cs="黑体"/>
                <w:b/>
                <w:color w:val="000000"/>
                <w:sz w:val="21"/>
                <w:szCs w:val="21"/>
                <w:highlight w:val="none"/>
                <w:lang w:eastAsia="zh-CN"/>
              </w:rPr>
              <w:t>）</w:t>
            </w:r>
          </w:p>
        </w:tc>
        <w:tc>
          <w:tcPr>
            <w:tcW w:w="1931" w:type="dxa"/>
            <w:noWrap w:val="0"/>
            <w:vAlign w:val="center"/>
          </w:tcPr>
          <w:p w14:paraId="3E718A5A">
            <w:pPr>
              <w:pStyle w:val="7"/>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baseline"/>
              <w:rPr>
                <w:rStyle w:val="9"/>
                <w:rFonts w:hint="eastAsia" w:ascii="黑体" w:hAnsi="黑体" w:eastAsia="黑体" w:cs="黑体"/>
                <w:b/>
                <w:color w:val="000000"/>
                <w:sz w:val="21"/>
                <w:szCs w:val="21"/>
                <w:highlight w:val="none"/>
                <w:lang w:val="en-US" w:eastAsia="zh-CN"/>
              </w:rPr>
            </w:pPr>
            <w:r>
              <w:rPr>
                <w:rStyle w:val="9"/>
                <w:rFonts w:hint="eastAsia" w:ascii="黑体" w:hAnsi="黑体" w:eastAsia="黑体" w:cs="黑体"/>
                <w:b/>
                <w:color w:val="000000"/>
                <w:sz w:val="21"/>
                <w:szCs w:val="21"/>
                <w:highlight w:val="none"/>
                <w:lang w:val="en-US" w:eastAsia="zh-CN"/>
              </w:rPr>
              <w:t>交货时间</w:t>
            </w:r>
          </w:p>
        </w:tc>
        <w:tc>
          <w:tcPr>
            <w:tcW w:w="1412" w:type="dxa"/>
            <w:noWrap w:val="0"/>
            <w:vAlign w:val="center"/>
          </w:tcPr>
          <w:p w14:paraId="12C1DA5C">
            <w:pPr>
              <w:pStyle w:val="7"/>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baseline"/>
              <w:rPr>
                <w:rStyle w:val="9"/>
                <w:rFonts w:hint="eastAsia" w:ascii="黑体" w:hAnsi="黑体" w:eastAsia="黑体" w:cs="黑体"/>
                <w:b/>
                <w:color w:val="000000"/>
                <w:sz w:val="21"/>
                <w:szCs w:val="21"/>
                <w:highlight w:val="none"/>
                <w:lang w:val="en-US" w:eastAsia="zh-CN"/>
              </w:rPr>
            </w:pPr>
            <w:r>
              <w:rPr>
                <w:rStyle w:val="9"/>
                <w:rFonts w:hint="eastAsia" w:ascii="黑体" w:hAnsi="黑体" w:eastAsia="黑体" w:cs="黑体"/>
                <w:b/>
                <w:color w:val="000000"/>
                <w:sz w:val="21"/>
                <w:szCs w:val="21"/>
                <w:highlight w:val="none"/>
                <w:lang w:val="en-US" w:eastAsia="zh-CN"/>
              </w:rPr>
              <w:t>交货地点</w:t>
            </w:r>
          </w:p>
        </w:tc>
        <w:tc>
          <w:tcPr>
            <w:tcW w:w="1907" w:type="dxa"/>
            <w:noWrap w:val="0"/>
            <w:vAlign w:val="center"/>
          </w:tcPr>
          <w:p w14:paraId="0BCEBD53">
            <w:pPr>
              <w:pStyle w:val="7"/>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baseline"/>
              <w:rPr>
                <w:rStyle w:val="9"/>
                <w:rFonts w:hint="eastAsia" w:ascii="黑体" w:hAnsi="黑体" w:eastAsia="黑体" w:cs="黑体"/>
                <w:b/>
                <w:color w:val="000000"/>
                <w:sz w:val="21"/>
                <w:szCs w:val="21"/>
                <w:highlight w:val="none"/>
                <w:lang w:val="en-US" w:eastAsia="zh-CN"/>
              </w:rPr>
            </w:pPr>
            <w:r>
              <w:rPr>
                <w:rStyle w:val="9"/>
                <w:rFonts w:hint="eastAsia" w:ascii="黑体" w:hAnsi="黑体" w:eastAsia="黑体" w:cs="黑体"/>
                <w:b/>
                <w:color w:val="000000"/>
                <w:sz w:val="21"/>
                <w:szCs w:val="21"/>
                <w:highlight w:val="none"/>
                <w:lang w:val="en-US" w:eastAsia="zh-CN"/>
              </w:rPr>
              <w:t>最高限价</w:t>
            </w:r>
          </w:p>
          <w:p w14:paraId="2F41C4E3">
            <w:pPr>
              <w:pStyle w:val="7"/>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baseline"/>
              <w:rPr>
                <w:rStyle w:val="9"/>
                <w:rFonts w:hint="eastAsia" w:ascii="黑体" w:hAnsi="黑体" w:eastAsia="黑体" w:cs="黑体"/>
                <w:b/>
                <w:color w:val="000000"/>
                <w:sz w:val="21"/>
                <w:szCs w:val="21"/>
                <w:highlight w:val="none"/>
                <w:lang w:eastAsia="zh-CN"/>
              </w:rPr>
            </w:pPr>
            <w:r>
              <w:rPr>
                <w:rStyle w:val="9"/>
                <w:rFonts w:hint="eastAsia" w:ascii="黑体" w:hAnsi="黑体" w:eastAsia="黑体" w:cs="黑体"/>
                <w:b/>
                <w:color w:val="000000"/>
                <w:sz w:val="21"/>
                <w:szCs w:val="21"/>
                <w:highlight w:val="none"/>
                <w:lang w:val="en-US" w:eastAsia="zh-CN"/>
              </w:rPr>
              <w:t>（人民币/元）</w:t>
            </w:r>
          </w:p>
        </w:tc>
      </w:tr>
      <w:tr w14:paraId="0F5C04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2" w:type="dxa"/>
            <w:noWrap w:val="0"/>
            <w:vAlign w:val="center"/>
          </w:tcPr>
          <w:p w14:paraId="15A12BC9">
            <w:pPr>
              <w:pStyle w:val="7"/>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baseline"/>
              <w:rPr>
                <w:rStyle w:val="9"/>
                <w:rFonts w:hint="eastAsia" w:ascii="仿宋_GB2312" w:hAnsi="仿宋_GB2312" w:eastAsia="仿宋_GB2312" w:cs="仿宋_GB2312"/>
                <w:b w:val="0"/>
                <w:bCs w:val="0"/>
                <w:color w:val="000000"/>
                <w:sz w:val="21"/>
                <w:szCs w:val="21"/>
                <w:highlight w:val="none"/>
                <w:lang w:val="en-US" w:eastAsia="zh-CN"/>
              </w:rPr>
            </w:pPr>
            <w:r>
              <w:rPr>
                <w:rStyle w:val="9"/>
                <w:rFonts w:hint="eastAsia" w:ascii="仿宋_GB2312" w:hAnsi="仿宋_GB2312" w:eastAsia="仿宋_GB2312" w:cs="仿宋_GB2312"/>
                <w:b w:val="0"/>
                <w:bCs w:val="0"/>
                <w:color w:val="000000"/>
                <w:sz w:val="21"/>
                <w:szCs w:val="21"/>
                <w:highlight w:val="none"/>
                <w:lang w:val="en-US" w:eastAsia="zh-CN"/>
              </w:rPr>
              <w:t>1</w:t>
            </w:r>
          </w:p>
        </w:tc>
        <w:tc>
          <w:tcPr>
            <w:tcW w:w="2705" w:type="dxa"/>
            <w:noWrap w:val="0"/>
            <w:vAlign w:val="center"/>
          </w:tcPr>
          <w:p w14:paraId="20E9800D">
            <w:pPr>
              <w:pStyle w:val="7"/>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Style w:val="9"/>
                <w:rFonts w:hint="eastAsia" w:ascii="仿宋_GB2312" w:hAnsi="仿宋_GB2312" w:eastAsia="仿宋_GB2312" w:cs="仿宋_GB2312"/>
                <w:b w:val="0"/>
                <w:bCs w:val="0"/>
                <w:color w:val="000000"/>
                <w:sz w:val="21"/>
                <w:szCs w:val="21"/>
                <w:highlight w:val="none"/>
                <w:lang w:eastAsia="zh-CN"/>
              </w:rPr>
            </w:pPr>
            <w:r>
              <w:rPr>
                <w:rStyle w:val="9"/>
                <w:rFonts w:hint="eastAsia" w:ascii="仿宋_GB2312" w:hAnsi="仿宋_GB2312" w:eastAsia="仿宋_GB2312" w:cs="仿宋_GB2312"/>
                <w:b w:val="0"/>
                <w:bCs w:val="0"/>
                <w:color w:val="000000"/>
                <w:szCs w:val="21"/>
                <w:highlight w:val="none"/>
                <w:lang w:eastAsia="zh-CN"/>
              </w:rPr>
              <w:t>长沙县</w:t>
            </w:r>
            <w:r>
              <w:rPr>
                <w:rStyle w:val="9"/>
                <w:rFonts w:hint="eastAsia" w:ascii="仿宋_GB2312" w:hAnsi="仿宋_GB2312" w:eastAsia="仿宋_GB2312" w:cs="仿宋_GB2312"/>
                <w:b w:val="0"/>
                <w:bCs w:val="0"/>
                <w:color w:val="000000"/>
                <w:szCs w:val="21"/>
                <w:highlight w:val="none"/>
                <w:lang w:val="en-US" w:eastAsia="zh-CN"/>
              </w:rPr>
              <w:t>第二</w:t>
            </w:r>
            <w:r>
              <w:rPr>
                <w:rStyle w:val="9"/>
                <w:rFonts w:hint="eastAsia" w:ascii="仿宋_GB2312" w:hAnsi="仿宋_GB2312" w:eastAsia="仿宋_GB2312" w:cs="仿宋_GB2312"/>
                <w:b w:val="0"/>
                <w:bCs w:val="0"/>
                <w:color w:val="000000"/>
                <w:szCs w:val="21"/>
                <w:highlight w:val="none"/>
                <w:lang w:eastAsia="zh-CN"/>
              </w:rPr>
              <w:t>人民医院</w:t>
            </w:r>
            <w:r>
              <w:rPr>
                <w:rStyle w:val="9"/>
                <w:rFonts w:hint="eastAsia" w:ascii="仿宋_GB2312" w:hAnsi="仿宋_GB2312" w:eastAsia="仿宋_GB2312" w:cs="仿宋_GB2312"/>
                <w:b w:val="0"/>
                <w:bCs w:val="0"/>
                <w:color w:val="000000"/>
                <w:szCs w:val="21"/>
                <w:highlight w:val="none"/>
                <w:lang w:val="en-US" w:eastAsia="zh-CN"/>
              </w:rPr>
              <w:t>整体搬迁项目手术室专项</w:t>
            </w:r>
            <w:r>
              <w:rPr>
                <w:rStyle w:val="9"/>
                <w:rFonts w:hint="eastAsia" w:ascii="仿宋_GB2312" w:hAnsi="仿宋_GB2312" w:eastAsia="仿宋_GB2312" w:cs="仿宋_GB2312"/>
                <w:b w:val="0"/>
                <w:bCs w:val="0"/>
                <w:color w:val="000000"/>
                <w:szCs w:val="21"/>
                <w:highlight w:val="none"/>
                <w:lang w:eastAsia="zh-CN"/>
              </w:rPr>
              <w:t>设施设备采购及安装项目</w:t>
            </w:r>
          </w:p>
        </w:tc>
        <w:tc>
          <w:tcPr>
            <w:tcW w:w="1149" w:type="dxa"/>
            <w:noWrap w:val="0"/>
            <w:vAlign w:val="center"/>
          </w:tcPr>
          <w:p w14:paraId="5B2D2E50">
            <w:pPr>
              <w:pStyle w:val="7"/>
              <w:keepNext w:val="0"/>
              <w:keepLines w:val="0"/>
              <w:pageBreakBefore w:val="0"/>
              <w:widowControl/>
              <w:suppressLineNumbers w:val="0"/>
              <w:kinsoku/>
              <w:wordWrap/>
              <w:overflowPunct/>
              <w:autoSpaceDE/>
              <w:autoSpaceDN/>
              <w:bidi w:val="0"/>
              <w:snapToGrid w:val="0"/>
              <w:spacing w:line="360" w:lineRule="auto"/>
              <w:ind w:left="0" w:leftChars="0" w:right="0" w:rightChars="0" w:firstLine="0" w:firstLineChars="0"/>
              <w:jc w:val="center"/>
              <w:textAlignment w:val="center"/>
              <w:rPr>
                <w:rStyle w:val="9"/>
                <w:rFonts w:hint="eastAsia" w:ascii="仿宋_GB2312" w:hAnsi="仿宋_GB2312" w:eastAsia="仿宋_GB2312" w:cs="仿宋_GB2312"/>
                <w:b w:val="0"/>
                <w:bCs w:val="0"/>
                <w:i w:val="0"/>
                <w:iCs w:val="0"/>
                <w:color w:val="000000"/>
                <w:kern w:val="0"/>
                <w:sz w:val="21"/>
                <w:szCs w:val="21"/>
                <w:highlight w:val="none"/>
                <w:u w:val="none"/>
                <w:lang w:val="en-US" w:eastAsia="zh-CN" w:bidi="ar"/>
              </w:rPr>
            </w:pPr>
            <w:r>
              <w:rPr>
                <w:rStyle w:val="9"/>
                <w:rFonts w:hint="eastAsia" w:ascii="仿宋_GB2312" w:hAnsi="仿宋_GB2312" w:eastAsia="仿宋_GB2312" w:cs="仿宋_GB2312"/>
                <w:b w:val="0"/>
                <w:bCs w:val="0"/>
                <w:i w:val="0"/>
                <w:iCs w:val="0"/>
                <w:color w:val="000000"/>
                <w:kern w:val="0"/>
                <w:sz w:val="21"/>
                <w:szCs w:val="21"/>
                <w:highlight w:val="none"/>
                <w:u w:val="none"/>
                <w:lang w:val="en-US" w:eastAsia="zh-CN" w:bidi="ar"/>
              </w:rPr>
              <w:t>否</w:t>
            </w:r>
          </w:p>
        </w:tc>
        <w:tc>
          <w:tcPr>
            <w:tcW w:w="870" w:type="dxa"/>
            <w:noWrap w:val="0"/>
            <w:vAlign w:val="center"/>
          </w:tcPr>
          <w:p w14:paraId="52411E01">
            <w:pPr>
              <w:pStyle w:val="7"/>
              <w:keepNext w:val="0"/>
              <w:keepLines w:val="0"/>
              <w:pageBreakBefore w:val="0"/>
              <w:widowControl/>
              <w:suppressLineNumbers w:val="0"/>
              <w:kinsoku/>
              <w:wordWrap/>
              <w:overflowPunct/>
              <w:autoSpaceDE/>
              <w:autoSpaceDN/>
              <w:bidi w:val="0"/>
              <w:snapToGrid w:val="0"/>
              <w:spacing w:line="360" w:lineRule="auto"/>
              <w:ind w:left="0" w:leftChars="0" w:right="0" w:rightChars="0" w:firstLine="0" w:firstLineChars="0"/>
              <w:jc w:val="center"/>
              <w:textAlignment w:val="center"/>
              <w:rPr>
                <w:rStyle w:val="9"/>
                <w:rFonts w:hint="eastAsia" w:ascii="仿宋_GB2312" w:hAnsi="仿宋_GB2312" w:eastAsia="仿宋_GB2312" w:cs="仿宋_GB2312"/>
                <w:b w:val="0"/>
                <w:bCs w:val="0"/>
                <w:color w:val="000000"/>
                <w:sz w:val="21"/>
                <w:szCs w:val="21"/>
                <w:highlight w:val="none"/>
                <w:lang w:val="en-US" w:eastAsia="zh-CN" w:bidi="ar-SA"/>
              </w:rPr>
            </w:pPr>
            <w:r>
              <w:rPr>
                <w:rStyle w:val="9"/>
                <w:rFonts w:hint="eastAsia" w:ascii="仿宋_GB2312" w:hAnsi="仿宋_GB2312" w:eastAsia="仿宋_GB2312" w:cs="仿宋_GB2312"/>
                <w:b w:val="0"/>
                <w:bCs w:val="0"/>
                <w:i w:val="0"/>
                <w:iCs w:val="0"/>
                <w:color w:val="000000"/>
                <w:kern w:val="0"/>
                <w:sz w:val="21"/>
                <w:szCs w:val="21"/>
                <w:highlight w:val="none"/>
                <w:u w:val="none"/>
                <w:lang w:val="en-US" w:eastAsia="zh-CN" w:bidi="ar"/>
              </w:rPr>
              <w:t>1</w:t>
            </w:r>
          </w:p>
        </w:tc>
        <w:tc>
          <w:tcPr>
            <w:tcW w:w="1931" w:type="dxa"/>
            <w:noWrap w:val="0"/>
            <w:vAlign w:val="center"/>
          </w:tcPr>
          <w:p w14:paraId="6C089CD4">
            <w:pPr>
              <w:pStyle w:val="7"/>
              <w:keepNext w:val="0"/>
              <w:keepLines w:val="0"/>
              <w:pageBreakBefore w:val="0"/>
              <w:widowControl/>
              <w:suppressLineNumbers w:val="0"/>
              <w:kinsoku/>
              <w:wordWrap/>
              <w:overflowPunct/>
              <w:autoSpaceDE/>
              <w:autoSpaceDN/>
              <w:bidi w:val="0"/>
              <w:snapToGrid w:val="0"/>
              <w:spacing w:line="360" w:lineRule="auto"/>
              <w:ind w:left="0" w:leftChars="0" w:right="0" w:rightChars="0" w:firstLine="0" w:firstLineChars="0"/>
              <w:jc w:val="center"/>
              <w:textAlignment w:val="center"/>
              <w:rPr>
                <w:rStyle w:val="9"/>
                <w:rFonts w:hint="eastAsia" w:ascii="仿宋_GB2312" w:hAnsi="仿宋_GB2312" w:eastAsia="仿宋_GB2312" w:cs="仿宋_GB2312"/>
                <w:b w:val="0"/>
                <w:bCs w:val="0"/>
                <w:i w:val="0"/>
                <w:iCs w:val="0"/>
                <w:color w:val="000000"/>
                <w:kern w:val="0"/>
                <w:sz w:val="21"/>
                <w:szCs w:val="21"/>
                <w:highlight w:val="none"/>
                <w:u w:val="none"/>
                <w:lang w:val="en-US" w:eastAsia="zh-CN" w:bidi="ar"/>
              </w:rPr>
            </w:pPr>
            <w:r>
              <w:rPr>
                <w:rStyle w:val="9"/>
                <w:rFonts w:hint="eastAsia" w:ascii="仿宋_GB2312" w:hAnsi="仿宋_GB2312" w:eastAsia="仿宋_GB2312" w:cs="仿宋_GB2312"/>
                <w:b w:val="0"/>
                <w:bCs w:val="0"/>
                <w:color w:val="000000"/>
                <w:kern w:val="2"/>
                <w:sz w:val="21"/>
                <w:szCs w:val="21"/>
                <w:highlight w:val="none"/>
              </w:rPr>
              <w:t>以</w:t>
            </w:r>
            <w:r>
              <w:rPr>
                <w:rStyle w:val="9"/>
                <w:rFonts w:hint="eastAsia" w:ascii="仿宋_GB2312" w:hAnsi="仿宋_GB2312" w:eastAsia="仿宋_GB2312" w:cs="仿宋_GB2312"/>
                <w:b w:val="0"/>
                <w:bCs w:val="0"/>
                <w:color w:val="000000"/>
                <w:kern w:val="2"/>
                <w:sz w:val="21"/>
                <w:szCs w:val="21"/>
                <w:highlight w:val="none"/>
                <w:lang w:val="en-US" w:eastAsia="zh-CN"/>
              </w:rPr>
              <w:t>甲方</w:t>
            </w:r>
            <w:r>
              <w:rPr>
                <w:rStyle w:val="9"/>
                <w:rFonts w:hint="eastAsia" w:ascii="仿宋_GB2312" w:hAnsi="仿宋_GB2312" w:eastAsia="仿宋_GB2312" w:cs="仿宋_GB2312"/>
                <w:b w:val="0"/>
                <w:bCs w:val="0"/>
                <w:color w:val="000000"/>
                <w:kern w:val="2"/>
                <w:sz w:val="21"/>
                <w:szCs w:val="21"/>
                <w:highlight w:val="none"/>
              </w:rPr>
              <w:t>通知进场日算起，1</w:t>
            </w:r>
            <w:r>
              <w:rPr>
                <w:rStyle w:val="9"/>
                <w:rFonts w:hint="eastAsia" w:ascii="仿宋_GB2312" w:hAnsi="仿宋_GB2312" w:eastAsia="仿宋_GB2312" w:cs="仿宋_GB2312"/>
                <w:b w:val="0"/>
                <w:bCs w:val="0"/>
                <w:color w:val="000000"/>
                <w:kern w:val="2"/>
                <w:sz w:val="21"/>
                <w:szCs w:val="21"/>
                <w:highlight w:val="none"/>
                <w:lang w:val="en-US" w:eastAsia="zh-CN"/>
              </w:rPr>
              <w:t>0</w:t>
            </w:r>
            <w:r>
              <w:rPr>
                <w:rStyle w:val="9"/>
                <w:rFonts w:hint="eastAsia" w:ascii="仿宋_GB2312" w:hAnsi="仿宋_GB2312" w:eastAsia="仿宋_GB2312" w:cs="仿宋_GB2312"/>
                <w:b w:val="0"/>
                <w:bCs w:val="0"/>
                <w:color w:val="000000"/>
                <w:kern w:val="2"/>
                <w:sz w:val="21"/>
                <w:szCs w:val="21"/>
                <w:highlight w:val="none"/>
              </w:rPr>
              <w:t>0日历天内</w:t>
            </w:r>
          </w:p>
        </w:tc>
        <w:tc>
          <w:tcPr>
            <w:tcW w:w="1412" w:type="dxa"/>
            <w:noWrap w:val="0"/>
            <w:vAlign w:val="center"/>
          </w:tcPr>
          <w:p w14:paraId="4D8EE91A">
            <w:pPr>
              <w:pStyle w:val="7"/>
              <w:pageBreakBefore w:val="0"/>
              <w:kinsoku/>
              <w:wordWrap/>
              <w:overflowPunct/>
              <w:autoSpaceDE/>
              <w:autoSpaceDN/>
              <w:bidi w:val="0"/>
              <w:snapToGrid w:val="0"/>
              <w:spacing w:line="360" w:lineRule="auto"/>
              <w:ind w:left="0" w:leftChars="0" w:right="0" w:rightChars="0" w:firstLine="0" w:firstLineChars="0"/>
              <w:jc w:val="center"/>
              <w:rPr>
                <w:rStyle w:val="9"/>
                <w:rFonts w:hint="eastAsia" w:ascii="仿宋_GB2312" w:hAnsi="仿宋_GB2312" w:eastAsia="仿宋_GB2312" w:cs="仿宋_GB2312"/>
                <w:b w:val="0"/>
                <w:bCs w:val="0"/>
                <w:color w:val="000000"/>
                <w:sz w:val="21"/>
                <w:szCs w:val="21"/>
                <w:highlight w:val="none"/>
                <w:lang w:val="en-US" w:eastAsia="zh-CN"/>
              </w:rPr>
            </w:pPr>
            <w:r>
              <w:rPr>
                <w:rStyle w:val="9"/>
                <w:rFonts w:hint="eastAsia" w:ascii="仿宋_GB2312" w:hAnsi="仿宋_GB2312" w:eastAsia="仿宋_GB2312" w:cs="仿宋_GB2312"/>
                <w:b w:val="0"/>
                <w:bCs w:val="0"/>
                <w:szCs w:val="21"/>
                <w:lang w:val="en-US" w:eastAsia="zh-CN"/>
              </w:rPr>
              <w:t>甲方指定地点</w:t>
            </w:r>
          </w:p>
        </w:tc>
        <w:tc>
          <w:tcPr>
            <w:tcW w:w="1907" w:type="dxa"/>
            <w:noWrap w:val="0"/>
            <w:vAlign w:val="center"/>
          </w:tcPr>
          <w:p w14:paraId="18C71CDB">
            <w:pPr>
              <w:pStyle w:val="7"/>
              <w:keepNext w:val="0"/>
              <w:keepLines w:val="0"/>
              <w:pageBreakBefore w:val="0"/>
              <w:widowControl/>
              <w:suppressLineNumbers w:val="0"/>
              <w:kinsoku/>
              <w:wordWrap/>
              <w:overflowPunct/>
              <w:autoSpaceDE/>
              <w:autoSpaceDN/>
              <w:bidi w:val="0"/>
              <w:snapToGrid w:val="0"/>
              <w:spacing w:line="360" w:lineRule="auto"/>
              <w:ind w:left="0" w:leftChars="0" w:right="0" w:rightChars="0" w:firstLine="0" w:firstLineChars="0"/>
              <w:jc w:val="center"/>
              <w:textAlignment w:val="center"/>
              <w:rPr>
                <w:rStyle w:val="9"/>
                <w:rFonts w:hint="default" w:ascii="仿宋_GB2312" w:hAnsi="仿宋_GB2312" w:eastAsia="仿宋_GB2312" w:cs="仿宋_GB2312"/>
                <w:b w:val="0"/>
                <w:bCs w:val="0"/>
                <w:color w:val="000000"/>
                <w:sz w:val="21"/>
                <w:szCs w:val="21"/>
                <w:highlight w:val="none"/>
                <w:lang w:val="en-US" w:eastAsia="zh-CN"/>
              </w:rPr>
            </w:pPr>
            <w:r>
              <w:rPr>
                <w:rStyle w:val="9"/>
                <w:rFonts w:hint="eastAsia" w:ascii="仿宋_GB2312" w:hAnsi="仿宋_GB2312" w:eastAsia="仿宋_GB2312" w:cs="仿宋_GB2312"/>
                <w:b w:val="0"/>
                <w:bCs w:val="0"/>
                <w:color w:val="000000"/>
                <w:sz w:val="21"/>
                <w:szCs w:val="21"/>
                <w:highlight w:val="none"/>
                <w:lang w:val="en-US" w:eastAsia="zh-CN"/>
              </w:rPr>
              <w:t>10048157.42</w:t>
            </w:r>
          </w:p>
        </w:tc>
      </w:tr>
    </w:tbl>
    <w:p w14:paraId="60356FE7">
      <w:pPr>
        <w:pStyle w:val="7"/>
        <w:keepNext w:val="0"/>
        <w:keepLines w:val="0"/>
        <w:pageBreakBefore w:val="0"/>
        <w:widowControl/>
        <w:suppressLineNumbers w:val="0"/>
        <w:kinsoku/>
        <w:wordWrap/>
        <w:overflowPunct/>
        <w:topLinePunct w:val="0"/>
        <w:autoSpaceDE/>
        <w:autoSpaceDN/>
        <w:bidi w:val="0"/>
        <w:adjustRightInd/>
        <w:snapToGrid w:val="0"/>
        <w:spacing w:before="157" w:beforeLines="50" w:after="157" w:afterLines="50" w:line="360" w:lineRule="auto"/>
        <w:jc w:val="center"/>
        <w:textAlignment w:val="center"/>
        <w:rPr>
          <w:rStyle w:val="9"/>
          <w:rFonts w:hint="default" w:ascii="CESI黑体-GB2312" w:hAnsi="CESI黑体-GB2312" w:eastAsia="CESI黑体-GB2312" w:cs="CESI黑体-GB2312"/>
          <w:color w:val="auto"/>
          <w:kern w:val="0"/>
          <w:sz w:val="24"/>
          <w:szCs w:val="24"/>
          <w:highlight w:val="none"/>
          <w:vertAlign w:val="baseline"/>
          <w:lang w:val="en-US" w:eastAsia="zh-CN" w:bidi="ar"/>
        </w:rPr>
      </w:pPr>
      <w:r>
        <w:rPr>
          <w:rStyle w:val="9"/>
          <w:rFonts w:hint="eastAsia" w:ascii="CESI黑体-GB2312" w:hAnsi="CESI黑体-GB2312" w:eastAsia="CESI黑体-GB2312" w:cs="CESI黑体-GB2312"/>
          <w:color w:val="auto"/>
          <w:kern w:val="0"/>
          <w:sz w:val="24"/>
          <w:szCs w:val="24"/>
          <w:highlight w:val="none"/>
          <w:vertAlign w:val="baseline"/>
          <w:lang w:val="en-US" w:eastAsia="zh-CN" w:bidi="ar"/>
        </w:rPr>
        <w:t>第二节 技术参数要求</w:t>
      </w:r>
    </w:p>
    <w:p w14:paraId="3797BF66">
      <w:pPr>
        <w:pStyle w:val="7"/>
        <w:keepNext/>
        <w:keepLines/>
        <w:pageBreakBefore w:val="0"/>
        <w:widowControl w:val="0"/>
        <w:kinsoku/>
        <w:wordWrap/>
        <w:overflowPunct/>
        <w:topLinePunct w:val="0"/>
        <w:autoSpaceDE/>
        <w:autoSpaceDN/>
        <w:bidi w:val="0"/>
        <w:adjustRightInd w:val="0"/>
        <w:snapToGrid w:val="0"/>
        <w:spacing w:line="360" w:lineRule="auto"/>
        <w:ind w:firstLine="420" w:firstLineChars="200"/>
        <w:jc w:val="left"/>
        <w:textAlignment w:val="baseline"/>
        <w:outlineLvl w:val="9"/>
        <w:rPr>
          <w:rStyle w:val="9"/>
          <w:rFonts w:hint="eastAsia" w:ascii="宋体" w:hAnsi="宋体" w:eastAsia="宋体" w:cs="宋体"/>
          <w:b w:val="0"/>
          <w:bCs/>
          <w:color w:val="auto"/>
          <w:kern w:val="2"/>
          <w:sz w:val="21"/>
          <w:szCs w:val="21"/>
          <w:highlight w:val="none"/>
          <w:lang w:val="en-US" w:eastAsia="zh-CN" w:bidi="ar-SA"/>
        </w:rPr>
      </w:pPr>
      <w:r>
        <w:rPr>
          <w:rStyle w:val="9"/>
          <w:rFonts w:hint="eastAsia" w:ascii="宋体" w:hAnsi="宋体" w:eastAsia="宋体" w:cs="宋体"/>
          <w:b w:val="0"/>
          <w:bCs/>
          <w:color w:val="auto"/>
          <w:kern w:val="2"/>
          <w:sz w:val="21"/>
          <w:szCs w:val="21"/>
          <w:highlight w:val="none"/>
          <w:lang w:val="en-US" w:eastAsia="zh-CN" w:bidi="ar-SA"/>
        </w:rPr>
        <w:t>一、项目概况</w:t>
      </w:r>
    </w:p>
    <w:p w14:paraId="30E0AEE3">
      <w:pPr>
        <w:pStyle w:val="7"/>
        <w:pageBreakBefore w:val="0"/>
        <w:widowControl w:val="0"/>
        <w:numPr>
          <w:ilvl w:val="0"/>
          <w:numId w:val="1"/>
        </w:numPr>
        <w:kinsoku/>
        <w:wordWrap/>
        <w:overflowPunct/>
        <w:topLinePunct w:val="0"/>
        <w:autoSpaceDE/>
        <w:autoSpaceDN/>
        <w:bidi w:val="0"/>
        <w:snapToGrid w:val="0"/>
        <w:spacing w:line="360" w:lineRule="auto"/>
        <w:ind w:left="0" w:leftChars="0" w:firstLine="420" w:firstLineChars="200"/>
        <w:rPr>
          <w:rStyle w:val="9"/>
          <w:rFonts w:hint="eastAsia" w:ascii="宋体" w:hAnsi="宋体" w:eastAsia="宋体" w:cs="宋体"/>
          <w:kern w:val="2"/>
          <w:sz w:val="21"/>
          <w:szCs w:val="21"/>
          <w:lang w:val="en-US" w:eastAsia="zh-CN" w:bidi="ar-SA"/>
        </w:rPr>
      </w:pPr>
      <w:r>
        <w:rPr>
          <w:rStyle w:val="9"/>
          <w:rFonts w:hint="eastAsia" w:ascii="宋体" w:hAnsi="宋体" w:eastAsia="宋体" w:cs="宋体"/>
          <w:sz w:val="21"/>
          <w:szCs w:val="21"/>
          <w:lang w:val="en-US" w:eastAsia="zh-CN"/>
        </w:rPr>
        <w:t>项目名称：长沙县第二人民医院整体搬迁项目手术室专项设施设备采购及安装项目</w:t>
      </w:r>
    </w:p>
    <w:p w14:paraId="50AE9845">
      <w:pPr>
        <w:pStyle w:val="7"/>
        <w:pageBreakBefore w:val="0"/>
        <w:widowControl w:val="0"/>
        <w:numPr>
          <w:ilvl w:val="0"/>
          <w:numId w:val="1"/>
        </w:numPr>
        <w:kinsoku/>
        <w:wordWrap/>
        <w:overflowPunct/>
        <w:topLinePunct w:val="0"/>
        <w:autoSpaceDE/>
        <w:autoSpaceDN/>
        <w:bidi w:val="0"/>
        <w:snapToGrid w:val="0"/>
        <w:spacing w:line="360" w:lineRule="auto"/>
        <w:ind w:left="0" w:leftChars="0" w:firstLine="420" w:firstLineChars="200"/>
        <w:rPr>
          <w:rStyle w:val="9"/>
          <w:rFonts w:hint="eastAsia" w:ascii="宋体" w:hAnsi="宋体" w:eastAsia="宋体" w:cs="宋体"/>
          <w:kern w:val="2"/>
          <w:sz w:val="21"/>
          <w:szCs w:val="21"/>
          <w:lang w:val="en-US" w:eastAsia="zh-CN" w:bidi="ar-SA"/>
        </w:rPr>
      </w:pPr>
      <w:r>
        <w:rPr>
          <w:rStyle w:val="9"/>
          <w:rFonts w:hint="eastAsia" w:ascii="宋体" w:hAnsi="宋体" w:cs="宋体"/>
          <w:sz w:val="21"/>
          <w:szCs w:val="21"/>
          <w:lang w:val="en-US" w:eastAsia="zh-CN"/>
        </w:rPr>
        <w:t>甲方</w:t>
      </w:r>
      <w:r>
        <w:rPr>
          <w:rStyle w:val="9"/>
          <w:rFonts w:hint="eastAsia" w:ascii="宋体" w:hAnsi="宋体" w:eastAsia="宋体" w:cs="宋体"/>
          <w:sz w:val="21"/>
          <w:szCs w:val="21"/>
          <w:lang w:val="en-US" w:eastAsia="zh-CN"/>
        </w:rPr>
        <w:t>：</w:t>
      </w:r>
      <w:r>
        <w:rPr>
          <w:rStyle w:val="9"/>
          <w:rFonts w:hint="eastAsia" w:ascii="宋体" w:hAnsi="宋体" w:eastAsia="宋体" w:cs="宋体"/>
          <w:b w:val="0"/>
          <w:bCs w:val="0"/>
          <w:sz w:val="21"/>
          <w:szCs w:val="21"/>
          <w:highlight w:val="none"/>
        </w:rPr>
        <w:t>长沙县第二人民医院</w:t>
      </w:r>
    </w:p>
    <w:p w14:paraId="46B02BDE">
      <w:pPr>
        <w:pStyle w:val="7"/>
        <w:pageBreakBefore w:val="0"/>
        <w:widowControl w:val="0"/>
        <w:numPr>
          <w:ilvl w:val="0"/>
          <w:numId w:val="1"/>
        </w:numPr>
        <w:kinsoku/>
        <w:wordWrap/>
        <w:overflowPunct/>
        <w:topLinePunct w:val="0"/>
        <w:autoSpaceDE/>
        <w:autoSpaceDN/>
        <w:bidi w:val="0"/>
        <w:snapToGrid w:val="0"/>
        <w:spacing w:line="360" w:lineRule="auto"/>
        <w:ind w:left="0" w:leftChars="0" w:firstLine="420" w:firstLineChars="200"/>
        <w:rPr>
          <w:rStyle w:val="9"/>
          <w:rFonts w:hint="eastAsia" w:ascii="宋体" w:hAnsi="宋体" w:eastAsia="宋体" w:cs="宋体"/>
          <w:kern w:val="2"/>
          <w:sz w:val="21"/>
          <w:szCs w:val="21"/>
          <w:lang w:val="en-US" w:eastAsia="zh-CN" w:bidi="ar-SA"/>
        </w:rPr>
      </w:pPr>
      <w:r>
        <w:rPr>
          <w:rStyle w:val="9"/>
          <w:rFonts w:hint="eastAsia" w:ascii="宋体" w:hAnsi="宋体" w:eastAsia="宋体" w:cs="宋体"/>
          <w:sz w:val="21"/>
          <w:szCs w:val="21"/>
          <w:lang w:val="en-US" w:eastAsia="zh-CN"/>
        </w:rPr>
        <w:t>项目地点：本项目建设用地位于长沙市长沙县，北邻福中路，西接东六线，南邻秋江路，东侧为双馨路。</w:t>
      </w:r>
    </w:p>
    <w:p w14:paraId="7001D549">
      <w:pPr>
        <w:pStyle w:val="7"/>
        <w:pageBreakBefore w:val="0"/>
        <w:kinsoku/>
        <w:wordWrap/>
        <w:overflowPunct/>
        <w:autoSpaceDE/>
        <w:autoSpaceDN/>
        <w:bidi w:val="0"/>
        <w:snapToGrid w:val="0"/>
        <w:spacing w:line="360" w:lineRule="auto"/>
        <w:ind w:firstLine="420" w:firstLineChars="200"/>
        <w:rPr>
          <w:rStyle w:val="9"/>
          <w:rFonts w:hint="eastAsia" w:ascii="宋体" w:hAnsi="宋体" w:eastAsia="宋体" w:cs="宋体"/>
          <w:sz w:val="21"/>
          <w:szCs w:val="21"/>
          <w:lang w:val="en-US" w:eastAsia="zh-CN"/>
        </w:rPr>
      </w:pPr>
      <w:r>
        <w:rPr>
          <w:rStyle w:val="9"/>
          <w:rFonts w:hint="eastAsia" w:ascii="宋体" w:hAnsi="宋体" w:eastAsia="宋体" w:cs="宋体"/>
          <w:sz w:val="21"/>
          <w:szCs w:val="21"/>
          <w:lang w:val="en-US" w:eastAsia="zh-CN"/>
        </w:rPr>
        <w:t>4.项目内容：洁净手术部位于新建大楼</w:t>
      </w:r>
      <w:r>
        <w:rPr>
          <w:rStyle w:val="9"/>
          <w:rFonts w:hint="eastAsia" w:ascii="宋体" w:hAnsi="宋体" w:eastAsia="宋体" w:cs="宋体"/>
          <w:color w:val="000000"/>
          <w:sz w:val="21"/>
          <w:szCs w:val="21"/>
        </w:rPr>
        <w:t>五层</w:t>
      </w:r>
      <w:r>
        <w:rPr>
          <w:rStyle w:val="9"/>
          <w:rFonts w:hint="eastAsia" w:ascii="宋体" w:hAnsi="宋体" w:eastAsia="宋体" w:cs="宋体"/>
          <w:color w:val="000000"/>
          <w:sz w:val="21"/>
          <w:szCs w:val="21"/>
          <w:lang w:eastAsia="zh-CN"/>
        </w:rPr>
        <w:t>，</w:t>
      </w:r>
      <w:r>
        <w:rPr>
          <w:rStyle w:val="9"/>
          <w:rFonts w:hint="eastAsia" w:ascii="宋体" w:hAnsi="宋体" w:eastAsia="宋体" w:cs="宋体"/>
          <w:color w:val="000000"/>
          <w:sz w:val="21"/>
          <w:szCs w:val="21"/>
        </w:rPr>
        <w:t>设计面积约为1357.4平方米</w:t>
      </w:r>
      <w:r>
        <w:rPr>
          <w:rStyle w:val="9"/>
          <w:rFonts w:hint="eastAsia" w:ascii="宋体" w:hAnsi="宋体" w:eastAsia="宋体" w:cs="宋体"/>
          <w:color w:val="000000"/>
          <w:sz w:val="21"/>
          <w:szCs w:val="21"/>
          <w:lang w:eastAsia="zh-CN"/>
        </w:rPr>
        <w:t>，</w:t>
      </w:r>
      <w:r>
        <w:rPr>
          <w:rStyle w:val="9"/>
          <w:rFonts w:hint="eastAsia" w:ascii="宋体" w:hAnsi="宋体" w:eastAsia="宋体" w:cs="宋体"/>
          <w:color w:val="000000"/>
          <w:sz w:val="21"/>
          <w:szCs w:val="21"/>
          <w:lang w:val="en-US" w:eastAsia="zh-CN"/>
        </w:rPr>
        <w:t>包括洁净手术室9间，其中</w:t>
      </w:r>
      <w:r>
        <w:rPr>
          <w:rStyle w:val="9"/>
          <w:rFonts w:hint="eastAsia" w:ascii="宋体" w:hAnsi="宋体" w:eastAsia="宋体" w:cs="宋体"/>
          <w:color w:val="000000"/>
          <w:sz w:val="21"/>
          <w:szCs w:val="21"/>
        </w:rPr>
        <w:t>I级</w:t>
      </w:r>
      <w:r>
        <w:rPr>
          <w:rStyle w:val="9"/>
          <w:rFonts w:hint="eastAsia" w:ascii="宋体" w:hAnsi="宋体" w:eastAsia="宋体" w:cs="宋体"/>
          <w:color w:val="000000"/>
          <w:sz w:val="21"/>
          <w:szCs w:val="21"/>
          <w:lang w:val="en-US" w:eastAsia="zh-CN"/>
        </w:rPr>
        <w:t>手术室1间（含1间防辐射手术室）</w:t>
      </w:r>
      <w:r>
        <w:rPr>
          <w:rStyle w:val="9"/>
          <w:rFonts w:hint="eastAsia" w:ascii="宋体" w:hAnsi="宋体" w:eastAsia="宋体" w:cs="宋体"/>
          <w:color w:val="000000"/>
          <w:sz w:val="21"/>
          <w:szCs w:val="21"/>
          <w:lang w:eastAsia="zh-CN"/>
        </w:rPr>
        <w:t>、</w:t>
      </w:r>
      <w:r>
        <w:rPr>
          <w:rStyle w:val="9"/>
          <w:rFonts w:hint="eastAsia" w:ascii="宋体" w:hAnsi="宋体" w:eastAsia="宋体" w:cs="宋体"/>
          <w:color w:val="000000"/>
          <w:sz w:val="21"/>
          <w:szCs w:val="21"/>
        </w:rPr>
        <w:t>II级手术室</w:t>
      </w:r>
      <w:r>
        <w:rPr>
          <w:rStyle w:val="9"/>
          <w:rFonts w:hint="eastAsia" w:ascii="宋体" w:hAnsi="宋体" w:eastAsia="宋体" w:cs="宋体"/>
          <w:color w:val="000000"/>
          <w:sz w:val="21"/>
          <w:szCs w:val="21"/>
          <w:lang w:val="en-US" w:eastAsia="zh-CN"/>
        </w:rPr>
        <w:t>2</w:t>
      </w:r>
      <w:r>
        <w:rPr>
          <w:rStyle w:val="9"/>
          <w:rFonts w:hint="eastAsia" w:ascii="宋体" w:hAnsi="宋体" w:eastAsia="宋体" w:cs="宋体"/>
          <w:color w:val="000000"/>
          <w:sz w:val="21"/>
          <w:szCs w:val="21"/>
        </w:rPr>
        <w:t>间</w:t>
      </w:r>
      <w:r>
        <w:rPr>
          <w:rStyle w:val="9"/>
          <w:rFonts w:hint="eastAsia" w:ascii="宋体" w:hAnsi="宋体" w:eastAsia="宋体" w:cs="宋体"/>
          <w:color w:val="000000"/>
          <w:sz w:val="21"/>
          <w:szCs w:val="21"/>
          <w:lang w:eastAsia="zh-CN"/>
        </w:rPr>
        <w:t>（</w:t>
      </w:r>
      <w:r>
        <w:rPr>
          <w:rStyle w:val="9"/>
          <w:rFonts w:hint="eastAsia" w:ascii="宋体" w:hAnsi="宋体" w:eastAsia="宋体" w:cs="宋体"/>
          <w:color w:val="000000"/>
          <w:sz w:val="21"/>
          <w:szCs w:val="21"/>
          <w:lang w:val="en-US" w:eastAsia="zh-CN"/>
        </w:rPr>
        <w:t>含1间防辐射手术室</w:t>
      </w:r>
      <w:r>
        <w:rPr>
          <w:rStyle w:val="9"/>
          <w:rFonts w:hint="eastAsia" w:ascii="宋体" w:hAnsi="宋体" w:eastAsia="宋体" w:cs="宋体"/>
          <w:color w:val="000000"/>
          <w:sz w:val="21"/>
          <w:szCs w:val="21"/>
          <w:lang w:eastAsia="zh-CN"/>
        </w:rPr>
        <w:t>）</w:t>
      </w:r>
      <w:r>
        <w:rPr>
          <w:rStyle w:val="9"/>
          <w:rFonts w:hint="eastAsia" w:ascii="宋体" w:hAnsi="宋体" w:eastAsia="宋体" w:cs="宋体"/>
          <w:color w:val="000000"/>
          <w:sz w:val="21"/>
          <w:szCs w:val="21"/>
        </w:rPr>
        <w:t>，III级手术室</w:t>
      </w:r>
      <w:r>
        <w:rPr>
          <w:rStyle w:val="9"/>
          <w:rFonts w:hint="eastAsia" w:ascii="宋体" w:hAnsi="宋体" w:eastAsia="宋体" w:cs="宋体"/>
          <w:color w:val="000000"/>
          <w:sz w:val="21"/>
          <w:szCs w:val="21"/>
          <w:lang w:val="en-US" w:eastAsia="zh-CN"/>
        </w:rPr>
        <w:t>6</w:t>
      </w:r>
      <w:r>
        <w:rPr>
          <w:rStyle w:val="9"/>
          <w:rFonts w:hint="eastAsia" w:ascii="宋体" w:hAnsi="宋体" w:eastAsia="宋体" w:cs="宋体"/>
          <w:color w:val="000000"/>
          <w:sz w:val="21"/>
          <w:szCs w:val="21"/>
        </w:rPr>
        <w:t>间</w:t>
      </w:r>
      <w:r>
        <w:rPr>
          <w:rStyle w:val="9"/>
          <w:rFonts w:hint="eastAsia" w:ascii="宋体" w:hAnsi="宋体" w:eastAsia="宋体" w:cs="宋体"/>
          <w:color w:val="000000"/>
          <w:sz w:val="21"/>
          <w:szCs w:val="21"/>
          <w:lang w:eastAsia="zh-CN"/>
        </w:rPr>
        <w:t>（</w:t>
      </w:r>
      <w:r>
        <w:rPr>
          <w:rStyle w:val="9"/>
          <w:rFonts w:hint="eastAsia" w:ascii="宋体" w:hAnsi="宋体" w:eastAsia="宋体" w:cs="宋体"/>
          <w:color w:val="000000"/>
          <w:sz w:val="21"/>
          <w:szCs w:val="21"/>
          <w:lang w:val="en-US" w:eastAsia="zh-CN"/>
        </w:rPr>
        <w:t>含1间防辐射手术室，1间正负压切换手术室</w:t>
      </w:r>
      <w:r>
        <w:rPr>
          <w:rStyle w:val="9"/>
          <w:rFonts w:hint="eastAsia" w:ascii="宋体" w:hAnsi="宋体" w:eastAsia="宋体" w:cs="宋体"/>
          <w:color w:val="000000"/>
          <w:sz w:val="21"/>
          <w:szCs w:val="21"/>
          <w:lang w:eastAsia="zh-CN"/>
        </w:rPr>
        <w:t>）</w:t>
      </w:r>
      <w:r>
        <w:rPr>
          <w:rStyle w:val="9"/>
          <w:rFonts w:hint="eastAsia" w:ascii="宋体" w:hAnsi="宋体" w:eastAsia="宋体" w:cs="宋体"/>
          <w:color w:val="000000"/>
          <w:sz w:val="21"/>
          <w:szCs w:val="21"/>
        </w:rPr>
        <w:t>，</w:t>
      </w:r>
      <w:r>
        <w:rPr>
          <w:rStyle w:val="9"/>
          <w:rFonts w:hint="eastAsia" w:ascii="宋体" w:hAnsi="宋体" w:eastAsia="宋体" w:cs="宋体"/>
          <w:color w:val="000000"/>
          <w:sz w:val="21"/>
          <w:szCs w:val="21"/>
          <w:lang w:val="en-US" w:eastAsia="zh-CN"/>
        </w:rPr>
        <w:t>及相应的辅助用房，</w:t>
      </w:r>
      <w:r>
        <w:rPr>
          <w:rStyle w:val="9"/>
          <w:rFonts w:hint="eastAsia" w:ascii="宋体" w:hAnsi="宋体" w:eastAsia="宋体" w:cs="宋体"/>
          <w:color w:val="000000"/>
          <w:sz w:val="21"/>
          <w:szCs w:val="21"/>
        </w:rPr>
        <w:t>苏醒室</w:t>
      </w:r>
      <w:r>
        <w:rPr>
          <w:rStyle w:val="9"/>
          <w:rFonts w:hint="eastAsia" w:ascii="宋体" w:hAnsi="宋体" w:eastAsia="宋体" w:cs="宋体"/>
          <w:color w:val="000000"/>
          <w:sz w:val="21"/>
          <w:szCs w:val="21"/>
          <w:lang w:val="en-US" w:eastAsia="zh-CN"/>
        </w:rPr>
        <w:t>设置</w:t>
      </w:r>
      <w:r>
        <w:rPr>
          <w:rStyle w:val="9"/>
          <w:rFonts w:hint="eastAsia" w:ascii="宋体" w:hAnsi="宋体" w:eastAsia="宋体" w:cs="宋体"/>
          <w:color w:val="000000"/>
          <w:sz w:val="21"/>
          <w:szCs w:val="21"/>
        </w:rPr>
        <w:t>6张床位。</w:t>
      </w:r>
    </w:p>
    <w:p w14:paraId="08E357CB">
      <w:pPr>
        <w:pStyle w:val="7"/>
        <w:keepNext/>
        <w:keepLines/>
        <w:pageBreakBefore w:val="0"/>
        <w:widowControl w:val="0"/>
        <w:kinsoku/>
        <w:wordWrap/>
        <w:overflowPunct/>
        <w:topLinePunct w:val="0"/>
        <w:autoSpaceDE/>
        <w:autoSpaceDN/>
        <w:bidi w:val="0"/>
        <w:adjustRightInd w:val="0"/>
        <w:snapToGrid w:val="0"/>
        <w:spacing w:line="360" w:lineRule="auto"/>
        <w:ind w:firstLine="422" w:firstLineChars="200"/>
        <w:jc w:val="left"/>
        <w:textAlignment w:val="baseline"/>
        <w:outlineLvl w:val="9"/>
        <w:rPr>
          <w:rStyle w:val="9"/>
          <w:rFonts w:hint="eastAsia" w:ascii="宋体" w:hAnsi="宋体" w:eastAsia="宋体" w:cs="宋体"/>
          <w:b/>
          <w:bCs w:val="0"/>
          <w:color w:val="000000"/>
          <w:kern w:val="2"/>
          <w:sz w:val="21"/>
          <w:szCs w:val="21"/>
          <w:highlight w:val="none"/>
          <w:lang w:val="en-US" w:eastAsia="zh-CN" w:bidi="ar-SA"/>
        </w:rPr>
      </w:pPr>
      <w:r>
        <w:rPr>
          <w:rStyle w:val="9"/>
          <w:rFonts w:hint="eastAsia" w:ascii="宋体" w:hAnsi="宋体" w:eastAsia="宋体" w:cs="宋体"/>
          <w:b/>
          <w:bCs w:val="0"/>
          <w:color w:val="000000"/>
          <w:kern w:val="2"/>
          <w:sz w:val="21"/>
          <w:szCs w:val="21"/>
          <w:highlight w:val="none"/>
          <w:lang w:val="en-US" w:eastAsia="zh-CN" w:bidi="ar-SA"/>
        </w:rPr>
        <w:t>二、项目范围（本项目中所指专项单位为本项目</w:t>
      </w:r>
      <w:r>
        <w:rPr>
          <w:rStyle w:val="9"/>
          <w:rFonts w:hint="eastAsia" w:ascii="宋体" w:hAnsi="宋体" w:cs="宋体"/>
          <w:b/>
          <w:bCs w:val="0"/>
          <w:color w:val="000000"/>
          <w:kern w:val="2"/>
          <w:sz w:val="21"/>
          <w:szCs w:val="21"/>
          <w:highlight w:val="none"/>
          <w:lang w:val="en-US" w:eastAsia="zh-CN" w:bidi="ar-SA"/>
        </w:rPr>
        <w:t>乙方</w:t>
      </w:r>
      <w:r>
        <w:rPr>
          <w:rStyle w:val="9"/>
          <w:rFonts w:hint="eastAsia" w:ascii="宋体" w:hAnsi="宋体" w:eastAsia="宋体" w:cs="宋体"/>
          <w:b/>
          <w:bCs w:val="0"/>
          <w:color w:val="000000"/>
          <w:kern w:val="2"/>
          <w:sz w:val="21"/>
          <w:szCs w:val="21"/>
          <w:highlight w:val="none"/>
          <w:lang w:val="en-US" w:eastAsia="zh-CN" w:bidi="ar-SA"/>
        </w:rPr>
        <w:t>；总包单位为</w:t>
      </w:r>
      <w:r>
        <w:rPr>
          <w:rStyle w:val="9"/>
          <w:rFonts w:hint="eastAsia" w:ascii="宋体" w:hAnsi="宋体" w:cs="宋体"/>
          <w:b/>
          <w:bCs w:val="0"/>
          <w:color w:val="000000"/>
          <w:kern w:val="2"/>
          <w:sz w:val="21"/>
          <w:szCs w:val="21"/>
          <w:highlight w:val="none"/>
          <w:lang w:val="en-US" w:eastAsia="zh-CN" w:bidi="ar-SA"/>
        </w:rPr>
        <w:t>甲方</w:t>
      </w:r>
      <w:r>
        <w:rPr>
          <w:rStyle w:val="9"/>
          <w:rFonts w:hint="eastAsia" w:ascii="宋体" w:hAnsi="宋体" w:eastAsia="宋体" w:cs="宋体"/>
          <w:b/>
          <w:bCs w:val="0"/>
          <w:color w:val="000000"/>
          <w:kern w:val="2"/>
          <w:sz w:val="21"/>
          <w:szCs w:val="21"/>
          <w:highlight w:val="none"/>
          <w:lang w:val="en-US" w:eastAsia="zh-CN" w:bidi="ar-SA"/>
        </w:rPr>
        <w:t>已招标的土建施工单位）</w:t>
      </w:r>
    </w:p>
    <w:p w14:paraId="7543BC7C">
      <w:pPr>
        <w:pStyle w:val="7"/>
        <w:pageBreakBefore w:val="0"/>
        <w:kinsoku/>
        <w:wordWrap/>
        <w:overflowPunct/>
        <w:autoSpaceDE/>
        <w:autoSpaceDN/>
        <w:bidi w:val="0"/>
        <w:adjustRightInd w:val="0"/>
        <w:snapToGrid w:val="0"/>
        <w:spacing w:line="360" w:lineRule="auto"/>
        <w:ind w:firstLine="420" w:firstLineChars="200"/>
        <w:jc w:val="left"/>
        <w:rPr>
          <w:rStyle w:val="9"/>
          <w:rFonts w:hint="eastAsia" w:ascii="宋体" w:hAnsi="宋体" w:eastAsia="宋体" w:cs="宋体"/>
          <w:color w:val="000000"/>
          <w:sz w:val="21"/>
          <w:szCs w:val="21"/>
        </w:rPr>
      </w:pPr>
      <w:r>
        <w:rPr>
          <w:rStyle w:val="9"/>
          <w:rFonts w:hint="eastAsia" w:ascii="宋体" w:hAnsi="宋体" w:eastAsia="宋体" w:cs="宋体"/>
          <w:color w:val="000000"/>
          <w:sz w:val="21"/>
          <w:szCs w:val="21"/>
        </w:rPr>
        <w:t>此次项目包含专项科室装饰装修、电气(不含智能化专业)、通风空调、给排水专业。</w:t>
      </w:r>
    </w:p>
    <w:p w14:paraId="52680841">
      <w:pPr>
        <w:pStyle w:val="7"/>
        <w:pageBreakBefore w:val="0"/>
        <w:kinsoku/>
        <w:wordWrap/>
        <w:overflowPunct/>
        <w:autoSpaceDE/>
        <w:autoSpaceDN/>
        <w:bidi w:val="0"/>
        <w:adjustRightInd w:val="0"/>
        <w:snapToGrid w:val="0"/>
        <w:spacing w:line="360" w:lineRule="auto"/>
        <w:ind w:firstLine="420" w:firstLineChars="200"/>
        <w:jc w:val="left"/>
        <w:rPr>
          <w:rStyle w:val="9"/>
          <w:rFonts w:hint="eastAsia" w:ascii="宋体" w:hAnsi="宋体" w:eastAsia="宋体" w:cs="宋体"/>
          <w:color w:val="000000"/>
          <w:sz w:val="21"/>
          <w:szCs w:val="21"/>
        </w:rPr>
      </w:pPr>
      <w:r>
        <w:rPr>
          <w:rStyle w:val="9"/>
          <w:rFonts w:hint="eastAsia" w:ascii="宋体" w:hAnsi="宋体" w:eastAsia="宋体" w:cs="宋体"/>
          <w:color w:val="000000"/>
          <w:sz w:val="21"/>
          <w:szCs w:val="21"/>
        </w:rPr>
        <w:t>1)以设计范围线为界，范围线内的天、地（含地面找平）、墙面及门窗装饰装修工程在实施范围内；</w:t>
      </w:r>
    </w:p>
    <w:p w14:paraId="7CE3B16A">
      <w:pPr>
        <w:pStyle w:val="7"/>
        <w:pageBreakBefore w:val="0"/>
        <w:kinsoku/>
        <w:wordWrap/>
        <w:overflowPunct/>
        <w:autoSpaceDE/>
        <w:autoSpaceDN/>
        <w:bidi w:val="0"/>
        <w:adjustRightInd w:val="0"/>
        <w:snapToGrid w:val="0"/>
        <w:spacing w:line="360" w:lineRule="auto"/>
        <w:ind w:firstLine="420" w:firstLineChars="200"/>
        <w:jc w:val="left"/>
        <w:rPr>
          <w:rStyle w:val="9"/>
          <w:rFonts w:hint="eastAsia" w:ascii="宋体" w:hAnsi="宋体" w:eastAsia="宋体" w:cs="宋体"/>
          <w:color w:val="000000"/>
          <w:sz w:val="21"/>
          <w:szCs w:val="21"/>
        </w:rPr>
      </w:pPr>
      <w:r>
        <w:rPr>
          <w:rStyle w:val="9"/>
          <w:rFonts w:hint="eastAsia" w:ascii="宋体" w:hAnsi="宋体" w:eastAsia="宋体" w:cs="宋体"/>
          <w:color w:val="000000"/>
          <w:sz w:val="21"/>
          <w:szCs w:val="21"/>
        </w:rPr>
        <w:t>2)</w:t>
      </w:r>
      <w:r>
        <w:rPr>
          <w:rStyle w:val="9"/>
          <w:rFonts w:hint="eastAsia" w:ascii="宋体" w:hAnsi="宋体" w:eastAsia="宋体" w:cs="宋体"/>
          <w:sz w:val="21"/>
          <w:szCs w:val="21"/>
        </w:rPr>
        <w:t>分界线上的普通门、特殊要求的门窗如电动门、感应门、钢质门等</w:t>
      </w:r>
      <w:r>
        <w:rPr>
          <w:rStyle w:val="9"/>
          <w:rFonts w:hint="eastAsia" w:ascii="宋体" w:hAnsi="宋体" w:eastAsia="宋体" w:cs="宋体"/>
          <w:color w:val="000000"/>
          <w:sz w:val="21"/>
          <w:szCs w:val="21"/>
        </w:rPr>
        <w:t>；</w:t>
      </w:r>
    </w:p>
    <w:p w14:paraId="5EA2CA9F">
      <w:pPr>
        <w:pStyle w:val="7"/>
        <w:pageBreakBefore w:val="0"/>
        <w:kinsoku/>
        <w:wordWrap/>
        <w:overflowPunct/>
        <w:autoSpaceDE/>
        <w:autoSpaceDN/>
        <w:bidi w:val="0"/>
        <w:adjustRightInd w:val="0"/>
        <w:snapToGrid w:val="0"/>
        <w:spacing w:line="360" w:lineRule="auto"/>
        <w:ind w:firstLine="420" w:firstLineChars="200"/>
        <w:jc w:val="left"/>
        <w:rPr>
          <w:rStyle w:val="9"/>
          <w:rFonts w:hint="eastAsia" w:ascii="宋体" w:hAnsi="宋体" w:eastAsia="宋体" w:cs="宋体"/>
          <w:color w:val="000000"/>
          <w:sz w:val="21"/>
          <w:szCs w:val="21"/>
          <w:lang w:eastAsia="zh-CN"/>
        </w:rPr>
      </w:pPr>
      <w:r>
        <w:rPr>
          <w:rStyle w:val="9"/>
          <w:rFonts w:hint="eastAsia" w:ascii="宋体" w:hAnsi="宋体" w:eastAsia="宋体" w:cs="宋体"/>
          <w:color w:val="000000"/>
          <w:sz w:val="21"/>
          <w:szCs w:val="21"/>
        </w:rPr>
        <w:t>3)基本装备:手术灯、床、塔在此范围内</w:t>
      </w:r>
      <w:r>
        <w:rPr>
          <w:rStyle w:val="9"/>
          <w:rFonts w:hint="eastAsia" w:ascii="宋体" w:hAnsi="宋体" w:eastAsia="宋体" w:cs="宋体"/>
          <w:color w:val="000000"/>
          <w:sz w:val="21"/>
          <w:szCs w:val="21"/>
          <w:lang w:eastAsia="zh-CN"/>
        </w:rPr>
        <w:t>；</w:t>
      </w:r>
    </w:p>
    <w:p w14:paraId="1CD67B66">
      <w:pPr>
        <w:pStyle w:val="7"/>
        <w:pageBreakBefore w:val="0"/>
        <w:kinsoku/>
        <w:wordWrap/>
        <w:overflowPunct/>
        <w:autoSpaceDE/>
        <w:autoSpaceDN/>
        <w:bidi w:val="0"/>
        <w:adjustRightInd w:val="0"/>
        <w:snapToGrid w:val="0"/>
        <w:spacing w:line="360" w:lineRule="auto"/>
        <w:ind w:firstLine="420" w:firstLineChars="200"/>
        <w:jc w:val="left"/>
        <w:rPr>
          <w:rStyle w:val="9"/>
          <w:rFonts w:hint="eastAsia" w:ascii="宋体" w:hAnsi="宋体" w:eastAsia="宋体" w:cs="宋体"/>
          <w:color w:val="000000"/>
          <w:sz w:val="21"/>
          <w:szCs w:val="21"/>
          <w:lang w:eastAsia="zh-CN"/>
        </w:rPr>
      </w:pPr>
      <w:r>
        <w:rPr>
          <w:rStyle w:val="9"/>
          <w:rFonts w:hint="eastAsia" w:ascii="宋体" w:hAnsi="宋体" w:eastAsia="宋体" w:cs="宋体"/>
          <w:color w:val="000000"/>
          <w:sz w:val="21"/>
          <w:szCs w:val="21"/>
          <w:lang w:val="en-US" w:eastAsia="zh-CN"/>
        </w:rPr>
        <w:t>4</w:t>
      </w:r>
      <w:r>
        <w:rPr>
          <w:rStyle w:val="9"/>
          <w:rFonts w:hint="eastAsia" w:ascii="宋体" w:hAnsi="宋体" w:eastAsia="宋体" w:cs="宋体"/>
          <w:color w:val="000000"/>
          <w:sz w:val="21"/>
          <w:szCs w:val="21"/>
        </w:rPr>
        <w:t>)</w:t>
      </w:r>
      <w:r>
        <w:rPr>
          <w:rStyle w:val="9"/>
          <w:rFonts w:hint="eastAsia" w:ascii="宋体" w:hAnsi="宋体" w:eastAsia="宋体" w:cs="宋体"/>
          <w:color w:val="000000"/>
          <w:sz w:val="21"/>
          <w:szCs w:val="21"/>
          <w:lang w:val="en-US" w:eastAsia="zh-CN"/>
        </w:rPr>
        <w:t>电气工程：甲供电箱至特装单位电箱之间的连接电缆</w:t>
      </w:r>
      <w:r>
        <w:rPr>
          <w:rStyle w:val="9"/>
          <w:rFonts w:hint="eastAsia" w:ascii="宋体" w:hAnsi="宋体" w:eastAsia="宋体" w:cs="宋体"/>
          <w:color w:val="000000"/>
          <w:sz w:val="21"/>
          <w:szCs w:val="21"/>
        </w:rPr>
        <w:t>此次范围内</w:t>
      </w:r>
      <w:r>
        <w:rPr>
          <w:rStyle w:val="9"/>
          <w:rFonts w:hint="eastAsia" w:ascii="宋体" w:hAnsi="宋体" w:eastAsia="宋体" w:cs="宋体"/>
          <w:color w:val="000000"/>
          <w:sz w:val="21"/>
          <w:szCs w:val="21"/>
          <w:lang w:eastAsia="zh-CN"/>
        </w:rPr>
        <w:t>；</w:t>
      </w:r>
    </w:p>
    <w:p w14:paraId="3CC0D0A5">
      <w:pPr>
        <w:pStyle w:val="7"/>
        <w:pageBreakBefore w:val="0"/>
        <w:kinsoku/>
        <w:wordWrap/>
        <w:overflowPunct/>
        <w:autoSpaceDE/>
        <w:autoSpaceDN/>
        <w:bidi w:val="0"/>
        <w:adjustRightInd w:val="0"/>
        <w:snapToGrid w:val="0"/>
        <w:spacing w:line="360" w:lineRule="auto"/>
        <w:ind w:firstLine="420" w:firstLineChars="200"/>
        <w:jc w:val="left"/>
        <w:rPr>
          <w:rStyle w:val="9"/>
          <w:rFonts w:hint="eastAsia" w:ascii="宋体" w:hAnsi="宋体" w:eastAsia="宋体" w:cs="宋体"/>
          <w:color w:val="000000"/>
          <w:sz w:val="21"/>
          <w:szCs w:val="21"/>
          <w:lang w:val="en-US" w:eastAsia="zh-CN"/>
        </w:rPr>
      </w:pPr>
      <w:r>
        <w:rPr>
          <w:rStyle w:val="9"/>
          <w:rFonts w:hint="eastAsia" w:ascii="宋体" w:hAnsi="宋体" w:eastAsia="宋体" w:cs="宋体"/>
          <w:color w:val="000000"/>
          <w:sz w:val="21"/>
          <w:szCs w:val="21"/>
          <w:lang w:val="en-US" w:eastAsia="zh-CN"/>
        </w:rPr>
        <w:t>5)麻醉复苏室内的医用隔帘，输液吊轨；</w:t>
      </w:r>
    </w:p>
    <w:p w14:paraId="02447B40">
      <w:pPr>
        <w:pStyle w:val="7"/>
        <w:pageBreakBefore w:val="0"/>
        <w:kinsoku/>
        <w:wordWrap/>
        <w:overflowPunct/>
        <w:autoSpaceDE/>
        <w:autoSpaceDN/>
        <w:bidi w:val="0"/>
        <w:adjustRightInd w:val="0"/>
        <w:snapToGrid w:val="0"/>
        <w:spacing w:line="360" w:lineRule="auto"/>
        <w:ind w:firstLine="420" w:firstLineChars="200"/>
        <w:jc w:val="left"/>
        <w:rPr>
          <w:rStyle w:val="9"/>
          <w:rFonts w:hint="eastAsia" w:ascii="宋体" w:hAnsi="宋体" w:eastAsia="宋体" w:cs="宋体"/>
          <w:color w:val="000000"/>
          <w:sz w:val="21"/>
          <w:szCs w:val="21"/>
          <w:lang w:val="en-US" w:eastAsia="zh-CN"/>
        </w:rPr>
      </w:pPr>
      <w:r>
        <w:rPr>
          <w:rStyle w:val="9"/>
          <w:rFonts w:hint="eastAsia" w:ascii="宋体" w:hAnsi="宋体" w:eastAsia="宋体" w:cs="宋体"/>
          <w:color w:val="000000"/>
          <w:sz w:val="21"/>
          <w:szCs w:val="21"/>
          <w:lang w:val="en-US" w:eastAsia="zh-CN"/>
        </w:rPr>
        <w:t>6）不可移动的家具（具体见清单内容）。</w:t>
      </w:r>
    </w:p>
    <w:p w14:paraId="0069EFAC">
      <w:pPr>
        <w:pStyle w:val="7"/>
        <w:pageBreakBefore w:val="0"/>
        <w:kinsoku/>
        <w:wordWrap/>
        <w:overflowPunct/>
        <w:autoSpaceDE/>
        <w:autoSpaceDN/>
        <w:bidi w:val="0"/>
        <w:adjustRightInd w:val="0"/>
        <w:snapToGrid w:val="0"/>
        <w:spacing w:line="360" w:lineRule="auto"/>
        <w:ind w:firstLine="422" w:firstLineChars="200"/>
        <w:jc w:val="left"/>
        <w:rPr>
          <w:rStyle w:val="9"/>
          <w:rFonts w:hint="eastAsia" w:ascii="宋体" w:hAnsi="宋体" w:eastAsia="宋体" w:cs="宋体"/>
          <w:b/>
          <w:bCs/>
          <w:color w:val="000000"/>
          <w:sz w:val="21"/>
          <w:szCs w:val="21"/>
        </w:rPr>
      </w:pPr>
      <w:r>
        <w:rPr>
          <w:rStyle w:val="9"/>
          <w:rFonts w:hint="eastAsia" w:ascii="宋体" w:hAnsi="宋体" w:eastAsia="宋体" w:cs="宋体"/>
          <w:b/>
          <w:bCs/>
          <w:color w:val="000000"/>
          <w:sz w:val="21"/>
          <w:szCs w:val="21"/>
        </w:rPr>
        <w:t>不包括下列部分:</w:t>
      </w:r>
    </w:p>
    <w:p w14:paraId="572BA114">
      <w:pPr>
        <w:pStyle w:val="7"/>
        <w:pageBreakBefore w:val="0"/>
        <w:kinsoku/>
        <w:wordWrap/>
        <w:overflowPunct/>
        <w:autoSpaceDE/>
        <w:autoSpaceDN/>
        <w:bidi w:val="0"/>
        <w:adjustRightInd w:val="0"/>
        <w:snapToGrid w:val="0"/>
        <w:spacing w:line="360" w:lineRule="auto"/>
        <w:ind w:firstLine="420" w:firstLineChars="200"/>
        <w:jc w:val="left"/>
        <w:rPr>
          <w:rStyle w:val="9"/>
          <w:rFonts w:hint="eastAsia" w:ascii="宋体" w:hAnsi="宋体" w:eastAsia="宋体" w:cs="宋体"/>
          <w:color w:val="000000"/>
          <w:sz w:val="21"/>
          <w:szCs w:val="21"/>
          <w:lang w:val="en-US" w:eastAsia="zh-CN"/>
        </w:rPr>
      </w:pPr>
      <w:r>
        <w:rPr>
          <w:rStyle w:val="9"/>
          <w:rFonts w:hint="eastAsia" w:ascii="宋体" w:hAnsi="宋体" w:eastAsia="宋体" w:cs="宋体"/>
          <w:color w:val="000000"/>
          <w:sz w:val="21"/>
          <w:szCs w:val="21"/>
        </w:rPr>
        <w:t>1)</w:t>
      </w:r>
      <w:r>
        <w:rPr>
          <w:rStyle w:val="9"/>
          <w:rFonts w:hint="eastAsia" w:ascii="宋体" w:hAnsi="宋体" w:eastAsia="宋体" w:cs="宋体"/>
          <w:color w:val="000000"/>
          <w:sz w:val="21"/>
          <w:szCs w:val="21"/>
          <w:lang w:val="en-US" w:eastAsia="zh-CN"/>
        </w:rPr>
        <w:t>阴影区域；</w:t>
      </w:r>
    </w:p>
    <w:p w14:paraId="3D45487B">
      <w:pPr>
        <w:pStyle w:val="7"/>
        <w:pageBreakBefore w:val="0"/>
        <w:kinsoku/>
        <w:wordWrap/>
        <w:overflowPunct/>
        <w:autoSpaceDE/>
        <w:autoSpaceDN/>
        <w:bidi w:val="0"/>
        <w:adjustRightInd w:val="0"/>
        <w:snapToGrid w:val="0"/>
        <w:spacing w:line="360" w:lineRule="auto"/>
        <w:ind w:firstLine="420" w:firstLineChars="200"/>
        <w:jc w:val="left"/>
        <w:rPr>
          <w:rStyle w:val="9"/>
          <w:rFonts w:hint="eastAsia" w:ascii="宋体" w:hAnsi="宋体" w:eastAsia="宋体" w:cs="宋体"/>
          <w:color w:val="000000"/>
          <w:sz w:val="21"/>
          <w:szCs w:val="21"/>
        </w:rPr>
      </w:pPr>
      <w:r>
        <w:rPr>
          <w:rStyle w:val="9"/>
          <w:rFonts w:hint="eastAsia" w:ascii="宋体" w:hAnsi="宋体" w:eastAsia="宋体" w:cs="宋体"/>
          <w:color w:val="000000"/>
          <w:sz w:val="21"/>
          <w:szCs w:val="21"/>
        </w:rPr>
        <w:t>2)消防相关内容:消防喷淋管道，消防排烟、消防栓、消防报警，烟感、疏散指示、应急灯、防火卷帘、档烟垂壁、防火门窗等；</w:t>
      </w:r>
    </w:p>
    <w:p w14:paraId="52A61D40">
      <w:pPr>
        <w:pStyle w:val="7"/>
        <w:pageBreakBefore w:val="0"/>
        <w:kinsoku/>
        <w:wordWrap/>
        <w:overflowPunct/>
        <w:autoSpaceDE/>
        <w:autoSpaceDN/>
        <w:bidi w:val="0"/>
        <w:adjustRightInd w:val="0"/>
        <w:snapToGrid w:val="0"/>
        <w:spacing w:line="360" w:lineRule="auto"/>
        <w:ind w:firstLine="420" w:firstLineChars="200"/>
        <w:jc w:val="left"/>
        <w:rPr>
          <w:rStyle w:val="9"/>
          <w:rFonts w:hint="eastAsia" w:ascii="宋体" w:hAnsi="宋体" w:eastAsia="宋体" w:cs="宋体"/>
          <w:color w:val="000000"/>
          <w:sz w:val="21"/>
          <w:szCs w:val="21"/>
          <w:lang w:val="en-US" w:eastAsia="zh-CN"/>
        </w:rPr>
      </w:pPr>
      <w:r>
        <w:rPr>
          <w:rStyle w:val="9"/>
          <w:rFonts w:hint="eastAsia" w:ascii="宋体" w:hAnsi="宋体" w:eastAsia="宋体" w:cs="宋体"/>
          <w:color w:val="000000"/>
          <w:sz w:val="21"/>
          <w:szCs w:val="21"/>
        </w:rPr>
        <w:t>3)土建相关内容:</w:t>
      </w:r>
      <w:r>
        <w:rPr>
          <w:rStyle w:val="9"/>
          <w:rFonts w:hint="eastAsia" w:ascii="宋体" w:hAnsi="宋体" w:eastAsia="宋体" w:cs="宋体"/>
          <w:sz w:val="21"/>
          <w:szCs w:val="21"/>
        </w:rPr>
        <w:t xml:space="preserve"> </w:t>
      </w:r>
      <w:r>
        <w:rPr>
          <w:rStyle w:val="9"/>
          <w:rFonts w:hint="eastAsia" w:ascii="宋体" w:hAnsi="宋体" w:eastAsia="宋体" w:cs="宋体"/>
          <w:color w:val="000000"/>
          <w:sz w:val="21"/>
          <w:szCs w:val="21"/>
        </w:rPr>
        <w:t>分界线上的墙体（含外墙幕墙门、窗）、防火门以及墙体外一侧装饰装修和内部大楼上下贯通的排风、水井砌体及防火门</w:t>
      </w:r>
      <w:r>
        <w:rPr>
          <w:rStyle w:val="9"/>
          <w:rFonts w:hint="eastAsia" w:ascii="宋体" w:hAnsi="宋体" w:eastAsia="宋体" w:cs="宋体"/>
          <w:color w:val="000000"/>
          <w:sz w:val="21"/>
          <w:szCs w:val="21"/>
          <w:lang w:eastAsia="zh-CN"/>
        </w:rPr>
        <w:t>；</w:t>
      </w:r>
      <w:r>
        <w:rPr>
          <w:rStyle w:val="9"/>
          <w:rFonts w:hint="eastAsia" w:ascii="宋体" w:hAnsi="宋体" w:eastAsia="宋体" w:cs="宋体"/>
          <w:color w:val="000000"/>
          <w:sz w:val="21"/>
          <w:szCs w:val="21"/>
          <w:lang w:val="en-US" w:eastAsia="zh-CN"/>
        </w:rPr>
        <w:t>屋顶空调设备的混凝土基础</w:t>
      </w:r>
      <w:r>
        <w:rPr>
          <w:rStyle w:val="9"/>
          <w:rFonts w:hint="eastAsia" w:ascii="宋体" w:hAnsi="宋体" w:eastAsia="宋体" w:cs="宋体"/>
          <w:color w:val="000000"/>
          <w:sz w:val="21"/>
          <w:szCs w:val="21"/>
        </w:rPr>
        <w:t>均不在此次范围内</w:t>
      </w:r>
      <w:r>
        <w:rPr>
          <w:rStyle w:val="9"/>
          <w:rFonts w:hint="eastAsia" w:ascii="宋体" w:hAnsi="宋体" w:eastAsia="宋体" w:cs="宋体"/>
          <w:color w:val="000000"/>
          <w:sz w:val="21"/>
          <w:szCs w:val="21"/>
          <w:lang w:eastAsia="zh-CN"/>
        </w:rPr>
        <w:t>；</w:t>
      </w:r>
    </w:p>
    <w:p w14:paraId="3BFFCC54">
      <w:pPr>
        <w:pStyle w:val="7"/>
        <w:pageBreakBefore w:val="0"/>
        <w:kinsoku/>
        <w:wordWrap/>
        <w:overflowPunct/>
        <w:autoSpaceDE/>
        <w:autoSpaceDN/>
        <w:bidi w:val="0"/>
        <w:adjustRightInd w:val="0"/>
        <w:snapToGrid w:val="0"/>
        <w:spacing w:line="360" w:lineRule="auto"/>
        <w:ind w:firstLine="420" w:firstLineChars="200"/>
        <w:jc w:val="left"/>
        <w:rPr>
          <w:rStyle w:val="9"/>
          <w:rFonts w:hint="eastAsia" w:ascii="宋体" w:hAnsi="宋体" w:eastAsia="宋体" w:cs="宋体"/>
          <w:color w:val="000000"/>
          <w:sz w:val="21"/>
          <w:szCs w:val="21"/>
        </w:rPr>
      </w:pPr>
      <w:r>
        <w:rPr>
          <w:rStyle w:val="9"/>
          <w:rFonts w:hint="eastAsia" w:ascii="宋体" w:hAnsi="宋体" w:eastAsia="宋体" w:cs="宋体"/>
          <w:color w:val="000000"/>
          <w:sz w:val="21"/>
          <w:szCs w:val="21"/>
          <w:lang w:val="en-US" w:eastAsia="zh-CN"/>
        </w:rPr>
        <w:t>4</w:t>
      </w:r>
      <w:r>
        <w:rPr>
          <w:rStyle w:val="9"/>
          <w:rFonts w:hint="eastAsia" w:ascii="宋体" w:hAnsi="宋体" w:eastAsia="宋体" w:cs="宋体"/>
          <w:color w:val="000000"/>
          <w:sz w:val="21"/>
          <w:szCs w:val="21"/>
        </w:rPr>
        <w:t>)设备相关内容:各科室检查治疗仪器、放射科配套设备……</w:t>
      </w:r>
    </w:p>
    <w:p w14:paraId="23B1DC37">
      <w:pPr>
        <w:pStyle w:val="7"/>
        <w:pageBreakBefore w:val="0"/>
        <w:kinsoku/>
        <w:wordWrap/>
        <w:overflowPunct/>
        <w:autoSpaceDE/>
        <w:autoSpaceDN/>
        <w:bidi w:val="0"/>
        <w:adjustRightInd w:val="0"/>
        <w:snapToGrid w:val="0"/>
        <w:spacing w:line="360" w:lineRule="auto"/>
        <w:ind w:firstLine="420" w:firstLineChars="200"/>
        <w:jc w:val="left"/>
        <w:rPr>
          <w:rStyle w:val="9"/>
          <w:rFonts w:hint="eastAsia" w:ascii="宋体" w:hAnsi="宋体" w:eastAsia="宋体" w:cs="宋体"/>
          <w:color w:val="000000"/>
          <w:sz w:val="21"/>
          <w:szCs w:val="21"/>
          <w:lang w:eastAsia="zh-CN"/>
        </w:rPr>
      </w:pPr>
      <w:r>
        <w:rPr>
          <w:rStyle w:val="9"/>
          <w:rFonts w:hint="eastAsia" w:ascii="宋体" w:hAnsi="宋体" w:eastAsia="宋体" w:cs="宋体"/>
          <w:color w:val="000000"/>
          <w:sz w:val="21"/>
          <w:szCs w:val="21"/>
          <w:lang w:val="en-US" w:eastAsia="zh-CN"/>
        </w:rPr>
        <w:t>5</w:t>
      </w:r>
      <w:r>
        <w:rPr>
          <w:rStyle w:val="9"/>
          <w:rFonts w:hint="eastAsia" w:ascii="宋体" w:hAnsi="宋体" w:eastAsia="宋体" w:cs="宋体"/>
          <w:color w:val="000000"/>
          <w:sz w:val="21"/>
          <w:szCs w:val="21"/>
        </w:rPr>
        <w:t>)家具部分:办公家具部分:办公桌椅、更衣柜、换鞋凳等可移动家具等均不在此次范围内</w:t>
      </w:r>
      <w:r>
        <w:rPr>
          <w:rStyle w:val="9"/>
          <w:rFonts w:hint="eastAsia" w:ascii="宋体" w:hAnsi="宋体" w:eastAsia="宋体" w:cs="宋体"/>
          <w:color w:val="000000"/>
          <w:sz w:val="21"/>
          <w:szCs w:val="21"/>
          <w:lang w:eastAsia="zh-CN"/>
        </w:rPr>
        <w:t>；</w:t>
      </w:r>
    </w:p>
    <w:p w14:paraId="057BEE22">
      <w:pPr>
        <w:pStyle w:val="7"/>
        <w:pageBreakBefore w:val="0"/>
        <w:kinsoku/>
        <w:wordWrap/>
        <w:overflowPunct/>
        <w:autoSpaceDE/>
        <w:autoSpaceDN/>
        <w:bidi w:val="0"/>
        <w:adjustRightInd w:val="0"/>
        <w:snapToGrid w:val="0"/>
        <w:spacing w:line="360" w:lineRule="auto"/>
        <w:ind w:firstLine="420" w:firstLineChars="200"/>
        <w:jc w:val="left"/>
        <w:rPr>
          <w:rStyle w:val="9"/>
          <w:rFonts w:hint="eastAsia" w:ascii="宋体" w:hAnsi="宋体" w:eastAsia="宋体" w:cs="宋体"/>
          <w:color w:val="000000"/>
          <w:sz w:val="21"/>
          <w:szCs w:val="21"/>
        </w:rPr>
      </w:pPr>
      <w:r>
        <w:rPr>
          <w:rStyle w:val="9"/>
          <w:rFonts w:hint="eastAsia" w:ascii="宋体" w:hAnsi="宋体" w:eastAsia="宋体" w:cs="宋体"/>
          <w:color w:val="000000"/>
          <w:sz w:val="21"/>
          <w:szCs w:val="21"/>
          <w:lang w:val="en-US" w:eastAsia="zh-CN"/>
        </w:rPr>
        <w:t>6</w:t>
      </w:r>
      <w:r>
        <w:rPr>
          <w:rStyle w:val="9"/>
          <w:rFonts w:hint="eastAsia" w:ascii="宋体" w:hAnsi="宋体" w:eastAsia="宋体" w:cs="宋体"/>
          <w:color w:val="000000"/>
          <w:sz w:val="21"/>
          <w:szCs w:val="21"/>
        </w:rPr>
        <w:t>) 医气工程、弱电工程；</w:t>
      </w:r>
    </w:p>
    <w:p w14:paraId="690B653A">
      <w:pPr>
        <w:pStyle w:val="7"/>
        <w:pageBreakBefore w:val="0"/>
        <w:kinsoku/>
        <w:wordWrap/>
        <w:overflowPunct/>
        <w:autoSpaceDE/>
        <w:autoSpaceDN/>
        <w:bidi w:val="0"/>
        <w:adjustRightInd w:val="0"/>
        <w:snapToGrid w:val="0"/>
        <w:spacing w:line="360" w:lineRule="auto"/>
        <w:ind w:firstLine="420" w:firstLineChars="200"/>
        <w:jc w:val="left"/>
        <w:rPr>
          <w:rStyle w:val="9"/>
          <w:rFonts w:hint="eastAsia" w:ascii="宋体" w:hAnsi="宋体" w:eastAsia="宋体" w:cs="宋体"/>
          <w:color w:val="000000"/>
          <w:sz w:val="21"/>
          <w:szCs w:val="21"/>
        </w:rPr>
      </w:pPr>
      <w:r>
        <w:rPr>
          <w:rStyle w:val="9"/>
          <w:rFonts w:hint="eastAsia" w:ascii="宋体" w:hAnsi="宋体" w:eastAsia="宋体" w:cs="宋体"/>
          <w:color w:val="000000"/>
          <w:sz w:val="21"/>
          <w:szCs w:val="21"/>
          <w:lang w:val="en-US" w:eastAsia="zh-CN"/>
        </w:rPr>
        <w:t>8</w:t>
      </w:r>
      <w:r>
        <w:rPr>
          <w:rStyle w:val="9"/>
          <w:rFonts w:hint="eastAsia" w:ascii="宋体" w:hAnsi="宋体" w:eastAsia="宋体" w:cs="宋体"/>
          <w:color w:val="000000"/>
          <w:sz w:val="21"/>
          <w:szCs w:val="21"/>
        </w:rPr>
        <w:t>)其它内容:软装:</w:t>
      </w:r>
      <w:r>
        <w:rPr>
          <w:rStyle w:val="9"/>
          <w:rFonts w:hint="eastAsia" w:ascii="宋体" w:hAnsi="宋体" w:eastAsia="宋体" w:cs="宋体"/>
          <w:color w:val="000000"/>
          <w:sz w:val="21"/>
          <w:szCs w:val="21"/>
          <w:lang w:val="en-US" w:eastAsia="zh-CN"/>
        </w:rPr>
        <w:t>外</w:t>
      </w:r>
      <w:r>
        <w:rPr>
          <w:rStyle w:val="9"/>
          <w:rFonts w:hint="eastAsia" w:ascii="宋体" w:hAnsi="宋体" w:eastAsia="宋体" w:cs="宋体"/>
          <w:color w:val="000000"/>
          <w:sz w:val="21"/>
          <w:szCs w:val="21"/>
        </w:rPr>
        <w:t>窗帘及其导轨、装饰画、标示标牌系统等均不在此次范围内。</w:t>
      </w:r>
    </w:p>
    <w:p w14:paraId="5E2A37EE">
      <w:pPr>
        <w:pStyle w:val="7"/>
        <w:pageBreakBefore w:val="0"/>
        <w:kinsoku/>
        <w:wordWrap/>
        <w:overflowPunct/>
        <w:autoSpaceDE/>
        <w:autoSpaceDN/>
        <w:bidi w:val="0"/>
        <w:adjustRightInd w:val="0"/>
        <w:snapToGrid w:val="0"/>
        <w:spacing w:line="360" w:lineRule="auto"/>
        <w:ind w:firstLine="422" w:firstLineChars="200"/>
        <w:jc w:val="left"/>
        <w:rPr>
          <w:rStyle w:val="9"/>
          <w:rFonts w:hint="eastAsia" w:ascii="宋体" w:hAnsi="宋体" w:eastAsia="宋体" w:cs="宋体"/>
          <w:b/>
          <w:bCs/>
          <w:color w:val="000000"/>
          <w:sz w:val="21"/>
          <w:szCs w:val="21"/>
        </w:rPr>
      </w:pPr>
      <w:r>
        <w:rPr>
          <w:rStyle w:val="9"/>
          <w:rFonts w:hint="eastAsia" w:ascii="宋体" w:hAnsi="宋体" w:eastAsia="宋体" w:cs="宋体"/>
          <w:b/>
          <w:bCs/>
          <w:color w:val="000000"/>
          <w:sz w:val="21"/>
          <w:szCs w:val="21"/>
          <w:lang w:val="en-US" w:eastAsia="zh-CN"/>
        </w:rPr>
        <w:t>9</w:t>
      </w:r>
      <w:r>
        <w:rPr>
          <w:rStyle w:val="9"/>
          <w:rFonts w:hint="eastAsia" w:ascii="宋体" w:hAnsi="宋体" w:eastAsia="宋体" w:cs="宋体"/>
          <w:b/>
          <w:bCs/>
          <w:color w:val="000000"/>
          <w:sz w:val="21"/>
          <w:szCs w:val="21"/>
        </w:rPr>
        <w:t>)</w:t>
      </w:r>
      <w:r>
        <w:rPr>
          <w:rStyle w:val="9"/>
          <w:rFonts w:hint="eastAsia" w:ascii="宋体" w:hAnsi="宋体" w:eastAsia="宋体" w:cs="宋体"/>
          <w:b/>
          <w:bCs/>
          <w:color w:val="000000"/>
          <w:sz w:val="21"/>
          <w:szCs w:val="21"/>
          <w:lang w:val="en-US" w:eastAsia="zh-CN"/>
        </w:rPr>
        <w:t>土建部分边界</w:t>
      </w:r>
      <w:r>
        <w:rPr>
          <w:rStyle w:val="9"/>
          <w:rFonts w:hint="eastAsia" w:ascii="宋体" w:hAnsi="宋体" w:eastAsia="宋体" w:cs="宋体"/>
          <w:b/>
          <w:bCs/>
          <w:color w:val="000000"/>
          <w:sz w:val="21"/>
          <w:szCs w:val="21"/>
        </w:rPr>
        <w:t>:</w:t>
      </w:r>
    </w:p>
    <w:p w14:paraId="7F81DBDD">
      <w:pPr>
        <w:pStyle w:val="7"/>
        <w:pageBreakBefore w:val="0"/>
        <w:kinsoku/>
        <w:wordWrap/>
        <w:overflowPunct/>
        <w:autoSpaceDE/>
        <w:autoSpaceDN/>
        <w:bidi w:val="0"/>
        <w:snapToGrid w:val="0"/>
        <w:spacing w:line="360" w:lineRule="auto"/>
        <w:ind w:firstLine="420" w:firstLineChars="200"/>
        <w:jc w:val="left"/>
        <w:rPr>
          <w:rStyle w:val="9"/>
          <w:rFonts w:hint="eastAsia" w:ascii="宋体" w:hAnsi="宋体" w:eastAsia="宋体" w:cs="宋体"/>
          <w:b w:val="0"/>
          <w:bCs w:val="0"/>
          <w:color w:val="auto"/>
          <w:sz w:val="21"/>
          <w:szCs w:val="21"/>
          <w:highlight w:val="none"/>
        </w:rPr>
      </w:pPr>
      <w:r>
        <w:rPr>
          <w:rStyle w:val="9"/>
          <w:rFonts w:hint="eastAsia" w:ascii="宋体" w:hAnsi="宋体" w:eastAsia="宋体" w:cs="宋体"/>
          <w:b w:val="0"/>
          <w:bCs w:val="0"/>
          <w:color w:val="auto"/>
          <w:sz w:val="21"/>
          <w:szCs w:val="21"/>
          <w:highlight w:val="none"/>
        </w:rPr>
        <w:t>1#栋综合楼区域：</w:t>
      </w:r>
    </w:p>
    <w:p w14:paraId="47A115C9">
      <w:pPr>
        <w:pStyle w:val="7"/>
        <w:pageBreakBefore w:val="0"/>
        <w:kinsoku/>
        <w:wordWrap/>
        <w:overflowPunct/>
        <w:autoSpaceDE/>
        <w:autoSpaceDN/>
        <w:bidi w:val="0"/>
        <w:snapToGrid w:val="0"/>
        <w:spacing w:line="360" w:lineRule="auto"/>
        <w:jc w:val="left"/>
        <w:rPr>
          <w:rStyle w:val="9"/>
          <w:rFonts w:hint="eastAsia" w:ascii="宋体" w:hAnsi="宋体" w:eastAsia="宋体" w:cs="宋体"/>
          <w:color w:val="auto"/>
          <w:sz w:val="21"/>
          <w:szCs w:val="21"/>
          <w:highlight w:val="none"/>
        </w:rPr>
      </w:pPr>
      <w:r>
        <w:rPr>
          <w:rStyle w:val="9"/>
          <w:rFonts w:hint="eastAsia" w:ascii="宋体" w:hAnsi="宋体" w:eastAsia="宋体" w:cs="宋体"/>
          <w:color w:val="auto"/>
          <w:sz w:val="21"/>
          <w:szCs w:val="21"/>
          <w:highlight w:val="none"/>
          <w:lang w:val="en-US" w:eastAsia="zh-CN"/>
        </w:rPr>
        <w:t>1</w:t>
      </w:r>
      <w:r>
        <w:rPr>
          <w:rStyle w:val="9"/>
          <w:rFonts w:hint="eastAsia" w:ascii="宋体" w:hAnsi="宋体" w:eastAsia="宋体" w:cs="宋体"/>
          <w:color w:val="auto"/>
          <w:sz w:val="21"/>
          <w:szCs w:val="21"/>
          <w:highlight w:val="none"/>
        </w:rPr>
        <w:t>、五层：</w:t>
      </w:r>
    </w:p>
    <w:p w14:paraId="41594F30">
      <w:pPr>
        <w:pStyle w:val="7"/>
        <w:pageBreakBefore w:val="0"/>
        <w:kinsoku/>
        <w:wordWrap/>
        <w:overflowPunct/>
        <w:autoSpaceDE/>
        <w:autoSpaceDN/>
        <w:bidi w:val="0"/>
        <w:snapToGrid w:val="0"/>
        <w:spacing w:line="360" w:lineRule="auto"/>
        <w:ind w:firstLine="480"/>
        <w:jc w:val="left"/>
        <w:rPr>
          <w:rStyle w:val="9"/>
          <w:rFonts w:hint="eastAsia" w:ascii="宋体" w:hAnsi="宋体" w:eastAsia="宋体" w:cs="宋体"/>
          <w:color w:val="auto"/>
          <w:sz w:val="21"/>
          <w:szCs w:val="21"/>
          <w:highlight w:val="none"/>
          <w:lang w:val="en-US" w:eastAsia="zh-CN"/>
        </w:rPr>
      </w:pPr>
      <w:r>
        <w:rPr>
          <w:rStyle w:val="9"/>
          <w:rFonts w:hint="eastAsia" w:ascii="宋体" w:hAnsi="宋体" w:eastAsia="宋体" w:cs="宋体"/>
          <w:color w:val="auto"/>
          <w:sz w:val="21"/>
          <w:szCs w:val="21"/>
          <w:highlight w:val="none"/>
        </w:rPr>
        <w:t>手术部以阴影区域--非阴影区域的墙体为分界线（红色虚线），分界线（红色虚线）上的墙体（含外墙幕墙门、窗如LC6426、FC乙2426、示教室防火窗FC1515）、防火门如（空调水井、气体、空调井防火门等)及墙体外侧上装饰装修和阴影区域的内部大楼上下贯通的排风井（2个、含防火门）由青竹湖施工；阴影区域--非阴影区域分界线上有特殊要求的门窗（电动门、感应门、医用门等）均由专项单位施工，具体范围详见下图红色虚线内的阴影部分。</w:t>
      </w:r>
      <w:r>
        <w:rPr>
          <w:rStyle w:val="9"/>
          <w:rFonts w:hint="eastAsia" w:ascii="宋体" w:hAnsi="宋体" w:eastAsia="宋体" w:cs="宋体"/>
          <w:color w:val="auto"/>
          <w:sz w:val="21"/>
          <w:szCs w:val="21"/>
          <w:highlight w:val="none"/>
          <w:lang w:val="en-US" w:eastAsia="zh-CN"/>
        </w:rPr>
        <w:t>手术室地面找平由专项单位施工。</w:t>
      </w:r>
    </w:p>
    <w:p w14:paraId="21720750">
      <w:pPr>
        <w:pStyle w:val="7"/>
        <w:pageBreakBefore w:val="0"/>
        <w:kinsoku/>
        <w:wordWrap/>
        <w:overflowPunct/>
        <w:autoSpaceDE/>
        <w:autoSpaceDN/>
        <w:bidi w:val="0"/>
        <w:snapToGrid w:val="0"/>
        <w:spacing w:line="360" w:lineRule="auto"/>
        <w:ind w:firstLine="480"/>
        <w:jc w:val="left"/>
        <w:rPr>
          <w:rStyle w:val="9"/>
          <w:rFonts w:hint="eastAsia" w:ascii="宋体" w:hAnsi="宋体" w:eastAsia="宋体" w:cs="宋体"/>
          <w:sz w:val="21"/>
          <w:szCs w:val="21"/>
        </w:rPr>
      </w:pPr>
      <w:r>
        <w:rPr>
          <w:rFonts w:hint="eastAsia" w:ascii="宋体" w:hAnsi="宋体" w:eastAsia="宋体" w:cs="宋体"/>
          <w:sz w:val="21"/>
          <w:szCs w:val="21"/>
        </w:rPr>
        <w:drawing>
          <wp:anchor distT="0" distB="0" distL="114300" distR="114300" simplePos="0" relativeHeight="251659264" behindDoc="0" locked="0" layoutInCell="1" allowOverlap="1">
            <wp:simplePos x="0" y="0"/>
            <wp:positionH relativeFrom="column">
              <wp:posOffset>215265</wp:posOffset>
            </wp:positionH>
            <wp:positionV relativeFrom="paragraph">
              <wp:posOffset>47625</wp:posOffset>
            </wp:positionV>
            <wp:extent cx="5274945" cy="2258695"/>
            <wp:effectExtent l="0" t="0" r="1905" b="825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5274945" cy="2258695"/>
                    </a:xfrm>
                    <a:prstGeom prst="rect">
                      <a:avLst/>
                    </a:prstGeom>
                    <a:noFill/>
                    <a:ln>
                      <a:noFill/>
                    </a:ln>
                  </pic:spPr>
                </pic:pic>
              </a:graphicData>
            </a:graphic>
          </wp:anchor>
        </w:drawing>
      </w:r>
    </w:p>
    <w:p w14:paraId="571F4D2A">
      <w:pPr>
        <w:pStyle w:val="7"/>
        <w:pageBreakBefore w:val="0"/>
        <w:kinsoku/>
        <w:wordWrap/>
        <w:overflowPunct/>
        <w:autoSpaceDE/>
        <w:autoSpaceDN/>
        <w:bidi w:val="0"/>
        <w:snapToGrid w:val="0"/>
        <w:spacing w:line="360" w:lineRule="auto"/>
        <w:ind w:firstLine="480"/>
        <w:jc w:val="left"/>
        <w:rPr>
          <w:rStyle w:val="9"/>
          <w:rFonts w:hint="eastAsia" w:ascii="宋体" w:hAnsi="宋体" w:eastAsia="宋体" w:cs="宋体"/>
          <w:sz w:val="21"/>
          <w:szCs w:val="21"/>
        </w:rPr>
      </w:pPr>
    </w:p>
    <w:p w14:paraId="4BB9BEDC">
      <w:pPr>
        <w:pStyle w:val="7"/>
        <w:pageBreakBefore w:val="0"/>
        <w:kinsoku/>
        <w:wordWrap/>
        <w:overflowPunct/>
        <w:autoSpaceDE/>
        <w:autoSpaceDN/>
        <w:bidi w:val="0"/>
        <w:snapToGrid w:val="0"/>
        <w:spacing w:line="360" w:lineRule="auto"/>
        <w:ind w:firstLine="480"/>
        <w:jc w:val="left"/>
        <w:rPr>
          <w:rStyle w:val="9"/>
          <w:rFonts w:hint="eastAsia" w:ascii="宋体" w:hAnsi="宋体" w:eastAsia="宋体" w:cs="宋体"/>
          <w:sz w:val="21"/>
          <w:szCs w:val="21"/>
        </w:rPr>
      </w:pPr>
    </w:p>
    <w:p w14:paraId="41930F2A">
      <w:pPr>
        <w:pStyle w:val="7"/>
        <w:pageBreakBefore w:val="0"/>
        <w:kinsoku/>
        <w:wordWrap/>
        <w:overflowPunct/>
        <w:autoSpaceDE/>
        <w:autoSpaceDN/>
        <w:bidi w:val="0"/>
        <w:snapToGrid w:val="0"/>
        <w:spacing w:line="360" w:lineRule="auto"/>
        <w:ind w:firstLine="480"/>
        <w:jc w:val="left"/>
        <w:rPr>
          <w:rStyle w:val="9"/>
          <w:rFonts w:hint="eastAsia" w:ascii="宋体" w:hAnsi="宋体" w:eastAsia="宋体" w:cs="宋体"/>
          <w:sz w:val="21"/>
          <w:szCs w:val="21"/>
        </w:rPr>
      </w:pPr>
    </w:p>
    <w:p w14:paraId="3E2ACC91">
      <w:pPr>
        <w:pStyle w:val="7"/>
        <w:pageBreakBefore w:val="0"/>
        <w:kinsoku/>
        <w:wordWrap/>
        <w:overflowPunct/>
        <w:autoSpaceDE/>
        <w:autoSpaceDN/>
        <w:bidi w:val="0"/>
        <w:snapToGrid w:val="0"/>
        <w:spacing w:line="360" w:lineRule="auto"/>
        <w:ind w:firstLine="480"/>
        <w:jc w:val="left"/>
        <w:rPr>
          <w:rStyle w:val="9"/>
          <w:rFonts w:hint="eastAsia" w:ascii="宋体" w:hAnsi="宋体" w:eastAsia="宋体" w:cs="宋体"/>
          <w:sz w:val="21"/>
          <w:szCs w:val="21"/>
        </w:rPr>
      </w:pPr>
    </w:p>
    <w:p w14:paraId="4BCD6797">
      <w:pPr>
        <w:pStyle w:val="7"/>
        <w:pageBreakBefore w:val="0"/>
        <w:kinsoku/>
        <w:wordWrap/>
        <w:overflowPunct/>
        <w:autoSpaceDE/>
        <w:autoSpaceDN/>
        <w:bidi w:val="0"/>
        <w:snapToGrid w:val="0"/>
        <w:spacing w:line="360" w:lineRule="auto"/>
        <w:jc w:val="left"/>
        <w:rPr>
          <w:rStyle w:val="9"/>
          <w:rFonts w:hint="eastAsia" w:ascii="宋体" w:hAnsi="宋体" w:eastAsia="宋体" w:cs="宋体"/>
          <w:sz w:val="21"/>
          <w:szCs w:val="21"/>
        </w:rPr>
      </w:pPr>
    </w:p>
    <w:p w14:paraId="27B42FD0">
      <w:pPr>
        <w:pStyle w:val="7"/>
        <w:pageBreakBefore w:val="0"/>
        <w:kinsoku/>
        <w:wordWrap/>
        <w:overflowPunct/>
        <w:autoSpaceDE/>
        <w:autoSpaceDN/>
        <w:bidi w:val="0"/>
        <w:snapToGrid w:val="0"/>
        <w:spacing w:line="360" w:lineRule="auto"/>
        <w:jc w:val="left"/>
        <w:rPr>
          <w:rStyle w:val="9"/>
          <w:rFonts w:hint="eastAsia" w:ascii="宋体" w:hAnsi="宋体" w:eastAsia="宋体" w:cs="宋体"/>
          <w:sz w:val="21"/>
          <w:szCs w:val="21"/>
        </w:rPr>
      </w:pPr>
    </w:p>
    <w:p w14:paraId="316257FA">
      <w:pPr>
        <w:pStyle w:val="7"/>
        <w:pageBreakBefore w:val="0"/>
        <w:kinsoku/>
        <w:wordWrap/>
        <w:overflowPunct/>
        <w:autoSpaceDE/>
        <w:autoSpaceDN/>
        <w:bidi w:val="0"/>
        <w:snapToGrid w:val="0"/>
        <w:spacing w:line="360" w:lineRule="auto"/>
        <w:jc w:val="left"/>
        <w:rPr>
          <w:rStyle w:val="9"/>
          <w:rFonts w:hint="eastAsia" w:ascii="宋体" w:hAnsi="宋体" w:eastAsia="宋体" w:cs="宋体"/>
          <w:sz w:val="21"/>
          <w:szCs w:val="21"/>
        </w:rPr>
      </w:pPr>
    </w:p>
    <w:p w14:paraId="69175D98">
      <w:pPr>
        <w:pStyle w:val="7"/>
        <w:pageBreakBefore w:val="0"/>
        <w:kinsoku/>
        <w:wordWrap/>
        <w:overflowPunct/>
        <w:autoSpaceDE/>
        <w:autoSpaceDN/>
        <w:bidi w:val="0"/>
        <w:snapToGrid w:val="0"/>
        <w:spacing w:line="360" w:lineRule="auto"/>
        <w:jc w:val="left"/>
        <w:rPr>
          <w:rStyle w:val="9"/>
          <w:rFonts w:hint="eastAsia" w:ascii="宋体" w:hAnsi="宋体" w:eastAsia="宋体" w:cs="宋体"/>
          <w:sz w:val="21"/>
          <w:szCs w:val="21"/>
          <w:highlight w:val="none"/>
          <w:lang w:val="en-US" w:eastAsia="zh-CN"/>
        </w:rPr>
      </w:pPr>
    </w:p>
    <w:p w14:paraId="054DB95A">
      <w:pPr>
        <w:pStyle w:val="7"/>
        <w:pageBreakBefore w:val="0"/>
        <w:kinsoku/>
        <w:wordWrap/>
        <w:overflowPunct/>
        <w:autoSpaceDE/>
        <w:autoSpaceDN/>
        <w:bidi w:val="0"/>
        <w:snapToGrid w:val="0"/>
        <w:spacing w:line="360" w:lineRule="auto"/>
        <w:jc w:val="left"/>
        <w:rPr>
          <w:rStyle w:val="9"/>
          <w:rFonts w:hint="eastAsia" w:ascii="宋体" w:hAnsi="宋体" w:eastAsia="宋体" w:cs="宋体"/>
          <w:sz w:val="21"/>
          <w:szCs w:val="21"/>
          <w:highlight w:val="none"/>
          <w:lang w:val="en-US" w:eastAsia="zh-CN"/>
        </w:rPr>
      </w:pPr>
    </w:p>
    <w:p w14:paraId="50BB5375">
      <w:pPr>
        <w:pStyle w:val="7"/>
        <w:pageBreakBefore w:val="0"/>
        <w:kinsoku/>
        <w:wordWrap/>
        <w:overflowPunct/>
        <w:autoSpaceDE/>
        <w:autoSpaceDN/>
        <w:bidi w:val="0"/>
        <w:snapToGrid w:val="0"/>
        <w:spacing w:line="360" w:lineRule="auto"/>
        <w:jc w:val="left"/>
        <w:rPr>
          <w:rStyle w:val="9"/>
          <w:rFonts w:hint="eastAsia" w:ascii="宋体" w:hAnsi="宋体" w:eastAsia="宋体" w:cs="宋体"/>
          <w:sz w:val="21"/>
          <w:szCs w:val="21"/>
          <w:highlight w:val="none"/>
          <w:lang w:val="en-US" w:eastAsia="zh-CN"/>
        </w:rPr>
      </w:pPr>
      <w:r>
        <w:rPr>
          <w:rStyle w:val="9"/>
          <w:rFonts w:hint="eastAsia" w:ascii="宋体" w:hAnsi="宋体" w:eastAsia="宋体" w:cs="宋体"/>
          <w:sz w:val="21"/>
          <w:szCs w:val="21"/>
          <w:highlight w:val="none"/>
          <w:lang w:val="en-US" w:eastAsia="zh-CN"/>
        </w:rPr>
        <w:t>2、</w:t>
      </w:r>
      <w:r>
        <w:rPr>
          <w:rStyle w:val="9"/>
          <w:rFonts w:hint="eastAsia" w:ascii="宋体" w:hAnsi="宋体" w:eastAsia="宋体" w:cs="宋体"/>
          <w:sz w:val="21"/>
          <w:szCs w:val="21"/>
          <w:highlight w:val="none"/>
        </w:rPr>
        <w:t>六层裙楼屋面净化机房</w:t>
      </w:r>
      <w:r>
        <w:rPr>
          <w:rStyle w:val="9"/>
          <w:rFonts w:hint="eastAsia" w:ascii="宋体" w:hAnsi="宋体" w:eastAsia="宋体" w:cs="宋体"/>
          <w:sz w:val="21"/>
          <w:szCs w:val="21"/>
          <w:highlight w:val="none"/>
          <w:lang w:val="en-US" w:eastAsia="zh-CN"/>
        </w:rPr>
        <w:t>由土建单位施工。</w:t>
      </w:r>
    </w:p>
    <w:p w14:paraId="0BDF5DAA">
      <w:pPr>
        <w:pStyle w:val="7"/>
        <w:pageBreakBefore w:val="0"/>
        <w:kinsoku/>
        <w:wordWrap/>
        <w:overflowPunct/>
        <w:autoSpaceDE/>
        <w:autoSpaceDN/>
        <w:bidi w:val="0"/>
        <w:adjustRightInd w:val="0"/>
        <w:snapToGrid w:val="0"/>
        <w:spacing w:line="360" w:lineRule="auto"/>
        <w:ind w:firstLine="422" w:firstLineChars="200"/>
        <w:jc w:val="left"/>
        <w:rPr>
          <w:rStyle w:val="9"/>
          <w:rFonts w:hint="eastAsia" w:ascii="宋体" w:hAnsi="宋体" w:eastAsia="宋体" w:cs="宋体"/>
          <w:b/>
          <w:bCs/>
          <w:color w:val="000000"/>
          <w:sz w:val="21"/>
          <w:szCs w:val="21"/>
          <w:lang w:val="en-US" w:eastAsia="zh-CN"/>
        </w:rPr>
      </w:pPr>
      <w:r>
        <w:rPr>
          <w:rStyle w:val="9"/>
          <w:rFonts w:hint="eastAsia" w:ascii="宋体" w:hAnsi="宋体" w:eastAsia="宋体" w:cs="宋体"/>
          <w:b/>
          <w:bCs/>
          <w:color w:val="000000"/>
          <w:sz w:val="21"/>
          <w:szCs w:val="21"/>
          <w:lang w:val="en-US" w:eastAsia="zh-CN"/>
        </w:rPr>
        <w:t>10</w:t>
      </w:r>
      <w:r>
        <w:rPr>
          <w:rStyle w:val="9"/>
          <w:rFonts w:hint="eastAsia" w:ascii="宋体" w:hAnsi="宋体" w:eastAsia="宋体" w:cs="宋体"/>
          <w:b/>
          <w:bCs/>
          <w:color w:val="000000"/>
          <w:sz w:val="21"/>
          <w:szCs w:val="21"/>
        </w:rPr>
        <w:t>)</w:t>
      </w:r>
      <w:r>
        <w:rPr>
          <w:rStyle w:val="9"/>
          <w:rFonts w:hint="eastAsia" w:ascii="宋体" w:hAnsi="宋体" w:eastAsia="宋体" w:cs="宋体"/>
          <w:b/>
          <w:bCs/>
          <w:color w:val="000000"/>
          <w:sz w:val="21"/>
          <w:szCs w:val="21"/>
          <w:lang w:val="en-US" w:eastAsia="zh-CN"/>
        </w:rPr>
        <w:t>机电部分边界</w:t>
      </w:r>
      <w:r>
        <w:rPr>
          <w:rStyle w:val="9"/>
          <w:rFonts w:hint="eastAsia" w:ascii="宋体" w:hAnsi="宋体" w:eastAsia="宋体" w:cs="宋体"/>
          <w:b/>
          <w:bCs/>
          <w:color w:val="000000"/>
          <w:sz w:val="21"/>
          <w:szCs w:val="21"/>
        </w:rPr>
        <w:t>:</w:t>
      </w:r>
    </w:p>
    <w:p w14:paraId="16ADDCCE">
      <w:pPr>
        <w:pStyle w:val="7"/>
        <w:pageBreakBefore w:val="0"/>
        <w:kinsoku/>
        <w:wordWrap/>
        <w:overflowPunct/>
        <w:autoSpaceDE/>
        <w:autoSpaceDN/>
        <w:bidi w:val="0"/>
        <w:snapToGrid w:val="0"/>
        <w:spacing w:line="360" w:lineRule="auto"/>
        <w:ind w:firstLine="422" w:firstLineChars="200"/>
        <w:jc w:val="left"/>
        <w:rPr>
          <w:rStyle w:val="9"/>
          <w:rFonts w:hint="eastAsia" w:ascii="宋体" w:hAnsi="宋体" w:eastAsia="宋体" w:cs="宋体"/>
          <w:b/>
          <w:bCs/>
          <w:sz w:val="21"/>
          <w:szCs w:val="21"/>
        </w:rPr>
      </w:pPr>
      <w:r>
        <w:rPr>
          <w:rStyle w:val="9"/>
          <w:rFonts w:hint="eastAsia" w:ascii="宋体" w:hAnsi="宋体" w:eastAsia="宋体" w:cs="宋体"/>
          <w:b/>
          <w:bCs/>
          <w:sz w:val="21"/>
          <w:szCs w:val="21"/>
        </w:rPr>
        <w:t>5.1#综合楼裙楼五层手术部</w:t>
      </w:r>
    </w:p>
    <w:p w14:paraId="2D6A6A29">
      <w:pPr>
        <w:pStyle w:val="7"/>
        <w:pageBreakBefore w:val="0"/>
        <w:kinsoku/>
        <w:wordWrap/>
        <w:overflowPunct/>
        <w:autoSpaceDE/>
        <w:autoSpaceDN/>
        <w:bidi w:val="0"/>
        <w:snapToGrid w:val="0"/>
        <w:spacing w:line="360" w:lineRule="auto"/>
        <w:ind w:firstLine="422" w:firstLineChars="200"/>
        <w:jc w:val="left"/>
        <w:rPr>
          <w:rStyle w:val="9"/>
          <w:rFonts w:hint="eastAsia" w:ascii="宋体" w:hAnsi="宋体" w:eastAsia="宋体" w:cs="宋体"/>
          <w:sz w:val="21"/>
          <w:szCs w:val="21"/>
        </w:rPr>
      </w:pPr>
      <w:r>
        <w:rPr>
          <w:rStyle w:val="9"/>
          <w:rFonts w:hint="eastAsia" w:ascii="宋体" w:hAnsi="宋体" w:eastAsia="宋体" w:cs="宋体"/>
          <w:b/>
          <w:bCs/>
          <w:sz w:val="21"/>
          <w:szCs w:val="21"/>
        </w:rPr>
        <w:t>强电：</w:t>
      </w:r>
      <w:r>
        <w:rPr>
          <w:rStyle w:val="9"/>
          <w:rFonts w:hint="eastAsia" w:ascii="宋体" w:hAnsi="宋体" w:eastAsia="宋体" w:cs="宋体"/>
          <w:sz w:val="21"/>
          <w:szCs w:val="21"/>
        </w:rPr>
        <w:t>低压配电柜到该区域内配电箱（编号：5ALBG(25KW)、5ATGG2(20KW)、6ATSS(120KW)、5ATJH1（100KW）不包括配电箱)的电源引入由青竹湖建设施工；该区域内配电箱（5ALBG(25KW)、5ATGG2(20KW)、6ATSS(120KW)、5ATJH1（100KW）需要深化并列入专项工程招采）至末端用电设备由专项单位施工。</w:t>
      </w:r>
    </w:p>
    <w:p w14:paraId="6DA88352">
      <w:pPr>
        <w:pStyle w:val="7"/>
        <w:pageBreakBefore w:val="0"/>
        <w:kinsoku/>
        <w:wordWrap/>
        <w:overflowPunct/>
        <w:autoSpaceDE/>
        <w:autoSpaceDN/>
        <w:bidi w:val="0"/>
        <w:snapToGrid w:val="0"/>
        <w:spacing w:line="360" w:lineRule="auto"/>
        <w:ind w:firstLine="420" w:firstLineChars="200"/>
        <w:jc w:val="left"/>
        <w:rPr>
          <w:rStyle w:val="9"/>
          <w:rFonts w:hint="eastAsia" w:ascii="宋体" w:hAnsi="宋体" w:eastAsia="宋体" w:cs="宋体"/>
          <w:sz w:val="21"/>
          <w:szCs w:val="21"/>
        </w:rPr>
      </w:pPr>
      <w:r>
        <w:rPr>
          <w:rStyle w:val="9"/>
          <w:rFonts w:hint="eastAsia" w:ascii="宋体" w:hAnsi="宋体" w:eastAsia="宋体" w:cs="宋体"/>
          <w:sz w:val="21"/>
          <w:szCs w:val="21"/>
          <w:lang w:val="en-US" w:eastAsia="zh-CN"/>
        </w:rPr>
        <w:t>手术室施工范围不包含消防，手术室范围内的应急疏散照明等消防由消防施工单位施工。</w:t>
      </w:r>
    </w:p>
    <w:p w14:paraId="1110A7D1">
      <w:pPr>
        <w:pStyle w:val="7"/>
        <w:pageBreakBefore w:val="0"/>
        <w:kinsoku/>
        <w:wordWrap/>
        <w:overflowPunct/>
        <w:autoSpaceDE/>
        <w:autoSpaceDN/>
        <w:bidi w:val="0"/>
        <w:snapToGrid w:val="0"/>
        <w:spacing w:line="360" w:lineRule="auto"/>
        <w:ind w:firstLine="422" w:firstLineChars="200"/>
        <w:jc w:val="left"/>
        <w:rPr>
          <w:rStyle w:val="9"/>
          <w:rFonts w:hint="eastAsia" w:ascii="宋体" w:hAnsi="宋体" w:eastAsia="宋体" w:cs="宋体"/>
          <w:sz w:val="21"/>
          <w:szCs w:val="21"/>
        </w:rPr>
      </w:pPr>
      <w:r>
        <w:rPr>
          <w:rStyle w:val="9"/>
          <w:rFonts w:hint="eastAsia" w:ascii="宋体" w:hAnsi="宋体" w:eastAsia="宋体" w:cs="宋体"/>
          <w:b/>
          <w:bCs/>
          <w:sz w:val="21"/>
          <w:szCs w:val="21"/>
        </w:rPr>
        <w:t>给排水：</w:t>
      </w:r>
      <w:r>
        <w:rPr>
          <w:rStyle w:val="9"/>
          <w:rFonts w:hint="eastAsia" w:ascii="宋体" w:hAnsi="宋体" w:eastAsia="宋体" w:cs="宋体"/>
          <w:sz w:val="21"/>
          <w:szCs w:val="21"/>
        </w:rPr>
        <w:t>排水主干管以及按照特殊科室要求留梯口、冷热水主管留梯口带阀门（以交界面阀门为界）由青竹湖建设施工，阀后管道及末端由专项单位施</w:t>
      </w:r>
    </w:p>
    <w:p w14:paraId="288AF108">
      <w:pPr>
        <w:pStyle w:val="7"/>
        <w:pageBreakBefore w:val="0"/>
        <w:kinsoku/>
        <w:wordWrap/>
        <w:overflowPunct/>
        <w:autoSpaceDE/>
        <w:autoSpaceDN/>
        <w:bidi w:val="0"/>
        <w:snapToGrid w:val="0"/>
        <w:spacing w:line="360" w:lineRule="auto"/>
        <w:jc w:val="left"/>
        <w:rPr>
          <w:rStyle w:val="9"/>
          <w:rFonts w:hint="eastAsia" w:ascii="宋体" w:hAnsi="宋体" w:eastAsia="宋体" w:cs="宋体"/>
          <w:sz w:val="21"/>
          <w:szCs w:val="21"/>
        </w:rPr>
      </w:pPr>
      <w:r>
        <w:rPr>
          <w:rStyle w:val="9"/>
          <w:rFonts w:hint="eastAsia" w:ascii="宋体" w:hAnsi="宋体" w:eastAsia="宋体" w:cs="宋体"/>
          <w:sz w:val="21"/>
          <w:szCs w:val="21"/>
        </w:rPr>
        <w:t>工。</w:t>
      </w:r>
    </w:p>
    <w:p w14:paraId="2520E2A2">
      <w:pPr>
        <w:pStyle w:val="7"/>
        <w:pageBreakBefore w:val="0"/>
        <w:kinsoku/>
        <w:wordWrap/>
        <w:overflowPunct/>
        <w:autoSpaceDE/>
        <w:autoSpaceDN/>
        <w:bidi w:val="0"/>
        <w:snapToGrid w:val="0"/>
        <w:spacing w:line="360" w:lineRule="auto"/>
        <w:ind w:firstLine="422" w:firstLineChars="200"/>
        <w:jc w:val="left"/>
        <w:rPr>
          <w:rStyle w:val="9"/>
          <w:rFonts w:hint="eastAsia" w:ascii="宋体" w:hAnsi="宋体" w:eastAsia="宋体" w:cs="宋体"/>
          <w:sz w:val="21"/>
          <w:szCs w:val="21"/>
        </w:rPr>
      </w:pPr>
      <w:r>
        <w:rPr>
          <w:rStyle w:val="9"/>
          <w:rFonts w:hint="eastAsia" w:ascii="宋体" w:hAnsi="宋体" w:eastAsia="宋体" w:cs="宋体"/>
          <w:b/>
          <w:bCs/>
          <w:sz w:val="21"/>
          <w:szCs w:val="21"/>
        </w:rPr>
        <w:t>暖通：</w:t>
      </w:r>
      <w:r>
        <w:rPr>
          <w:rStyle w:val="9"/>
          <w:rFonts w:hint="eastAsia" w:ascii="宋体" w:hAnsi="宋体" w:eastAsia="宋体" w:cs="宋体"/>
          <w:sz w:val="21"/>
          <w:szCs w:val="21"/>
        </w:rPr>
        <w:t>该区域内的新风、空调系统均由专项单位施工。</w:t>
      </w:r>
    </w:p>
    <w:p w14:paraId="573DC023">
      <w:pPr>
        <w:pStyle w:val="7"/>
        <w:pageBreakBefore w:val="0"/>
        <w:kinsoku/>
        <w:wordWrap/>
        <w:overflowPunct/>
        <w:autoSpaceDE/>
        <w:autoSpaceDN/>
        <w:bidi w:val="0"/>
        <w:snapToGrid w:val="0"/>
        <w:spacing w:line="360" w:lineRule="auto"/>
        <w:ind w:firstLine="422" w:firstLineChars="200"/>
        <w:jc w:val="left"/>
        <w:rPr>
          <w:rStyle w:val="9"/>
          <w:rFonts w:hint="eastAsia" w:ascii="宋体" w:hAnsi="宋体" w:eastAsia="宋体" w:cs="宋体"/>
          <w:sz w:val="21"/>
          <w:szCs w:val="21"/>
          <w:lang w:val="en-US" w:eastAsia="zh-CN"/>
        </w:rPr>
      </w:pPr>
      <w:r>
        <w:rPr>
          <w:rStyle w:val="9"/>
          <w:rFonts w:hint="eastAsia" w:ascii="宋体" w:hAnsi="宋体" w:eastAsia="宋体" w:cs="宋体"/>
          <w:b/>
          <w:bCs/>
          <w:sz w:val="21"/>
          <w:szCs w:val="21"/>
          <w:lang w:val="en-US" w:eastAsia="zh-CN"/>
        </w:rPr>
        <w:t>医气：</w:t>
      </w:r>
      <w:r>
        <w:rPr>
          <w:rStyle w:val="9"/>
          <w:rFonts w:hint="eastAsia" w:ascii="宋体" w:hAnsi="宋体" w:eastAsia="宋体" w:cs="宋体"/>
          <w:sz w:val="21"/>
          <w:szCs w:val="21"/>
          <w:lang w:val="en-US" w:eastAsia="zh-CN"/>
        </w:rPr>
        <w:t>手术室施工范围仅包含手术室内部装备中9个医气终端箱，不包含手术室范围内的所有医气管道和预麻/复苏室的6个床位设备带的施工，医气管道和设备带计入医用气体施工单位范围。联系医用气体专项设计已确认</w:t>
      </w:r>
    </w:p>
    <w:p w14:paraId="05D9B8C8">
      <w:pPr>
        <w:pStyle w:val="7"/>
        <w:pageBreakBefore w:val="0"/>
        <w:kinsoku/>
        <w:wordWrap/>
        <w:overflowPunct/>
        <w:autoSpaceDE/>
        <w:autoSpaceDN/>
        <w:bidi w:val="0"/>
        <w:snapToGrid w:val="0"/>
        <w:spacing w:line="360" w:lineRule="auto"/>
        <w:ind w:firstLine="422" w:firstLineChars="200"/>
        <w:jc w:val="left"/>
        <w:rPr>
          <w:rStyle w:val="9"/>
          <w:rFonts w:hint="eastAsia" w:ascii="宋体" w:hAnsi="宋体" w:eastAsia="宋体" w:cs="宋体"/>
          <w:b/>
          <w:bCs/>
          <w:sz w:val="21"/>
          <w:szCs w:val="21"/>
        </w:rPr>
      </w:pPr>
      <w:r>
        <w:rPr>
          <w:rStyle w:val="9"/>
          <w:rFonts w:hint="eastAsia" w:ascii="宋体" w:hAnsi="宋体" w:eastAsia="宋体" w:cs="宋体"/>
          <w:b/>
          <w:bCs/>
          <w:sz w:val="21"/>
          <w:szCs w:val="21"/>
        </w:rPr>
        <w:t>7.1#综合楼裙楼六层净化机房</w:t>
      </w:r>
    </w:p>
    <w:p w14:paraId="02983C54">
      <w:pPr>
        <w:pStyle w:val="7"/>
        <w:pageBreakBefore w:val="0"/>
        <w:kinsoku/>
        <w:wordWrap/>
        <w:overflowPunct/>
        <w:autoSpaceDE/>
        <w:autoSpaceDN/>
        <w:bidi w:val="0"/>
        <w:snapToGrid w:val="0"/>
        <w:spacing w:line="360" w:lineRule="auto"/>
        <w:ind w:firstLine="422" w:firstLineChars="200"/>
        <w:jc w:val="left"/>
        <w:rPr>
          <w:rStyle w:val="9"/>
          <w:rFonts w:hint="eastAsia" w:ascii="宋体" w:hAnsi="宋体" w:eastAsia="宋体" w:cs="宋体"/>
          <w:sz w:val="21"/>
          <w:szCs w:val="21"/>
        </w:rPr>
      </w:pPr>
      <w:r>
        <w:rPr>
          <w:rStyle w:val="9"/>
          <w:rFonts w:hint="eastAsia" w:ascii="宋体" w:hAnsi="宋体" w:eastAsia="宋体" w:cs="宋体"/>
          <w:b/>
          <w:bCs/>
          <w:sz w:val="21"/>
          <w:szCs w:val="21"/>
        </w:rPr>
        <w:t>强电：</w:t>
      </w:r>
      <w:r>
        <w:rPr>
          <w:rStyle w:val="9"/>
          <w:rFonts w:hint="eastAsia" w:ascii="宋体" w:hAnsi="宋体" w:eastAsia="宋体" w:cs="宋体"/>
          <w:sz w:val="21"/>
          <w:szCs w:val="21"/>
        </w:rPr>
        <w:t>低压配电柜到该区域内配电箱（编号：6ATJH(300KW)、QFAPKT1(200KW)、QFAPKT2(150KW)不包括配电箱)的电源引入由青竹湖建设施工；该区域内配电箱6ATJH(300KW)、QFAPKT1(200KW)、QFAPKT2(150KW)需要深化并列入专项工程招采）至末端用电设备由专项单位施工。</w:t>
      </w:r>
    </w:p>
    <w:p w14:paraId="663374FB">
      <w:pPr>
        <w:pStyle w:val="7"/>
        <w:pageBreakBefore w:val="0"/>
        <w:kinsoku/>
        <w:wordWrap/>
        <w:overflowPunct/>
        <w:autoSpaceDE/>
        <w:autoSpaceDN/>
        <w:bidi w:val="0"/>
        <w:snapToGrid w:val="0"/>
        <w:spacing w:line="360" w:lineRule="auto"/>
        <w:ind w:firstLine="420" w:firstLineChars="200"/>
        <w:jc w:val="left"/>
        <w:rPr>
          <w:rStyle w:val="9"/>
          <w:rFonts w:hint="eastAsia" w:ascii="宋体" w:hAnsi="宋体" w:eastAsia="宋体" w:cs="宋体"/>
          <w:sz w:val="21"/>
          <w:szCs w:val="21"/>
          <w:lang w:val="en-US" w:eastAsia="zh-CN"/>
        </w:rPr>
      </w:pPr>
      <w:r>
        <w:rPr>
          <w:rStyle w:val="9"/>
          <w:rFonts w:hint="eastAsia" w:ascii="宋体" w:hAnsi="宋体" w:eastAsia="宋体" w:cs="宋体"/>
          <w:sz w:val="21"/>
          <w:szCs w:val="21"/>
          <w:lang w:val="en-US" w:eastAsia="zh-CN"/>
        </w:rPr>
        <w:t>QFAPKT2（屋顶空调配电箱2）使用单位为：中心供应空调配电箱、变电所多联机、影像科多联机，与手术室并无关联，此电箱位于屋顶净化机房东南角，连接桥架200*150；此电箱计入中心供应室。消毒供应室专项设计已确认。</w:t>
      </w:r>
    </w:p>
    <w:p w14:paraId="081C5939">
      <w:pPr>
        <w:pStyle w:val="7"/>
        <w:pageBreakBefore w:val="0"/>
        <w:kinsoku/>
        <w:wordWrap/>
        <w:overflowPunct/>
        <w:autoSpaceDE/>
        <w:autoSpaceDN/>
        <w:bidi w:val="0"/>
        <w:snapToGrid w:val="0"/>
        <w:spacing w:line="360" w:lineRule="auto"/>
        <w:ind w:firstLine="420" w:firstLineChars="200"/>
        <w:jc w:val="left"/>
        <w:rPr>
          <w:rStyle w:val="9"/>
          <w:rFonts w:hint="eastAsia" w:ascii="宋体" w:hAnsi="宋体" w:eastAsia="宋体" w:cs="宋体"/>
          <w:sz w:val="21"/>
          <w:szCs w:val="21"/>
          <w:lang w:val="en-US" w:eastAsia="zh-CN"/>
        </w:rPr>
      </w:pPr>
      <w:r>
        <w:rPr>
          <w:rStyle w:val="9"/>
          <w:rFonts w:hint="eastAsia" w:ascii="宋体" w:hAnsi="宋体" w:eastAsia="宋体" w:cs="宋体"/>
          <w:sz w:val="21"/>
          <w:szCs w:val="21"/>
          <w:lang w:val="en-US" w:eastAsia="zh-CN"/>
        </w:rPr>
        <w:t>5ATJH1（屋顶净化空调配电箱）使用单位为：口腔科多联机、病案科多联机、UPS及配电间、DSA多联机、DSA设备间多联机、血透室多联机、检验科多联机，此电箱位置在北面的裙楼屋顶，与手术室并无关联，计入血透中心。联系血透专项设计已确认。</w:t>
      </w:r>
    </w:p>
    <w:p w14:paraId="548B80EF">
      <w:pPr>
        <w:pStyle w:val="7"/>
        <w:pageBreakBefore w:val="0"/>
        <w:kinsoku/>
        <w:wordWrap/>
        <w:overflowPunct/>
        <w:autoSpaceDE/>
        <w:autoSpaceDN/>
        <w:bidi w:val="0"/>
        <w:snapToGrid w:val="0"/>
        <w:spacing w:line="360" w:lineRule="auto"/>
        <w:ind w:firstLine="420" w:firstLineChars="200"/>
        <w:jc w:val="left"/>
        <w:rPr>
          <w:rStyle w:val="9"/>
          <w:rFonts w:hint="eastAsia" w:ascii="宋体" w:hAnsi="宋体" w:eastAsia="宋体" w:cs="宋体"/>
          <w:sz w:val="21"/>
          <w:szCs w:val="21"/>
          <w:lang w:val="en-US" w:eastAsia="zh-CN"/>
        </w:rPr>
      </w:pPr>
      <w:r>
        <w:rPr>
          <w:rStyle w:val="9"/>
          <w:rFonts w:hint="eastAsia" w:ascii="宋体" w:hAnsi="宋体" w:eastAsia="宋体" w:cs="宋体"/>
          <w:sz w:val="21"/>
          <w:szCs w:val="21"/>
          <w:lang w:val="en-US" w:eastAsia="zh-CN"/>
        </w:rPr>
        <w:t>机房内照明、插座由总包施工。</w:t>
      </w:r>
    </w:p>
    <w:p w14:paraId="048C36B2">
      <w:pPr>
        <w:pStyle w:val="7"/>
        <w:pageBreakBefore w:val="0"/>
        <w:kinsoku/>
        <w:wordWrap/>
        <w:overflowPunct/>
        <w:autoSpaceDE/>
        <w:autoSpaceDN/>
        <w:bidi w:val="0"/>
        <w:snapToGrid w:val="0"/>
        <w:spacing w:line="360" w:lineRule="auto"/>
        <w:ind w:firstLine="420" w:firstLineChars="200"/>
        <w:jc w:val="left"/>
        <w:rPr>
          <w:rStyle w:val="9"/>
          <w:rFonts w:hint="eastAsia" w:ascii="宋体" w:hAnsi="宋体" w:eastAsia="宋体" w:cs="宋体"/>
          <w:sz w:val="21"/>
          <w:szCs w:val="21"/>
          <w:lang w:val="en-US" w:eastAsia="zh-CN"/>
        </w:rPr>
      </w:pPr>
      <w:r>
        <w:rPr>
          <w:rStyle w:val="9"/>
          <w:rFonts w:hint="eastAsia" w:ascii="宋体" w:hAnsi="宋体" w:eastAsia="宋体" w:cs="宋体"/>
          <w:sz w:val="21"/>
          <w:szCs w:val="21"/>
          <w:lang w:val="en-US" w:eastAsia="zh-CN"/>
        </w:rPr>
        <w:t>机房内的应急疏散照明等消防由消防施工单位施工。</w:t>
      </w:r>
    </w:p>
    <w:p w14:paraId="18755170">
      <w:pPr>
        <w:pStyle w:val="7"/>
        <w:pageBreakBefore w:val="0"/>
        <w:kinsoku/>
        <w:wordWrap/>
        <w:overflowPunct/>
        <w:autoSpaceDE/>
        <w:autoSpaceDN/>
        <w:bidi w:val="0"/>
        <w:snapToGrid w:val="0"/>
        <w:spacing w:line="360" w:lineRule="auto"/>
        <w:ind w:firstLine="422" w:firstLineChars="200"/>
        <w:jc w:val="left"/>
        <w:rPr>
          <w:rStyle w:val="9"/>
          <w:rFonts w:hint="eastAsia" w:ascii="宋体" w:hAnsi="宋体" w:eastAsia="宋体" w:cs="宋体"/>
          <w:sz w:val="21"/>
          <w:szCs w:val="21"/>
        </w:rPr>
      </w:pPr>
      <w:r>
        <w:rPr>
          <w:rStyle w:val="9"/>
          <w:rFonts w:hint="eastAsia" w:ascii="宋体" w:hAnsi="宋体" w:eastAsia="宋体" w:cs="宋体"/>
          <w:b/>
          <w:bCs/>
          <w:sz w:val="21"/>
          <w:szCs w:val="21"/>
        </w:rPr>
        <w:t>给排水：</w:t>
      </w:r>
      <w:r>
        <w:rPr>
          <w:rStyle w:val="9"/>
          <w:rFonts w:hint="eastAsia" w:ascii="宋体" w:hAnsi="宋体" w:eastAsia="宋体" w:cs="宋体"/>
          <w:sz w:val="21"/>
          <w:szCs w:val="21"/>
        </w:rPr>
        <w:t>净化机房内冷水主管内留梯口带水表及阀门(以交界面阀门为界)，由青竹湖建设施工，阀后管道及末端由甲指分包专业单位施工。</w:t>
      </w:r>
    </w:p>
    <w:p w14:paraId="5691C32C">
      <w:pPr>
        <w:pStyle w:val="7"/>
        <w:pageBreakBefore w:val="0"/>
        <w:kinsoku/>
        <w:wordWrap/>
        <w:overflowPunct/>
        <w:autoSpaceDE/>
        <w:autoSpaceDN/>
        <w:bidi w:val="0"/>
        <w:snapToGrid w:val="0"/>
        <w:spacing w:line="360" w:lineRule="auto"/>
        <w:ind w:firstLine="422" w:firstLineChars="200"/>
        <w:jc w:val="left"/>
        <w:rPr>
          <w:rStyle w:val="9"/>
          <w:rFonts w:hint="eastAsia" w:ascii="宋体" w:hAnsi="宋体" w:eastAsia="宋体" w:cs="宋体"/>
          <w:color w:val="000000"/>
          <w:sz w:val="21"/>
          <w:szCs w:val="21"/>
          <w:lang w:val="en-US" w:eastAsia="zh-CN"/>
        </w:rPr>
      </w:pPr>
      <w:r>
        <w:rPr>
          <w:rStyle w:val="9"/>
          <w:rFonts w:hint="eastAsia" w:ascii="宋体" w:hAnsi="宋体" w:eastAsia="宋体" w:cs="宋体"/>
          <w:b/>
          <w:bCs/>
          <w:sz w:val="21"/>
          <w:szCs w:val="21"/>
        </w:rPr>
        <w:t>暖通：</w:t>
      </w:r>
      <w:r>
        <w:rPr>
          <w:rStyle w:val="9"/>
          <w:rFonts w:hint="eastAsia" w:ascii="宋体" w:hAnsi="宋体" w:eastAsia="宋体" w:cs="宋体"/>
          <w:sz w:val="21"/>
          <w:szCs w:val="21"/>
        </w:rPr>
        <w:t>该区域内的新风、空调系统均由专项单位施工。</w:t>
      </w:r>
    </w:p>
    <w:p w14:paraId="7E7900A0">
      <w:pPr>
        <w:pStyle w:val="7"/>
        <w:keepNext/>
        <w:keepLines/>
        <w:pageBreakBefore w:val="0"/>
        <w:widowControl w:val="0"/>
        <w:numPr>
          <w:ilvl w:val="0"/>
          <w:numId w:val="2"/>
        </w:numPr>
        <w:kinsoku/>
        <w:wordWrap/>
        <w:overflowPunct/>
        <w:topLinePunct w:val="0"/>
        <w:autoSpaceDE/>
        <w:autoSpaceDN/>
        <w:bidi w:val="0"/>
        <w:adjustRightInd w:val="0"/>
        <w:snapToGrid w:val="0"/>
        <w:spacing w:line="360" w:lineRule="auto"/>
        <w:ind w:firstLine="422" w:firstLineChars="200"/>
        <w:jc w:val="left"/>
        <w:textAlignment w:val="baseline"/>
        <w:outlineLvl w:val="9"/>
        <w:rPr>
          <w:rStyle w:val="9"/>
          <w:rFonts w:hint="eastAsia" w:ascii="宋体" w:hAnsi="宋体" w:eastAsia="宋体" w:cs="宋体"/>
          <w:b/>
          <w:bCs w:val="0"/>
          <w:color w:val="000000"/>
          <w:kern w:val="2"/>
          <w:sz w:val="21"/>
          <w:szCs w:val="21"/>
          <w:highlight w:val="none"/>
          <w:lang w:val="en-US" w:eastAsia="zh-CN" w:bidi="ar-SA"/>
        </w:rPr>
      </w:pPr>
      <w:r>
        <w:rPr>
          <w:rStyle w:val="9"/>
          <w:rFonts w:hint="eastAsia" w:ascii="宋体" w:hAnsi="宋体" w:eastAsia="宋体" w:cs="宋体"/>
          <w:b/>
          <w:bCs w:val="0"/>
          <w:color w:val="000000"/>
          <w:kern w:val="2"/>
          <w:sz w:val="21"/>
          <w:szCs w:val="21"/>
          <w:highlight w:val="none"/>
          <w:lang w:val="en-US" w:eastAsia="zh-CN" w:bidi="ar-SA"/>
        </w:rPr>
        <w:t>设计依据</w:t>
      </w:r>
    </w:p>
    <w:p w14:paraId="58249100">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综合医院建筑设计</w:t>
      </w:r>
      <w:r>
        <w:rPr>
          <w:rStyle w:val="9"/>
          <w:rFonts w:hint="eastAsia" w:ascii="宋体" w:hAnsi="宋体" w:eastAsia="宋体" w:cs="宋体"/>
          <w:color w:val="auto"/>
          <w:sz w:val="21"/>
          <w:szCs w:val="21"/>
          <w:highlight w:val="none"/>
          <w:lang w:val="en-US" w:eastAsia="zh-CN"/>
        </w:rPr>
        <w:t>标准（2024年版）</w:t>
      </w:r>
      <w:r>
        <w:rPr>
          <w:rStyle w:val="9"/>
          <w:rFonts w:hint="eastAsia" w:ascii="宋体" w:hAnsi="宋体" w:eastAsia="宋体" w:cs="宋体"/>
          <w:sz w:val="21"/>
          <w:szCs w:val="21"/>
        </w:rPr>
        <w:t>》GB</w:t>
      </w:r>
      <w:r>
        <w:rPr>
          <w:rStyle w:val="9"/>
          <w:rFonts w:hint="eastAsia" w:ascii="宋体" w:hAnsi="宋体" w:eastAsia="宋体" w:cs="宋体"/>
          <w:sz w:val="21"/>
          <w:szCs w:val="21"/>
          <w:lang w:val="en-US" w:eastAsia="zh-CN"/>
        </w:rPr>
        <w:t xml:space="preserve"> </w:t>
      </w:r>
      <w:r>
        <w:rPr>
          <w:rStyle w:val="9"/>
          <w:rFonts w:hint="eastAsia" w:ascii="宋体" w:hAnsi="宋体" w:eastAsia="宋体" w:cs="宋体"/>
          <w:sz w:val="21"/>
          <w:szCs w:val="21"/>
        </w:rPr>
        <w:t>51039-2014；</w:t>
      </w:r>
    </w:p>
    <w:p w14:paraId="774253D2">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《建筑设计防火规范（2018版）》GB</w:t>
      </w:r>
      <w:r>
        <w:rPr>
          <w:rStyle w:val="9"/>
          <w:rFonts w:hint="eastAsia" w:ascii="宋体" w:hAnsi="宋体" w:eastAsia="宋体" w:cs="宋体"/>
          <w:sz w:val="21"/>
          <w:szCs w:val="21"/>
          <w:lang w:val="en-US" w:eastAsia="zh-CN"/>
        </w:rPr>
        <w:t xml:space="preserve"> </w:t>
      </w:r>
      <w:r>
        <w:rPr>
          <w:rStyle w:val="9"/>
          <w:rFonts w:hint="eastAsia" w:ascii="宋体" w:hAnsi="宋体" w:eastAsia="宋体" w:cs="宋体"/>
          <w:sz w:val="21"/>
          <w:szCs w:val="21"/>
        </w:rPr>
        <w:t>50016-2014</w:t>
      </w:r>
      <w:r>
        <w:rPr>
          <w:rStyle w:val="9"/>
          <w:rFonts w:hint="eastAsia" w:ascii="宋体" w:hAnsi="宋体" w:eastAsia="宋体" w:cs="宋体"/>
          <w:sz w:val="21"/>
          <w:szCs w:val="21"/>
          <w:lang w:eastAsia="zh-CN"/>
        </w:rPr>
        <w:t>；</w:t>
      </w:r>
    </w:p>
    <w:p w14:paraId="676D65F5">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《医院洁净手术部建筑技术规范》GB</w:t>
      </w:r>
      <w:r>
        <w:rPr>
          <w:rStyle w:val="9"/>
          <w:rFonts w:hint="eastAsia" w:ascii="宋体" w:hAnsi="宋体" w:eastAsia="宋体" w:cs="宋体"/>
          <w:sz w:val="21"/>
          <w:szCs w:val="21"/>
          <w:lang w:val="en-US" w:eastAsia="zh-CN"/>
        </w:rPr>
        <w:t xml:space="preserve"> </w:t>
      </w:r>
      <w:r>
        <w:rPr>
          <w:rStyle w:val="9"/>
          <w:rFonts w:hint="eastAsia" w:ascii="宋体" w:hAnsi="宋体" w:eastAsia="宋体" w:cs="宋体"/>
          <w:sz w:val="21"/>
          <w:szCs w:val="21"/>
        </w:rPr>
        <w:t>50333-2013；</w:t>
      </w:r>
    </w:p>
    <w:p w14:paraId="0BF881A7">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《洁净厂房设计规范》GB</w:t>
      </w:r>
      <w:r>
        <w:rPr>
          <w:rStyle w:val="9"/>
          <w:rFonts w:hint="eastAsia" w:ascii="宋体" w:hAnsi="宋体" w:eastAsia="宋体" w:cs="宋体"/>
          <w:sz w:val="21"/>
          <w:szCs w:val="21"/>
          <w:lang w:val="en-US" w:eastAsia="zh-CN"/>
        </w:rPr>
        <w:t xml:space="preserve"> </w:t>
      </w:r>
      <w:r>
        <w:rPr>
          <w:rStyle w:val="9"/>
          <w:rFonts w:hint="eastAsia" w:ascii="宋体" w:hAnsi="宋体" w:eastAsia="宋体" w:cs="宋体"/>
          <w:sz w:val="21"/>
          <w:szCs w:val="21"/>
        </w:rPr>
        <w:t>50073-2013；</w:t>
      </w:r>
    </w:p>
    <w:p w14:paraId="05B9C716">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《民用建筑供暖通风与空气调节设计规范》G</w:t>
      </w:r>
      <w:r>
        <w:rPr>
          <w:rStyle w:val="9"/>
          <w:rFonts w:hint="eastAsia" w:ascii="宋体" w:hAnsi="宋体" w:eastAsia="宋体" w:cs="宋体"/>
          <w:sz w:val="21"/>
          <w:szCs w:val="21"/>
          <w:lang w:val="en-US" w:eastAsia="zh-CN"/>
        </w:rPr>
        <w:t xml:space="preserve"> </w:t>
      </w:r>
      <w:r>
        <w:rPr>
          <w:rStyle w:val="9"/>
          <w:rFonts w:hint="eastAsia" w:ascii="宋体" w:hAnsi="宋体" w:eastAsia="宋体" w:cs="宋体"/>
          <w:sz w:val="21"/>
          <w:szCs w:val="21"/>
        </w:rPr>
        <w:t xml:space="preserve">B50736-2012； </w:t>
      </w:r>
    </w:p>
    <w:p w14:paraId="5FADD906">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《洁净室施工及验收规范》GB</w:t>
      </w:r>
      <w:r>
        <w:rPr>
          <w:rStyle w:val="9"/>
          <w:rFonts w:hint="eastAsia" w:ascii="宋体" w:hAnsi="宋体" w:eastAsia="宋体" w:cs="宋体"/>
          <w:sz w:val="21"/>
          <w:szCs w:val="21"/>
          <w:lang w:val="en-US" w:eastAsia="zh-CN"/>
        </w:rPr>
        <w:t xml:space="preserve"> </w:t>
      </w:r>
      <w:r>
        <w:rPr>
          <w:rStyle w:val="9"/>
          <w:rFonts w:hint="eastAsia" w:ascii="宋体" w:hAnsi="宋体" w:eastAsia="宋体" w:cs="宋体"/>
          <w:sz w:val="21"/>
          <w:szCs w:val="21"/>
        </w:rPr>
        <w:t>50591-2010；</w:t>
      </w:r>
    </w:p>
    <w:p w14:paraId="3651E097">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《通风与空调工程施工质量验收规范》GB</w:t>
      </w:r>
      <w:r>
        <w:rPr>
          <w:rStyle w:val="9"/>
          <w:rFonts w:hint="eastAsia" w:ascii="宋体" w:hAnsi="宋体" w:eastAsia="宋体" w:cs="宋体"/>
          <w:sz w:val="21"/>
          <w:szCs w:val="21"/>
          <w:lang w:val="en-US" w:eastAsia="zh-CN"/>
        </w:rPr>
        <w:t xml:space="preserve"> </w:t>
      </w:r>
      <w:r>
        <w:rPr>
          <w:rStyle w:val="9"/>
          <w:rFonts w:hint="eastAsia" w:ascii="宋体" w:hAnsi="宋体" w:eastAsia="宋体" w:cs="宋体"/>
          <w:sz w:val="21"/>
          <w:szCs w:val="21"/>
        </w:rPr>
        <w:t>50243-2016；</w:t>
      </w:r>
    </w:p>
    <w:p w14:paraId="5971F31F">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《建筑给水排水及采暖工程施工质量验收规范》GB</w:t>
      </w:r>
      <w:r>
        <w:rPr>
          <w:rStyle w:val="9"/>
          <w:rFonts w:hint="eastAsia" w:ascii="宋体" w:hAnsi="宋体" w:eastAsia="宋体" w:cs="宋体"/>
          <w:sz w:val="21"/>
          <w:szCs w:val="21"/>
          <w:lang w:val="en-US" w:eastAsia="zh-CN"/>
        </w:rPr>
        <w:t xml:space="preserve"> </w:t>
      </w:r>
      <w:r>
        <w:rPr>
          <w:rStyle w:val="9"/>
          <w:rFonts w:hint="eastAsia" w:ascii="宋体" w:hAnsi="宋体" w:eastAsia="宋体" w:cs="宋体"/>
          <w:sz w:val="21"/>
          <w:szCs w:val="21"/>
        </w:rPr>
        <w:t>50242-20</w:t>
      </w:r>
      <w:r>
        <w:rPr>
          <w:rStyle w:val="9"/>
          <w:rFonts w:hint="eastAsia" w:ascii="宋体" w:hAnsi="宋体" w:eastAsia="宋体" w:cs="宋体"/>
          <w:sz w:val="21"/>
          <w:szCs w:val="21"/>
          <w:lang w:val="en-US" w:eastAsia="zh-CN"/>
        </w:rPr>
        <w:t>02</w:t>
      </w:r>
      <w:r>
        <w:rPr>
          <w:rStyle w:val="9"/>
          <w:rFonts w:hint="eastAsia" w:ascii="宋体" w:hAnsi="宋体" w:eastAsia="宋体" w:cs="宋体"/>
          <w:sz w:val="21"/>
          <w:szCs w:val="21"/>
        </w:rPr>
        <w:t>；</w:t>
      </w:r>
    </w:p>
    <w:p w14:paraId="7852A645">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w:t>
      </w:r>
      <w:r>
        <w:rPr>
          <w:rStyle w:val="9"/>
          <w:rFonts w:hint="eastAsia" w:ascii="宋体" w:hAnsi="宋体" w:eastAsia="宋体" w:cs="宋体"/>
          <w:b w:val="0"/>
          <w:bCs w:val="0"/>
          <w:color w:val="auto"/>
          <w:sz w:val="21"/>
          <w:szCs w:val="21"/>
          <w:highlight w:val="none"/>
          <w:lang w:val="en-US" w:eastAsia="zh-CN"/>
        </w:rPr>
        <w:t>通风与空调工程施工规范</w:t>
      </w:r>
      <w:r>
        <w:rPr>
          <w:rStyle w:val="9"/>
          <w:rFonts w:hint="eastAsia" w:ascii="宋体" w:hAnsi="宋体" w:eastAsia="宋体" w:cs="宋体"/>
          <w:sz w:val="21"/>
          <w:szCs w:val="21"/>
        </w:rPr>
        <w:t>》GB</w:t>
      </w:r>
      <w:r>
        <w:rPr>
          <w:rStyle w:val="9"/>
          <w:rFonts w:hint="eastAsia" w:ascii="宋体" w:hAnsi="宋体" w:eastAsia="宋体" w:cs="宋体"/>
          <w:sz w:val="21"/>
          <w:szCs w:val="21"/>
          <w:lang w:val="en-US" w:eastAsia="zh-CN"/>
        </w:rPr>
        <w:t xml:space="preserve"> </w:t>
      </w:r>
      <w:r>
        <w:rPr>
          <w:rStyle w:val="9"/>
          <w:rFonts w:hint="eastAsia" w:ascii="宋体" w:hAnsi="宋体" w:eastAsia="宋体" w:cs="宋体"/>
          <w:sz w:val="21"/>
          <w:szCs w:val="21"/>
        </w:rPr>
        <w:t>50738-2011；</w:t>
      </w:r>
    </w:p>
    <w:p w14:paraId="2278D271">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《空气过滤器》</w:t>
      </w:r>
      <w:r>
        <w:rPr>
          <w:rStyle w:val="9"/>
          <w:rFonts w:hint="eastAsia" w:ascii="宋体" w:hAnsi="宋体" w:eastAsia="宋体" w:cs="宋体"/>
          <w:sz w:val="21"/>
          <w:szCs w:val="21"/>
          <w:highlight w:val="none"/>
          <w:lang w:val="en-US" w:eastAsia="zh-CN"/>
        </w:rPr>
        <w:t>GB/T 14295-2019；</w:t>
      </w:r>
    </w:p>
    <w:p w14:paraId="30C52FCE">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《高效空气过滤器》</w:t>
      </w:r>
      <w:r>
        <w:rPr>
          <w:rStyle w:val="9"/>
          <w:rFonts w:hint="eastAsia" w:ascii="宋体" w:hAnsi="宋体" w:eastAsia="宋体" w:cs="宋体"/>
          <w:sz w:val="21"/>
          <w:szCs w:val="21"/>
          <w:highlight w:val="none"/>
          <w:lang w:val="en-US" w:eastAsia="zh-CN"/>
        </w:rPr>
        <w:t>GB/T 13554-2020</w:t>
      </w:r>
      <w:r>
        <w:rPr>
          <w:rStyle w:val="9"/>
          <w:rFonts w:hint="eastAsia" w:ascii="宋体" w:hAnsi="宋体" w:eastAsia="宋体" w:cs="宋体"/>
          <w:sz w:val="21"/>
          <w:szCs w:val="21"/>
          <w:highlight w:val="none"/>
        </w:rPr>
        <w:t xml:space="preserve"> </w:t>
      </w:r>
      <w:r>
        <w:rPr>
          <w:rStyle w:val="9"/>
          <w:rFonts w:hint="eastAsia" w:ascii="宋体" w:hAnsi="宋体" w:eastAsia="宋体" w:cs="宋体"/>
          <w:sz w:val="21"/>
          <w:szCs w:val="21"/>
          <w:highlight w:val="none"/>
          <w:lang w:eastAsia="zh-CN"/>
        </w:rPr>
        <w:t>；</w:t>
      </w:r>
    </w:p>
    <w:p w14:paraId="4A9EA39D">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 xml:space="preserve">《医院消毒卫生标准》GB 15982-2012； </w:t>
      </w:r>
    </w:p>
    <w:p w14:paraId="510EBF0E">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 xml:space="preserve">《建筑照明设计标准》 </w:t>
      </w:r>
      <w:r>
        <w:rPr>
          <w:rStyle w:val="9"/>
          <w:rFonts w:hint="eastAsia" w:ascii="宋体" w:hAnsi="宋体" w:eastAsia="宋体" w:cs="宋体"/>
          <w:sz w:val="21"/>
          <w:szCs w:val="21"/>
          <w:highlight w:val="none"/>
          <w:lang w:val="en-US" w:eastAsia="zh-CN"/>
        </w:rPr>
        <w:t>GB/T 50034-2024</w:t>
      </w:r>
      <w:r>
        <w:rPr>
          <w:rStyle w:val="9"/>
          <w:rFonts w:hint="eastAsia" w:ascii="宋体" w:hAnsi="宋体" w:eastAsia="宋体" w:cs="宋体"/>
          <w:sz w:val="21"/>
          <w:szCs w:val="21"/>
        </w:rPr>
        <w:t xml:space="preserve"> </w:t>
      </w:r>
      <w:r>
        <w:rPr>
          <w:rStyle w:val="9"/>
          <w:rFonts w:hint="eastAsia" w:ascii="宋体" w:hAnsi="宋体" w:eastAsia="宋体" w:cs="宋体"/>
          <w:sz w:val="21"/>
          <w:szCs w:val="21"/>
          <w:lang w:eastAsia="zh-CN"/>
        </w:rPr>
        <w:t>；</w:t>
      </w:r>
    </w:p>
    <w:p w14:paraId="7E90E5B8">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《洁净室施工及验收规范》GB 50591-2010；</w:t>
      </w:r>
    </w:p>
    <w:p w14:paraId="6FE948A7">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《供配电系统设计规范》GB 50052－2009；</w:t>
      </w:r>
    </w:p>
    <w:p w14:paraId="6BCAAE03">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《低压配电设计规范》GB 50054－2011；</w:t>
      </w:r>
    </w:p>
    <w:p w14:paraId="7E7E6EA9">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《电气装置安装工程电缆线路施工及验收规范》</w:t>
      </w:r>
      <w:r>
        <w:rPr>
          <w:rStyle w:val="9"/>
          <w:rFonts w:hint="eastAsia" w:ascii="宋体" w:hAnsi="宋体" w:eastAsia="宋体" w:cs="宋体"/>
          <w:sz w:val="21"/>
          <w:szCs w:val="21"/>
          <w:highlight w:val="none"/>
          <w:lang w:val="en-US" w:eastAsia="zh-CN"/>
        </w:rPr>
        <w:t>DL/T 5891-2024；</w:t>
      </w:r>
    </w:p>
    <w:p w14:paraId="65FB815B">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《建筑设计防火规范》GB</w:t>
      </w:r>
      <w:r>
        <w:rPr>
          <w:rStyle w:val="9"/>
          <w:rFonts w:hint="eastAsia" w:ascii="宋体" w:hAnsi="宋体" w:eastAsia="宋体" w:cs="宋体"/>
          <w:sz w:val="21"/>
          <w:szCs w:val="21"/>
          <w:lang w:val="en-US" w:eastAsia="zh-CN"/>
        </w:rPr>
        <w:t xml:space="preserve"> </w:t>
      </w:r>
      <w:r>
        <w:rPr>
          <w:rStyle w:val="9"/>
          <w:rFonts w:hint="eastAsia" w:ascii="宋体" w:hAnsi="宋体" w:eastAsia="宋体" w:cs="宋体"/>
          <w:sz w:val="21"/>
          <w:szCs w:val="21"/>
        </w:rPr>
        <w:t>50016-2014；</w:t>
      </w:r>
    </w:p>
    <w:p w14:paraId="77AFFBBF">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《综合布线系统工程设计规范》GB 50311-2016；</w:t>
      </w:r>
    </w:p>
    <w:p w14:paraId="0838A54D">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《智能建筑设计标准》GB 50314-2015；</w:t>
      </w:r>
    </w:p>
    <w:p w14:paraId="780B04AE">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《建筑电气工程施工质量验收规范》（GB</w:t>
      </w:r>
      <w:r>
        <w:rPr>
          <w:rStyle w:val="9"/>
          <w:rFonts w:hint="eastAsia" w:ascii="宋体" w:hAnsi="宋体" w:eastAsia="宋体" w:cs="宋体"/>
          <w:sz w:val="21"/>
          <w:szCs w:val="21"/>
          <w:lang w:val="en-US" w:eastAsia="zh-CN"/>
        </w:rPr>
        <w:t xml:space="preserve"> </w:t>
      </w:r>
      <w:r>
        <w:rPr>
          <w:rStyle w:val="9"/>
          <w:rFonts w:hint="eastAsia" w:ascii="宋体" w:hAnsi="宋体" w:eastAsia="宋体" w:cs="宋体"/>
          <w:sz w:val="21"/>
          <w:szCs w:val="21"/>
        </w:rPr>
        <w:t>50303-2015）；</w:t>
      </w:r>
    </w:p>
    <w:p w14:paraId="32322BF3">
      <w:pPr>
        <w:pStyle w:val="7"/>
        <w:pageBreakBefore w:val="0"/>
        <w:numPr>
          <w:ilvl w:val="0"/>
          <w:numId w:val="3"/>
        </w:numPr>
        <w:kinsoku/>
        <w:wordWrap/>
        <w:overflowPunct/>
        <w:autoSpaceDE/>
        <w:autoSpaceDN/>
        <w:bidi w:val="0"/>
        <w:snapToGrid w:val="0"/>
        <w:spacing w:line="360" w:lineRule="auto"/>
        <w:ind w:left="1288" w:hanging="720"/>
        <w:jc w:val="left"/>
        <w:rPr>
          <w:rStyle w:val="9"/>
          <w:rFonts w:hint="eastAsia" w:ascii="宋体" w:hAnsi="宋体" w:eastAsia="宋体" w:cs="宋体"/>
          <w:sz w:val="21"/>
          <w:szCs w:val="21"/>
        </w:rPr>
      </w:pPr>
      <w:r>
        <w:rPr>
          <w:rStyle w:val="9"/>
          <w:rFonts w:hint="eastAsia" w:ascii="宋体" w:hAnsi="宋体" w:eastAsia="宋体" w:cs="宋体"/>
          <w:sz w:val="21"/>
          <w:szCs w:val="21"/>
        </w:rPr>
        <w:t>《工业金属管道工程施工</w:t>
      </w:r>
      <w:r>
        <w:rPr>
          <w:rStyle w:val="9"/>
          <w:rFonts w:hint="eastAsia" w:ascii="宋体" w:hAnsi="宋体" w:eastAsia="宋体" w:cs="宋体"/>
          <w:sz w:val="21"/>
          <w:szCs w:val="21"/>
          <w:lang w:val="en-US" w:eastAsia="zh-CN"/>
        </w:rPr>
        <w:t>质量</w:t>
      </w:r>
      <w:r>
        <w:rPr>
          <w:rStyle w:val="9"/>
          <w:rFonts w:hint="eastAsia" w:ascii="宋体" w:hAnsi="宋体" w:eastAsia="宋体" w:cs="宋体"/>
          <w:sz w:val="21"/>
          <w:szCs w:val="21"/>
        </w:rPr>
        <w:t>验收规范》GB</w:t>
      </w:r>
      <w:r>
        <w:rPr>
          <w:rStyle w:val="9"/>
          <w:rFonts w:hint="eastAsia" w:ascii="宋体" w:hAnsi="宋体" w:eastAsia="宋体" w:cs="宋体"/>
          <w:sz w:val="21"/>
          <w:szCs w:val="21"/>
          <w:lang w:val="en-US" w:eastAsia="zh-CN"/>
        </w:rPr>
        <w:t xml:space="preserve"> 50184</w:t>
      </w:r>
      <w:r>
        <w:rPr>
          <w:rStyle w:val="9"/>
          <w:rFonts w:hint="eastAsia" w:ascii="宋体" w:hAnsi="宋体" w:eastAsia="宋体" w:cs="宋体"/>
          <w:sz w:val="21"/>
          <w:szCs w:val="21"/>
        </w:rPr>
        <w:t>—201</w:t>
      </w:r>
      <w:r>
        <w:rPr>
          <w:rStyle w:val="9"/>
          <w:rFonts w:hint="eastAsia" w:ascii="宋体" w:hAnsi="宋体" w:eastAsia="宋体" w:cs="宋体"/>
          <w:sz w:val="21"/>
          <w:szCs w:val="21"/>
          <w:lang w:val="en-US" w:eastAsia="zh-CN"/>
        </w:rPr>
        <w:t>1</w:t>
      </w:r>
      <w:r>
        <w:rPr>
          <w:rStyle w:val="9"/>
          <w:rFonts w:hint="eastAsia" w:ascii="宋体" w:hAnsi="宋体" w:eastAsia="宋体" w:cs="宋体"/>
          <w:sz w:val="21"/>
          <w:szCs w:val="21"/>
        </w:rPr>
        <w:t xml:space="preserve">； </w:t>
      </w:r>
    </w:p>
    <w:p w14:paraId="19A0FFE6">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《现场设备、工业管道焊接</w:t>
      </w:r>
      <w:r>
        <w:rPr>
          <w:rStyle w:val="9"/>
          <w:rFonts w:hint="eastAsia" w:ascii="宋体" w:hAnsi="宋体" w:eastAsia="宋体" w:cs="宋体"/>
          <w:sz w:val="21"/>
          <w:szCs w:val="21"/>
          <w:lang w:val="en-US" w:eastAsia="zh-CN"/>
        </w:rPr>
        <w:t>工程</w:t>
      </w:r>
      <w:r>
        <w:rPr>
          <w:rStyle w:val="9"/>
          <w:rFonts w:hint="eastAsia" w:ascii="宋体" w:hAnsi="宋体" w:eastAsia="宋体" w:cs="宋体"/>
          <w:sz w:val="21"/>
          <w:szCs w:val="21"/>
        </w:rPr>
        <w:t>施工</w:t>
      </w:r>
      <w:r>
        <w:rPr>
          <w:rStyle w:val="9"/>
          <w:rFonts w:hint="eastAsia" w:ascii="宋体" w:hAnsi="宋体" w:eastAsia="宋体" w:cs="宋体"/>
          <w:sz w:val="21"/>
          <w:szCs w:val="21"/>
          <w:lang w:val="en-US" w:eastAsia="zh-CN"/>
        </w:rPr>
        <w:t>质量验收规范</w:t>
      </w:r>
      <w:r>
        <w:rPr>
          <w:rStyle w:val="9"/>
          <w:rFonts w:hint="eastAsia" w:ascii="宋体" w:hAnsi="宋体" w:eastAsia="宋体" w:cs="宋体"/>
          <w:sz w:val="21"/>
          <w:szCs w:val="21"/>
        </w:rPr>
        <w:t>》GB</w:t>
      </w:r>
      <w:r>
        <w:rPr>
          <w:rStyle w:val="9"/>
          <w:rFonts w:hint="eastAsia" w:ascii="宋体" w:hAnsi="宋体" w:eastAsia="宋体" w:cs="宋体"/>
          <w:sz w:val="21"/>
          <w:szCs w:val="21"/>
          <w:lang w:val="en-US" w:eastAsia="zh-CN"/>
        </w:rPr>
        <w:t xml:space="preserve"> </w:t>
      </w:r>
      <w:r>
        <w:rPr>
          <w:rStyle w:val="9"/>
          <w:rFonts w:hint="eastAsia" w:ascii="宋体" w:hAnsi="宋体" w:eastAsia="宋体" w:cs="宋体"/>
          <w:sz w:val="21"/>
          <w:szCs w:val="21"/>
        </w:rPr>
        <w:t>50</w:t>
      </w:r>
      <w:r>
        <w:rPr>
          <w:rStyle w:val="9"/>
          <w:rFonts w:hint="eastAsia" w:ascii="宋体" w:hAnsi="宋体" w:eastAsia="宋体" w:cs="宋体"/>
          <w:sz w:val="21"/>
          <w:szCs w:val="21"/>
          <w:lang w:val="en-US" w:eastAsia="zh-CN"/>
        </w:rPr>
        <w:t>683-2011</w:t>
      </w:r>
      <w:r>
        <w:rPr>
          <w:rStyle w:val="9"/>
          <w:rFonts w:hint="eastAsia" w:ascii="宋体" w:hAnsi="宋体" w:eastAsia="宋体" w:cs="宋体"/>
          <w:sz w:val="21"/>
          <w:szCs w:val="21"/>
        </w:rPr>
        <w:t>。</w:t>
      </w:r>
    </w:p>
    <w:p w14:paraId="601E805D">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rPr>
      </w:pPr>
      <w:r>
        <w:rPr>
          <w:rStyle w:val="9"/>
          <w:rFonts w:hint="eastAsia" w:ascii="宋体" w:hAnsi="宋体" w:eastAsia="宋体" w:cs="宋体"/>
          <w:sz w:val="21"/>
          <w:szCs w:val="21"/>
        </w:rPr>
        <w:t>其它与本项目相关的技术规范。</w:t>
      </w:r>
    </w:p>
    <w:p w14:paraId="7AC8B860">
      <w:pPr>
        <w:pStyle w:val="7"/>
        <w:pageBreakBefore w:val="0"/>
        <w:numPr>
          <w:ilvl w:val="0"/>
          <w:numId w:val="3"/>
        </w:numPr>
        <w:kinsoku/>
        <w:wordWrap/>
        <w:overflowPunct/>
        <w:autoSpaceDE/>
        <w:autoSpaceDN/>
        <w:bidi w:val="0"/>
        <w:snapToGrid w:val="0"/>
        <w:spacing w:line="360" w:lineRule="auto"/>
        <w:ind w:left="1288" w:hanging="720"/>
        <w:rPr>
          <w:rStyle w:val="9"/>
          <w:rFonts w:hint="eastAsia" w:ascii="宋体" w:hAnsi="宋体" w:eastAsia="宋体" w:cs="宋体"/>
          <w:sz w:val="21"/>
          <w:szCs w:val="21"/>
          <w:lang w:val="en-US" w:eastAsia="zh-CN"/>
        </w:rPr>
      </w:pPr>
      <w:r>
        <w:rPr>
          <w:rStyle w:val="9"/>
          <w:rFonts w:hint="eastAsia" w:ascii="宋体" w:hAnsi="宋体" w:eastAsia="宋体" w:cs="宋体"/>
          <w:sz w:val="21"/>
          <w:szCs w:val="21"/>
          <w:lang w:val="en-US" w:eastAsia="zh-CN"/>
        </w:rPr>
        <w:t>如遇法律法规、标准等对同一问题的处理出现歧义或不一致时，一律就高不就低。招标文件中所涉及的各项国家标准、行业标准等均以最新标准为准。</w:t>
      </w:r>
    </w:p>
    <w:p w14:paraId="11E8C46B">
      <w:pPr>
        <w:pStyle w:val="7"/>
        <w:keepNext/>
        <w:keepLines/>
        <w:pageBreakBefore w:val="0"/>
        <w:widowControl w:val="0"/>
        <w:kinsoku/>
        <w:wordWrap/>
        <w:overflowPunct/>
        <w:topLinePunct w:val="0"/>
        <w:autoSpaceDE/>
        <w:autoSpaceDN/>
        <w:bidi w:val="0"/>
        <w:adjustRightInd w:val="0"/>
        <w:snapToGrid w:val="0"/>
        <w:spacing w:line="360" w:lineRule="auto"/>
        <w:ind w:firstLine="422" w:firstLineChars="200"/>
        <w:jc w:val="left"/>
        <w:textAlignment w:val="baseline"/>
        <w:outlineLvl w:val="9"/>
        <w:rPr>
          <w:rStyle w:val="9"/>
          <w:rFonts w:hint="eastAsia" w:ascii="宋体" w:hAnsi="宋体" w:eastAsia="宋体" w:cs="宋体"/>
          <w:b/>
          <w:bCs w:val="0"/>
          <w:color w:val="auto"/>
          <w:kern w:val="2"/>
          <w:sz w:val="21"/>
          <w:szCs w:val="21"/>
          <w:highlight w:val="none"/>
          <w:lang w:val="en-US" w:eastAsia="zh-CN" w:bidi="ar-SA"/>
        </w:rPr>
      </w:pPr>
      <w:r>
        <w:rPr>
          <w:rStyle w:val="9"/>
          <w:rFonts w:hint="eastAsia" w:ascii="宋体" w:hAnsi="宋体" w:eastAsia="宋体" w:cs="宋体"/>
          <w:b/>
          <w:bCs w:val="0"/>
          <w:color w:val="auto"/>
          <w:kern w:val="2"/>
          <w:sz w:val="21"/>
          <w:szCs w:val="21"/>
          <w:highlight w:val="none"/>
          <w:lang w:val="en-US" w:eastAsia="zh-CN" w:bidi="ar-SA"/>
        </w:rPr>
        <w:t>四、主要设备技术参数：</w:t>
      </w:r>
    </w:p>
    <w:p w14:paraId="4762EF32">
      <w:pPr>
        <w:pStyle w:val="7"/>
        <w:pageBreakBefore w:val="0"/>
        <w:kinsoku/>
        <w:wordWrap/>
        <w:overflowPunct/>
        <w:autoSpaceDE/>
        <w:autoSpaceDN/>
        <w:bidi w:val="0"/>
        <w:adjustRightInd w:val="0"/>
        <w:snapToGrid w:val="0"/>
        <w:spacing w:line="360" w:lineRule="auto"/>
        <w:ind w:left="424" w:leftChars="202" w:firstLine="2"/>
        <w:rPr>
          <w:rStyle w:val="9"/>
          <w:rFonts w:hint="eastAsia" w:ascii="宋体" w:hAnsi="宋体" w:eastAsia="宋体" w:cs="宋体"/>
          <w:color w:val="000000"/>
          <w:sz w:val="21"/>
          <w:szCs w:val="21"/>
          <w:lang w:eastAsia="zh-CN"/>
        </w:rPr>
      </w:pPr>
      <w:r>
        <w:rPr>
          <w:rStyle w:val="9"/>
          <w:rFonts w:hint="eastAsia" w:ascii="宋体" w:hAnsi="宋体" w:eastAsia="宋体" w:cs="宋体"/>
          <w:b/>
          <w:bCs/>
          <w:color w:val="000000"/>
          <w:sz w:val="21"/>
          <w:szCs w:val="21"/>
        </w:rPr>
        <w:t>1.洁净组合式空调机组</w:t>
      </w:r>
    </w:p>
    <w:p w14:paraId="1199CBE7">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1.1.空调制造商通过依据 GB8624-2012 《建筑材料及制品燃烧性能分级》要求，箱板燃烧性能B1级。</w:t>
      </w:r>
    </w:p>
    <w:p w14:paraId="2CA233FE">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1.2.▲空调制造商生产的洁净空气调节机组依据《消毒技术规范》（2002版）进行空气消毒效果鉴定试验，对白色葡萄球菌的除菌率99.99%。对肺炎克雷伯氏菌的除菌率99.99%。对空气自然菌的消亡率97.68%检测试验报告。</w:t>
      </w:r>
    </w:p>
    <w:p w14:paraId="2092077E">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1.3.▲空调制造商生产的洁净空气调节机组具有抗病毒性能，依据T/GDAR 0001-2020空气调节器除病毒、除油性能要求及试验方法，对甲型流感病毒（H1N1）去除率99.99%。</w:t>
      </w:r>
    </w:p>
    <w:p w14:paraId="7625284C">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1.4.表冷器采用铜管穿铝翅片结构，铝翅片表面有防腐涂层，铝翅片的形状要兼顾清洁和换热效率，逐个盘管进行2.8MPa检漏试验，最大工作压力可达2.5MPa。空调机组表冷器滑槽、接水盘底板材质均为SUS304不锈钢，厚度δ1.0mm。凝结水盘底部需带厚度25mm的聚氨酯发泡材料进行保温，确保在环境温度不超过40℃、相对湿度不超过95%的条件下机组箱体面板外表面不结露，凝结水盘为相应功能段整体发泡下沉式结构底盘结构。</w:t>
      </w:r>
    </w:p>
    <w:p w14:paraId="05CB1DCB">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1.5.空气处理机组内部的过滤器安装应有可靠的密封措施，不经过过滤器滤料的旁通风量可有效控制。过滤器的安装密封槽在+400pa压力下形成的旁通泄漏风量0.12%，在-400pa压力下形成的旁通泄漏风量0.14%。</w:t>
      </w:r>
    </w:p>
    <w:p w14:paraId="23F4F685">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1.6.采用电极式加湿器，湿度控制精度±10%内。加湿器满足蒸汽输出量在0-100%间线性可调。加湿器须能接收0～10V、2～10V、0～20mA、4～20mA等不同的控制或传感信号。加湿器的蒸汽输送管及蒸汽分布管均采用304不锈钢材质，并要有冷凝水排放措施。加湿器有电气安全保护及防溢水功能，机电一体化。</w:t>
      </w:r>
    </w:p>
    <w:p w14:paraId="62AC5F27">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1.7.机组内配备辅助电加热。 电加热器采用PTC陶瓷发热元件，电加热的散热片选用机械压紧式，不采用胶黏式，运行时不产生异味。</w:t>
      </w:r>
    </w:p>
    <w:p w14:paraId="682D8F40">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1.8.机组卫生工艺，空调机组结构密封满足医用空调机组的卫生要求，每台机组均在过滤器、积水盘等易滋生细菌的功能段设置紫外线杀菌灯，光照杀菌。</w:t>
      </w:r>
    </w:p>
    <w:p w14:paraId="4151255F">
      <w:pPr>
        <w:pStyle w:val="7"/>
        <w:pageBreakBefore w:val="0"/>
        <w:kinsoku/>
        <w:wordWrap/>
        <w:overflowPunct/>
        <w:autoSpaceDE/>
        <w:autoSpaceDN/>
        <w:bidi w:val="0"/>
        <w:adjustRightInd w:val="0"/>
        <w:snapToGrid w:val="0"/>
        <w:spacing w:line="360" w:lineRule="auto"/>
        <w:ind w:left="424" w:leftChars="202" w:firstLine="2"/>
        <w:rPr>
          <w:rStyle w:val="9"/>
          <w:rFonts w:hint="eastAsia" w:ascii="宋体" w:hAnsi="宋体" w:eastAsia="宋体" w:cs="宋体"/>
          <w:b/>
          <w:bCs/>
          <w:color w:val="000000"/>
          <w:sz w:val="21"/>
          <w:szCs w:val="21"/>
        </w:rPr>
      </w:pPr>
      <w:r>
        <w:rPr>
          <w:rStyle w:val="9"/>
          <w:rFonts w:hint="eastAsia" w:ascii="宋体" w:hAnsi="宋体" w:eastAsia="宋体" w:cs="宋体"/>
          <w:b/>
          <w:bCs/>
          <w:color w:val="000000"/>
          <w:sz w:val="21"/>
          <w:szCs w:val="21"/>
        </w:rPr>
        <w:t>2.风冷冷热水机组</w:t>
      </w:r>
    </w:p>
    <w:p w14:paraId="6FDB41AB">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2.1.冷媒采用R410A环保型冷媒。</w:t>
      </w:r>
    </w:p>
    <w:p w14:paraId="46B51462">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2.2.铝合金或冷轧板喷塑表面经阳极氧化处理。</w:t>
      </w:r>
    </w:p>
    <w:p w14:paraId="7722E828">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2.3.压缩机采用先进的蜗盘密封技术。</w:t>
      </w:r>
    </w:p>
    <w:p w14:paraId="68B2BB5D">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2.4.多压机多回路阶梯能量调节技术，根据负荷状况进行有级或无级调节，使机组制冷制热量实现所需相匹配。</w:t>
      </w:r>
    </w:p>
    <w:p w14:paraId="31A63F8E">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2.5.控制器采用电脑控制器、中文显示；能实现机组启停程序 管理、定时控制、水泵管理、全功能故障报警及故障自我诊断功能等。</w:t>
      </w:r>
    </w:p>
    <w:p w14:paraId="7F24C065">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2.6.冷凝风扇为压铸铝合金轮毂、矩形圆弧铝板及航空翼型铝合金叶片，噪声低、耐高温环境、拆装灵活。高效干式壳管式换热器为内螺纹铜管，机械精加工和全自动焊接加工完成，翅片式换热器为铜管串铝箔，机械低速胀管技术，换热效率高。</w:t>
      </w:r>
    </w:p>
    <w:p w14:paraId="3E71E506">
      <w:pPr>
        <w:pStyle w:val="7"/>
        <w:keepNext w:val="0"/>
        <w:keepLines w:val="0"/>
        <w:pageBreakBefore w:val="0"/>
        <w:widowControl w:val="0"/>
        <w:kinsoku/>
        <w:wordWrap/>
        <w:overflowPunct/>
        <w:autoSpaceDE/>
        <w:autoSpaceDN/>
        <w:bidi w:val="0"/>
        <w:snapToGrid w:val="0"/>
        <w:spacing w:line="360" w:lineRule="auto"/>
        <w:ind w:left="158" w:leftChars="75" w:firstLine="131" w:firstLineChars="62"/>
        <w:jc w:val="both"/>
        <w:textAlignment w:val="auto"/>
        <w:rPr>
          <w:rStyle w:val="9"/>
          <w:rFonts w:hint="eastAsia" w:ascii="宋体" w:hAnsi="宋体" w:eastAsia="宋体" w:cs="宋体"/>
          <w:b/>
          <w:bCs/>
          <w:kern w:val="2"/>
          <w:sz w:val="21"/>
          <w:szCs w:val="21"/>
          <w:lang w:val="en-US" w:eastAsia="zh-CN" w:bidi="ar-SA"/>
        </w:rPr>
      </w:pPr>
      <w:r>
        <w:rPr>
          <w:rStyle w:val="9"/>
          <w:rFonts w:hint="eastAsia" w:ascii="宋体" w:hAnsi="宋体" w:eastAsia="宋体" w:cs="宋体"/>
          <w:b/>
          <w:bCs/>
          <w:kern w:val="2"/>
          <w:sz w:val="21"/>
          <w:szCs w:val="21"/>
          <w:lang w:val="en-US" w:eastAsia="zh-CN" w:bidi="ar-SA"/>
        </w:rPr>
        <w:t>3、</w:t>
      </w:r>
      <w:r>
        <w:rPr>
          <w:rStyle w:val="9"/>
          <w:rFonts w:hint="eastAsia" w:ascii="宋体" w:hAnsi="宋体" w:eastAsia="宋体" w:cs="宋体"/>
          <w:b/>
          <w:bCs/>
          <w:spacing w:val="-19"/>
          <w:kern w:val="2"/>
          <w:sz w:val="21"/>
          <w:szCs w:val="21"/>
          <w:lang w:val="en-US" w:eastAsia="zh-CN" w:bidi="ar-SA"/>
        </w:rPr>
        <w:t>医用气密自动门</w:t>
      </w:r>
    </w:p>
    <w:p w14:paraId="600014FF">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3.1、采用微电脑控制，具有防夹功能，能够预先设置多项运动参数（时间、速度），可实现手动控制，红外线感应、脚控等多种开门方式，并同门禁系统配合对门开启实行有效控制；</w:t>
      </w:r>
    </w:p>
    <w:p w14:paraId="585A50FF">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3.2、具有自动记录门开闭次数、故障次数功能，方便检修与识别，并兼容在线监控,实时记录其运行状态的功能；</w:t>
      </w:r>
    </w:p>
    <w:p w14:paraId="082397B8">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3.3、气密门隔声性能37分贝，运行噪音40分贝；</w:t>
      </w:r>
    </w:p>
    <w:p w14:paraId="500F1B3C">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3.4、开/关门运行速度350-650mm/sec可调，开启时间0.1-0.9秒可调；</w:t>
      </w:r>
    </w:p>
    <w:p w14:paraId="4211FC7A">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3.5、▲符合GB/T41659-2022《建筑用医用门通用技术要求》要求。气密门满足抗风压性能第5级，气密性能达第8级；气密门应具有抗菌性能，抗金黄色葡萄球菌99.9%，抗大肠杆菌99.9%，肺炎克雷伯氏菌99.9%，气密悬挂件耐磨/寿命550万次；</w:t>
      </w:r>
    </w:p>
    <w:p w14:paraId="1FF04C1D">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3.6、气密门满足《建筑材料及制品燃烧性能分级》GB8624-2012要求,燃烧性能A1级；</w:t>
      </w:r>
    </w:p>
    <w:p w14:paraId="02E91185">
      <w:pPr>
        <w:pStyle w:val="7"/>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rPr>
          <w:rStyle w:val="9"/>
          <w:rFonts w:hint="eastAsia" w:ascii="宋体" w:hAnsi="宋体" w:eastAsia="宋体" w:cs="宋体"/>
          <w:b/>
          <w:bCs/>
          <w:color w:val="auto"/>
          <w:sz w:val="21"/>
          <w:szCs w:val="21"/>
          <w:lang w:eastAsia="zh-CN"/>
        </w:rPr>
      </w:pPr>
      <w:r>
        <w:rPr>
          <w:rStyle w:val="9"/>
          <w:rFonts w:hint="eastAsia" w:ascii="宋体" w:hAnsi="宋体" w:eastAsia="宋体" w:cs="宋体"/>
          <w:b/>
          <w:bCs/>
          <w:color w:val="auto"/>
          <w:sz w:val="21"/>
          <w:szCs w:val="21"/>
          <w:lang w:val="en-US" w:eastAsia="zh-CN"/>
        </w:rPr>
        <w:t>4、</w:t>
      </w:r>
      <w:r>
        <w:rPr>
          <w:rStyle w:val="9"/>
          <w:rFonts w:hint="eastAsia" w:ascii="宋体" w:hAnsi="宋体" w:eastAsia="宋体" w:cs="宋体"/>
          <w:b/>
          <w:bCs/>
          <w:color w:val="auto"/>
          <w:sz w:val="21"/>
          <w:szCs w:val="21"/>
          <w:lang w:eastAsia="zh-CN"/>
        </w:rPr>
        <w:t>PVC同质透</w:t>
      </w:r>
      <w:r>
        <w:rPr>
          <w:rStyle w:val="9"/>
          <w:rFonts w:hint="eastAsia" w:ascii="宋体" w:hAnsi="宋体" w:eastAsia="宋体" w:cs="宋体"/>
          <w:b/>
          <w:bCs/>
          <w:color w:val="auto"/>
          <w:sz w:val="21"/>
          <w:szCs w:val="21"/>
          <w:lang w:val="en-US" w:eastAsia="zh-CN"/>
        </w:rPr>
        <w:t>心卷材</w:t>
      </w:r>
      <w:r>
        <w:rPr>
          <w:rStyle w:val="9"/>
          <w:rFonts w:hint="eastAsia" w:ascii="宋体" w:hAnsi="宋体" w:eastAsia="宋体" w:cs="宋体"/>
          <w:b/>
          <w:bCs/>
          <w:color w:val="auto"/>
          <w:sz w:val="21"/>
          <w:szCs w:val="21"/>
          <w:lang w:eastAsia="zh-CN"/>
        </w:rPr>
        <w:t>地板</w:t>
      </w:r>
    </w:p>
    <w:p w14:paraId="0C8ADE4B">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4.1、 规格：2m*20m*2.0mm；</w:t>
      </w:r>
    </w:p>
    <w:p w14:paraId="2C8A79F0">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4.2、材质要求：</w:t>
      </w:r>
    </w:p>
    <w:p w14:paraId="3E97C98E">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 PVC同质透心无方向碎花纹卷材；</w:t>
      </w:r>
    </w:p>
    <w:p w14:paraId="407FCEE2">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（2）、厚度:2.0mm，宽幅:2.0m；</w:t>
      </w:r>
    </w:p>
    <w:p w14:paraId="7FABC09F">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（3）、克重：2714g；</w:t>
      </w:r>
    </w:p>
    <w:p w14:paraId="406B72CA">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（4）、耐磨等级:T级；</w:t>
      </w:r>
    </w:p>
    <w:p w14:paraId="0168C400">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（5）、残余压痕：0.06mm ；</w:t>
      </w:r>
    </w:p>
    <w:p w14:paraId="22020D56">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（6）、尺寸稳定性：X方向：-0.15%，Y方向：0.00%；</w:t>
      </w:r>
    </w:p>
    <w:p w14:paraId="485AF874">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 xml:space="preserve">（7）、防滑等级:R9； </w:t>
      </w:r>
    </w:p>
    <w:p w14:paraId="0648BA02">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（8）、防火等级：B1级；</w:t>
      </w:r>
    </w:p>
    <w:p w14:paraId="7E8838F5">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（9）、有害物质限量（可溶性铅、可溶性生镉、氯乙烯单体、挥发物含量等环保性），符合检测标准；</w:t>
      </w:r>
    </w:p>
    <w:p w14:paraId="27A1E080">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（10）、重金属：19项重金属，未检出；</w:t>
      </w:r>
    </w:p>
    <w:p w14:paraId="1DD721FA">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（11）、甲醛、TVOC检测:28天均未检出；</w:t>
      </w:r>
    </w:p>
    <w:p w14:paraId="640F8AFB">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（12）、增塑剂:要求产品使用环保增塑剂，不含邻苯类增塑剂53项；</w:t>
      </w:r>
    </w:p>
    <w:p w14:paraId="53CDBED8">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（13）、产品具备环保性，不含石棉；</w:t>
      </w:r>
    </w:p>
    <w:p w14:paraId="2FEBBB3E">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（14）、放射性元素；铯、锶、铀、钍检测均未检出；</w:t>
      </w:r>
    </w:p>
    <w:p w14:paraId="1B595B4A">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（15）、空气负离子诱生量：检测合格；</w:t>
      </w:r>
    </w:p>
    <w:p w14:paraId="6139A172">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（16）、耐洗刷性检测：无露底；</w:t>
      </w:r>
    </w:p>
    <w:p w14:paraId="6EFD603F">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（17）、▲符合GB/T 11982.2-2015《聚氯乙烯卷材地板第2部分：同质聚氯乙烯卷材地板》要求。耐污和抗化学性能:要求产品具备很好的耐污性，耐污90项耐污测试；抗化学性能122项，产品需环保无毒，采用食品级环保增塑剂（ATBC）成分。产品宽幅4.004M,可减少焊线提高美观度。</w:t>
      </w:r>
    </w:p>
    <w:p w14:paraId="2D6002A6">
      <w:pPr>
        <w:pStyle w:val="7"/>
        <w:pageBreakBefore w:val="0"/>
        <w:kinsoku/>
        <w:wordWrap/>
        <w:overflowPunct/>
        <w:autoSpaceDE/>
        <w:autoSpaceDN/>
        <w:bidi w:val="0"/>
        <w:adjustRightInd w:val="0"/>
        <w:snapToGrid w:val="0"/>
        <w:spacing w:line="360" w:lineRule="auto"/>
        <w:ind w:left="424" w:leftChars="202" w:firstLine="2"/>
        <w:rPr>
          <w:rStyle w:val="9"/>
          <w:rFonts w:hint="eastAsia" w:ascii="宋体" w:hAnsi="宋体" w:eastAsia="宋体" w:cs="宋体"/>
          <w:b/>
          <w:bCs/>
          <w:color w:val="000000"/>
          <w:sz w:val="21"/>
          <w:szCs w:val="21"/>
          <w:lang w:val="en-US" w:eastAsia="zh-CN"/>
        </w:rPr>
      </w:pPr>
      <w:r>
        <w:rPr>
          <w:rStyle w:val="9"/>
          <w:rFonts w:hint="eastAsia" w:ascii="宋体" w:hAnsi="宋体" w:eastAsia="宋体" w:cs="宋体"/>
          <w:b/>
          <w:bCs/>
          <w:color w:val="000000"/>
          <w:sz w:val="21"/>
          <w:szCs w:val="21"/>
          <w:lang w:val="en-US" w:eastAsia="zh-CN"/>
        </w:rPr>
        <w:t>5、高端双头LED无影灯（1套）</w:t>
      </w:r>
    </w:p>
    <w:p w14:paraId="523FE05E">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1、采用LED冷光技术，每组LED光源都有单独的透镜聚光。</w:t>
      </w:r>
    </w:p>
    <w:p w14:paraId="3D6D657C">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2、双灯头均符合现代层流手术室感控要求，扰流指数18%。</w:t>
      </w:r>
    </w:p>
    <w:p w14:paraId="6F28C552">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3、灯头操作扶手与灯头一体成型，无拼接缝隙。</w:t>
      </w:r>
    </w:p>
    <w:p w14:paraId="687B6E0A">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4、手术灯灯头IP54防水防尘等级。</w:t>
      </w:r>
    </w:p>
    <w:p w14:paraId="35C045FB">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5、手术灯照度调节采用高频PWM调光模式，抗频闪。</w:t>
      </w:r>
    </w:p>
    <w:p w14:paraId="4BBEE589">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6、双灯头中心照度均160,000Lx。</w:t>
      </w:r>
    </w:p>
    <w:p w14:paraId="0872A4FD">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7、无影灯光柱深度最大：1650mm。</w:t>
      </w:r>
    </w:p>
    <w:p w14:paraId="64190D28">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8、▲光斑直径无级可调，双灯头均满足最小光斑直径d10=114mm，最大光斑直径=357 mm。9、光斑均匀性：d50/d10=65%。</w:t>
      </w:r>
    </w:p>
    <w:p w14:paraId="6701222A">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10、双灯头深腔照明率均100%。</w:t>
      </w:r>
    </w:p>
    <w:p w14:paraId="38970B50">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11、单遮板无影率：87%，双遮板无影率：80%。</w:t>
      </w:r>
    </w:p>
    <w:p w14:paraId="285C743E">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12、显色指数Ra：99。</w:t>
      </w:r>
    </w:p>
    <w:p w14:paraId="1C9B0079">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13、显色指数R9：98。</w:t>
      </w:r>
    </w:p>
    <w:p w14:paraId="317A4754">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14、具备色温可调功能，可调范围3500K-5100K，6级可调。</w:t>
      </w:r>
    </w:p>
    <w:p w14:paraId="00DBF406">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 xml:space="preserve">15、辐照度/中心照度2.3mW/( ㎡·lx)。 </w:t>
      </w:r>
    </w:p>
    <w:p w14:paraId="30824E5A">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16、▲手术灯悬吊系统下的延伸臂可供手术灯水平连续回转，C臂绕弹簧臂旋转范围：无限位；小C臂绕大C臂旋转范围：无限位，且灯头绕C臂旋转范围;无限位 。</w:t>
      </w:r>
    </w:p>
    <w:p w14:paraId="383C579D">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17、无影灯采用模块化设计，后续安装升级时不需要拆卸天花且不会改变层流结构，即可于无影灯旋转体基础上升级第三臂或第四臂显示器悬挂系统。</w:t>
      </w:r>
    </w:p>
    <w:p w14:paraId="1CF36595">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18、配置2个显示器吊臂。</w:t>
      </w:r>
    </w:p>
    <w:p w14:paraId="466554F9">
      <w:pPr>
        <w:pStyle w:val="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22" w:firstLineChars="200"/>
        <w:jc w:val="both"/>
        <w:textAlignment w:val="auto"/>
        <w:rPr>
          <w:rStyle w:val="9"/>
          <w:rFonts w:hint="eastAsia" w:ascii="宋体" w:hAnsi="宋体" w:eastAsia="宋体" w:cs="宋体"/>
          <w:b/>
          <w:kern w:val="2"/>
          <w:sz w:val="21"/>
          <w:szCs w:val="21"/>
          <w:lang w:val="en-US" w:eastAsia="zh-CN" w:bidi="ar-SA"/>
        </w:rPr>
      </w:pPr>
      <w:r>
        <w:rPr>
          <w:rStyle w:val="9"/>
          <w:rFonts w:hint="eastAsia" w:ascii="宋体" w:hAnsi="宋体" w:eastAsia="宋体" w:cs="宋体"/>
          <w:b/>
          <w:kern w:val="2"/>
          <w:sz w:val="21"/>
          <w:szCs w:val="21"/>
          <w:lang w:val="en-US" w:eastAsia="zh-CN" w:bidi="ar-SA"/>
        </w:rPr>
        <w:t>6、双头LED无影灯（8套）</w:t>
      </w:r>
    </w:p>
    <w:p w14:paraId="0DB1FC7E">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1、采用LED冷光技术，每组LED光源都有单独的透镜聚光。</w:t>
      </w:r>
    </w:p>
    <w:p w14:paraId="35955F43">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2、双灯头均符合现代层流手术室感控要求，扰流指数18% 。</w:t>
      </w:r>
    </w:p>
    <w:p w14:paraId="03FDC0FE">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3、灯头操作扶手与灯头一体成型，无拼接缝隙。</w:t>
      </w:r>
    </w:p>
    <w:p w14:paraId="0A264A66">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4、手术灯灯头IP54防水防尘等级。</w:t>
      </w:r>
    </w:p>
    <w:p w14:paraId="33BF4E3B">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5、手术灯照度调节采用高频PWM调光模式，抗频闪。</w:t>
      </w:r>
    </w:p>
    <w:p w14:paraId="14D9A2AD">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6、双灯头中心照度均160,000Lx。</w:t>
      </w:r>
    </w:p>
    <w:p w14:paraId="2F0D6833">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7、无影灯光柱深度最大：1650mm。</w:t>
      </w:r>
    </w:p>
    <w:p w14:paraId="7DD843F9">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8、双灯头均满足最小光斑直径d10=114mm，最大光斑直径d10=357mm。</w:t>
      </w:r>
    </w:p>
    <w:p w14:paraId="562D4DCA">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9、光斑均匀性：d50/d10=65%。</w:t>
      </w:r>
    </w:p>
    <w:p w14:paraId="7711D9CC">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10、双灯头深腔照明率100%。</w:t>
      </w:r>
    </w:p>
    <w:p w14:paraId="53154712">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11、单遮板无影率：87%，双遮板无影率：80%</w:t>
      </w:r>
    </w:p>
    <w:p w14:paraId="51A65D76">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12、显色指数Ra：99 。</w:t>
      </w:r>
    </w:p>
    <w:p w14:paraId="25CBDFDD">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13、显色指数R9：98。</w:t>
      </w:r>
    </w:p>
    <w:p w14:paraId="5BD3E12B">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14.、辐照度/中心照度2.3 mW/( ㎡·lx)。</w:t>
      </w:r>
    </w:p>
    <w:p w14:paraId="44E3483A">
      <w:pPr>
        <w:pStyle w:val="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22" w:firstLineChars="200"/>
        <w:jc w:val="both"/>
        <w:textAlignment w:val="auto"/>
        <w:rPr>
          <w:rStyle w:val="9"/>
          <w:rFonts w:hint="eastAsia" w:ascii="宋体" w:hAnsi="宋体" w:eastAsia="宋体" w:cs="宋体"/>
          <w:kern w:val="2"/>
          <w:sz w:val="21"/>
          <w:szCs w:val="21"/>
          <w:lang w:val="en-US" w:eastAsia="zh-CN" w:bidi="ar-SA"/>
        </w:rPr>
      </w:pPr>
      <w:r>
        <w:rPr>
          <w:rStyle w:val="9"/>
          <w:rFonts w:hint="eastAsia" w:ascii="宋体" w:hAnsi="宋体" w:eastAsia="宋体" w:cs="宋体"/>
          <w:b/>
          <w:kern w:val="2"/>
          <w:sz w:val="21"/>
          <w:szCs w:val="21"/>
          <w:lang w:val="en-US" w:eastAsia="zh-CN" w:bidi="ar-SA"/>
        </w:rPr>
        <w:t>7、单头LED无影灯（2套）</w:t>
      </w:r>
    </w:p>
    <w:p w14:paraId="7A4FF517">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1、采用LED冷光技术，每组LED光源都有单独的透镜聚光。</w:t>
      </w:r>
    </w:p>
    <w:p w14:paraId="356B35B5">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2、灯头是风车造型，符合现代层流手术室感控要求，扰流指数18%。</w:t>
      </w:r>
    </w:p>
    <w:p w14:paraId="01987706">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3、灯头操作扶手与灯头一体成型，无拼接缝隙。</w:t>
      </w:r>
    </w:p>
    <w:p w14:paraId="3C8B471D">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4、手术灯灯头IP54防水防尘等级</w:t>
      </w:r>
    </w:p>
    <w:p w14:paraId="728DA791">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5、手术灯照度调节采用高频PWM调光模式，抗频闪。</w:t>
      </w:r>
    </w:p>
    <w:p w14:paraId="266B9387">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6、中心照度均160,000Lx。</w:t>
      </w:r>
    </w:p>
    <w:p w14:paraId="5EBC5B1E">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7、无影灯光柱深度最大：1650mm。</w:t>
      </w:r>
    </w:p>
    <w:p w14:paraId="4CA384F3">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8、灯头均满足最小光斑直径d10=114mm，最大光斑直径d10=357mm。</w:t>
      </w:r>
    </w:p>
    <w:p w14:paraId="13195DCA">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9、光斑均匀性：d50/d10=65%。</w:t>
      </w:r>
    </w:p>
    <w:p w14:paraId="5805B2E0">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10、深腔照明率100%。</w:t>
      </w:r>
    </w:p>
    <w:p w14:paraId="785C230E">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11、单遮板无影率：87%，双遮板无影率：80%</w:t>
      </w:r>
    </w:p>
    <w:p w14:paraId="09F4847C">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12、显色指数Ra：99。</w:t>
      </w:r>
    </w:p>
    <w:p w14:paraId="188FE485">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13、显色指数R9：98。</w:t>
      </w:r>
    </w:p>
    <w:p w14:paraId="66730324">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14、辐照度/中心照度2.3mW/( ㎡·lx) 。</w:t>
      </w:r>
    </w:p>
    <w:p w14:paraId="4A2D8124">
      <w:pPr>
        <w:pStyle w:val="7"/>
        <w:keepNext w:val="0"/>
        <w:keepLines w:val="0"/>
        <w:pageBreakBefore w:val="0"/>
        <w:widowControl w:val="0"/>
        <w:numPr>
          <w:ilvl w:val="0"/>
          <w:numId w:val="0"/>
        </w:numPr>
        <w:tabs>
          <w:tab w:val="left" w:pos="3444"/>
          <w:tab w:val="center" w:pos="5450"/>
        </w:tabs>
        <w:kinsoku/>
        <w:wordWrap/>
        <w:overflowPunct/>
        <w:topLinePunct w:val="0"/>
        <w:autoSpaceDE/>
        <w:autoSpaceDN/>
        <w:bidi w:val="0"/>
        <w:adjustRightInd/>
        <w:snapToGrid w:val="0"/>
        <w:spacing w:line="360" w:lineRule="auto"/>
        <w:ind w:firstLine="422" w:firstLineChars="200"/>
        <w:jc w:val="left"/>
        <w:textAlignment w:val="auto"/>
        <w:rPr>
          <w:rStyle w:val="9"/>
          <w:rFonts w:hint="eastAsia" w:ascii="宋体" w:hAnsi="宋体" w:eastAsia="宋体" w:cs="宋体"/>
          <w:b/>
          <w:sz w:val="21"/>
          <w:szCs w:val="21"/>
          <w:lang w:val="en-US" w:eastAsia="zh-CN"/>
        </w:rPr>
      </w:pPr>
      <w:r>
        <w:rPr>
          <w:rStyle w:val="9"/>
          <w:rFonts w:hint="eastAsia" w:ascii="宋体" w:hAnsi="宋体" w:eastAsia="宋体" w:cs="宋体"/>
          <w:b/>
          <w:sz w:val="21"/>
          <w:szCs w:val="21"/>
          <w:lang w:val="en-US" w:eastAsia="zh-CN"/>
        </w:rPr>
        <w:t>8、医用</w:t>
      </w:r>
      <w:r>
        <w:rPr>
          <w:rStyle w:val="9"/>
          <w:rFonts w:hint="eastAsia" w:ascii="宋体" w:hAnsi="宋体" w:eastAsia="宋体" w:cs="宋体"/>
          <w:b/>
          <w:sz w:val="21"/>
          <w:szCs w:val="21"/>
        </w:rPr>
        <w:t>麻醉吊塔</w:t>
      </w:r>
      <w:r>
        <w:rPr>
          <w:rStyle w:val="9"/>
          <w:rFonts w:hint="eastAsia" w:ascii="宋体" w:hAnsi="宋体" w:eastAsia="宋体" w:cs="宋体"/>
          <w:b/>
          <w:sz w:val="21"/>
          <w:szCs w:val="21"/>
          <w:lang w:val="en-US" w:eastAsia="zh-CN"/>
        </w:rPr>
        <w:t>（6套）</w:t>
      </w:r>
    </w:p>
    <w:p w14:paraId="3A750FA8">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1、吊塔主体材料为6005高强度铝合金，封闭式设计，吊塔所采用的材料防腐蚀，便于清洗，设备表面喷塑采用抗菌粉末。</w:t>
      </w:r>
    </w:p>
    <w:p w14:paraId="02DA3959">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2、吊塔最大标称承重600Kg，吊塔产品符合四倍承重系数安全负载要求。</w:t>
      </w:r>
    </w:p>
    <w:p w14:paraId="1103B322">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3、悬臂、终端箱转动范围355°，且具有限位系统。</w:t>
      </w:r>
    </w:p>
    <w:p w14:paraId="7000C1B5">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4、所有吊塔均配有良好的机械刹车，保证吊塔不产生漂移。</w:t>
      </w:r>
    </w:p>
    <w:p w14:paraId="3D1C5F16">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5、吊塔承载部件经承受4倍额定安全载荷后，无永久性的损坏，且相对负载表面的偏移1º。</w:t>
      </w:r>
    </w:p>
    <w:p w14:paraId="6F76756F">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6、基础架平缓施加荷载至14000N.m的试验扭矩，法兰盘水平偏角0.2°。</w:t>
      </w:r>
    </w:p>
    <w:p w14:paraId="363CCD62">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7、吊塔额定负载下，终端箱倾斜角度0.6°。</w:t>
      </w:r>
    </w:p>
    <w:p w14:paraId="3BD2931A">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8、具备轴承承载11万次。</w:t>
      </w:r>
    </w:p>
    <w:p w14:paraId="363FBB34">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9、气体终端要求11万次插拔。</w:t>
      </w:r>
    </w:p>
    <w:p w14:paraId="7A2DE42D">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10、吊塔的医用气体管道系统（刹车除外）能承受1.2MPa的气压试验，不出现明显漏气或破裂现象。</w:t>
      </w:r>
    </w:p>
    <w:p w14:paraId="3EF9E537">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11、底板具有开孔，在模拟氧气泄露流量为1L/min时，腔体内部的氧气浓度25%。</w:t>
      </w:r>
    </w:p>
    <w:p w14:paraId="3C717814">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12、吊塔内部有符合医疗标准的GB 9706.1的电源模块。</w:t>
      </w:r>
    </w:p>
    <w:p w14:paraId="17A513D4">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13、吊塔的外壳防火等级至少为UL94-V0级。</w:t>
      </w:r>
    </w:p>
    <w:p w14:paraId="56F7D1A8">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14、通过RoHs有害指令检测报告，保证使用者安全。</w:t>
      </w:r>
    </w:p>
    <w:p w14:paraId="0BEA86A8">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15、配置：</w:t>
      </w:r>
    </w:p>
    <w:p w14:paraId="220C4A4F">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吊柱式，竖式气电箱长度800mm，气电箱的箱体采用5面以上设计</w:t>
      </w:r>
    </w:p>
    <w:p w14:paraId="042E77FC">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单臂旋转半径总长750mm（具体长度根据医院现场实际定制）</w:t>
      </w:r>
    </w:p>
    <w:p w14:paraId="2EF90F1F">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德式气体插座（空气2个，负压吸引2个，氧气2个，麻醉废气1个）电源插座12个、网络接口 2个，等电位住2个二层设备托盘，其中一层带抽屉，输液双臂延伸臂1套。</w:t>
      </w:r>
    </w:p>
    <w:p w14:paraId="5926DEC6">
      <w:pPr>
        <w:pStyle w:val="7"/>
        <w:keepNext w:val="0"/>
        <w:keepLines w:val="0"/>
        <w:pageBreakBefore w:val="0"/>
        <w:widowControl w:val="0"/>
        <w:kinsoku/>
        <w:wordWrap/>
        <w:overflowPunct/>
        <w:topLinePunct w:val="0"/>
        <w:autoSpaceDE/>
        <w:autoSpaceDN/>
        <w:bidi w:val="0"/>
        <w:adjustRightInd/>
        <w:snapToGrid w:val="0"/>
        <w:spacing w:line="360" w:lineRule="auto"/>
        <w:ind w:firstLine="422" w:firstLineChars="200"/>
        <w:jc w:val="both"/>
        <w:textAlignment w:val="auto"/>
        <w:rPr>
          <w:rStyle w:val="9"/>
          <w:rFonts w:hint="eastAsia" w:ascii="宋体" w:hAnsi="宋体" w:eastAsia="宋体" w:cs="宋体"/>
          <w:b/>
          <w:color w:val="000000"/>
          <w:kern w:val="2"/>
          <w:sz w:val="21"/>
          <w:szCs w:val="21"/>
          <w:lang w:val="en-US" w:eastAsia="zh-CN" w:bidi="ar-SA"/>
        </w:rPr>
      </w:pPr>
      <w:r>
        <w:rPr>
          <w:rStyle w:val="9"/>
          <w:rFonts w:hint="eastAsia" w:ascii="宋体" w:hAnsi="宋体" w:eastAsia="宋体" w:cs="宋体"/>
          <w:b/>
          <w:color w:val="000000"/>
          <w:kern w:val="2"/>
          <w:sz w:val="21"/>
          <w:szCs w:val="21"/>
          <w:lang w:val="en-US" w:eastAsia="zh-CN" w:bidi="ar-SA"/>
        </w:rPr>
        <w:t>9、高端骨科电动综合手术床（1套）</w:t>
      </w:r>
    </w:p>
    <w:p w14:paraId="1BF31E5A">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1、手术床采用电动液压动力系统，可电动调节实现台面升降、头脚倾、左右倾、背板上下折、解锁锁定。</w:t>
      </w:r>
    </w:p>
    <w:p w14:paraId="22A2B506">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2、手术床床板透x光，具备平移功能，平移距离340mm，方便C臂透视。</w:t>
      </w:r>
    </w:p>
    <w:p w14:paraId="7C53C6B0">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3、手术床具备不少于两种电动控制方式，包括线控器、无线遥控器、备用面板、脚踏开关。</w:t>
      </w:r>
    </w:p>
    <w:p w14:paraId="4717D3D1">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4、▲手术床内置蓝牙模块，无线遥控器通过蓝牙连接，同时无线遥控器具备无线充电功能。且手术床立柱护罩顶端采用硬顶式非软质皮老虎设计，同时立柱式备用面板与硬顶式立柱护罩位于同一平面，不得凸出立柱护罩平面。</w:t>
      </w:r>
    </w:p>
    <w:p w14:paraId="6EFA3712">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5、手术床床垫采用多层复合技术，由质地柔软的记忆海绵材料制成，手术床床垫厚度为80mm。</w:t>
      </w:r>
    </w:p>
    <w:p w14:paraId="0EA15976">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6、手术台床垫皮层通过防火等级测试。</w:t>
      </w:r>
    </w:p>
    <w:p w14:paraId="3D9A3C11">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7、手术床腿板采用一键快插式连接结构同时采用气弹簧腿板设计。</w:t>
      </w:r>
    </w:p>
    <w:p w14:paraId="5E349F39">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8、手术床底罩表面平整无凹陷，底座厚度140mm，同时底座在手术床腿端有U型凹槽设计，便于术中放置污物桶。</w:t>
      </w:r>
    </w:p>
    <w:p w14:paraId="5B132DBD">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9、手术床采用四个万向脚轮结构。</w:t>
      </w:r>
    </w:p>
    <w:p w14:paraId="4DBB5EDE">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 xml:space="preserve">10、手术床具有四个独立的电动支脚刹车，非轮式刹车设计，满足各类手术稳定性要求。 </w:t>
      </w:r>
    </w:p>
    <w:p w14:paraId="311CB2BB">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11、手术床开关、等电位柱及电源接口均有防水盖设计，同时手术床满足IPX5防水等级测试。</w:t>
      </w:r>
    </w:p>
    <w:p w14:paraId="553E5390">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12、手术床可一键预设体位：正、反屈曲位，同时具备一键0位功能。</w:t>
      </w:r>
    </w:p>
    <w:p w14:paraId="24068CF2">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13.手术床内置充电电池，可满足80次手术需要，同时遥控器内置充电电池，满足120次手术需要。</w:t>
      </w:r>
    </w:p>
    <w:p w14:paraId="3A3D4F16">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14.▲手术床承载重量：400kg，手术床最低台面：530mm。</w:t>
      </w:r>
    </w:p>
    <w:p w14:paraId="2BE3E32E">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15、技术参数：</w:t>
      </w:r>
    </w:p>
    <w:p w14:paraId="16594CBC">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手术床宽度：595mm，长度2090mm</w:t>
      </w:r>
    </w:p>
    <w:p w14:paraId="5C2ECF33">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纵向最大倾斜角度（头倾）：36.55°</w:t>
      </w:r>
    </w:p>
    <w:p w14:paraId="7EC066B8">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纵向最大倾斜角度（脚倾）：30.05°</w:t>
      </w:r>
    </w:p>
    <w:p w14:paraId="0D746C45">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侧向最大倾斜角度（左倾/右倾）：左倾20.45°,右倾20.8°</w:t>
      </w:r>
    </w:p>
    <w:p w14:paraId="36B9C8CB">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头板最大倾斜角度：上折64.25°，下折92°</w:t>
      </w:r>
    </w:p>
    <w:p w14:paraId="362E40E5">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背板最大倾斜角度：上折91.55°，下折48.35°</w:t>
      </w:r>
    </w:p>
    <w:p w14:paraId="10170885">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腿板最大倾斜角度：上折40.90°，下折90°</w:t>
      </w:r>
    </w:p>
    <w:p w14:paraId="4F95EEF3">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手术床最高台面：965mm</w:t>
      </w:r>
    </w:p>
    <w:p w14:paraId="3AFEB7B6">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手术床配置要求：</w:t>
      </w:r>
    </w:p>
    <w:p w14:paraId="0FB66780">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电动手术床配记忆海绵床垫，头板，主机（包含背板，坐板），分体式腿板，备用面板，无线遥控器，托手架一对（含夹持器），麻醉屏架（含夹持器），束身带，骨科牵引架，侧卧手架，头圈。</w:t>
      </w:r>
    </w:p>
    <w:p w14:paraId="3A40FE85">
      <w:pPr>
        <w:pStyle w:val="7"/>
        <w:keepNext w:val="0"/>
        <w:keepLines w:val="0"/>
        <w:pageBreakBefore w:val="0"/>
        <w:widowControl w:val="0"/>
        <w:kinsoku/>
        <w:wordWrap/>
        <w:overflowPunct/>
        <w:topLinePunct w:val="0"/>
        <w:autoSpaceDE/>
        <w:autoSpaceDN/>
        <w:bidi w:val="0"/>
        <w:adjustRightInd/>
        <w:snapToGrid w:val="0"/>
        <w:spacing w:line="360" w:lineRule="auto"/>
        <w:ind w:firstLine="422" w:firstLineChars="200"/>
        <w:jc w:val="both"/>
        <w:textAlignment w:val="auto"/>
        <w:rPr>
          <w:rStyle w:val="9"/>
          <w:rFonts w:hint="eastAsia" w:ascii="宋体" w:hAnsi="宋体" w:eastAsia="宋体" w:cs="宋体"/>
          <w:b/>
          <w:color w:val="000000"/>
          <w:kern w:val="2"/>
          <w:sz w:val="21"/>
          <w:szCs w:val="21"/>
          <w:lang w:val="en-US" w:eastAsia="zh-CN" w:bidi="ar-SA"/>
        </w:rPr>
      </w:pPr>
      <w:r>
        <w:rPr>
          <w:rStyle w:val="9"/>
          <w:rFonts w:hint="eastAsia" w:ascii="宋体" w:hAnsi="宋体" w:eastAsia="宋体" w:cs="宋体"/>
          <w:b/>
          <w:color w:val="000000"/>
          <w:kern w:val="2"/>
          <w:sz w:val="21"/>
          <w:szCs w:val="21"/>
          <w:lang w:val="en-US" w:eastAsia="zh-CN" w:bidi="ar-SA"/>
        </w:rPr>
        <w:t>10、电动综合手术床（8套）</w:t>
      </w:r>
    </w:p>
    <w:p w14:paraId="371CEAAF">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1、手术床采用电动液压动力系统，可电动调节实现台面升降、头脚倾、左右倾、背板上下折、解锁锁定。</w:t>
      </w:r>
    </w:p>
    <w:p w14:paraId="5E764530">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手术床具备多种电动控制方式，包括有线控制器、无线控制器、备用面板、脚踏开关。无线手控器为无线通讯及无线充电，若超过60秒不使用有线/无线手控器，它将自动关闭。自动关闭后手控器上任何动作按键都无效，可防止手术时的误操作。</w:t>
      </w:r>
    </w:p>
    <w:p w14:paraId="563B5657">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3、手术床床垫采用多层复合技术，由质地柔软的记忆海绵材料制成，手术床床垫厚度为80mm。</w:t>
      </w:r>
    </w:p>
    <w:p w14:paraId="737A6E36">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4、手术台床垫皮层通过防火等级测试。</w:t>
      </w:r>
    </w:p>
    <w:p w14:paraId="4F8BF20D">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5、手术床腿板采用一键快插式连接结构，同时采用气弹簧腿板设计。</w:t>
      </w:r>
    </w:p>
    <w:p w14:paraId="2ED2994F">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6、手术床底罩表面平整无凹陷，底座厚度140mm。</w:t>
      </w:r>
    </w:p>
    <w:p w14:paraId="483CD035">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7、手术床防水等级IPX5。</w:t>
      </w:r>
    </w:p>
    <w:p w14:paraId="5AE42323">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8、手术床配有高性能充电电池，可满足80次手术需要，同时遥控器配有高性能充电电池，满足120次手术需要。</w:t>
      </w:r>
    </w:p>
    <w:p w14:paraId="5F35495C">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9、手术床承载重量450kg。</w:t>
      </w:r>
    </w:p>
    <w:p w14:paraId="4716D2AE">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10、技术参数：</w:t>
      </w:r>
    </w:p>
    <w:p w14:paraId="12E27DC0">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手术床宽度：535mm，长度2190mm</w:t>
      </w:r>
    </w:p>
    <w:p w14:paraId="7999FEF4">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纵向最大倾斜角度（头倾）：32.3°</w:t>
      </w:r>
    </w:p>
    <w:p w14:paraId="682F6A86">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纵向最大倾斜角度（脚倾）：30.75°</w:t>
      </w:r>
    </w:p>
    <w:p w14:paraId="20E31568">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侧向最大倾斜角度（左倾/右倾）：21.05°、21.30°</w:t>
      </w:r>
    </w:p>
    <w:p w14:paraId="747B3AC3">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头板最大倾斜角度：上折62.3°，下折92.85°</w:t>
      </w:r>
    </w:p>
    <w:p w14:paraId="19E7D116">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背板最大倾斜角度：上折80.1°，下折45.01°</w:t>
      </w:r>
    </w:p>
    <w:p w14:paraId="6DA47ACD">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腿板最大倾斜角度：上折40.2°；下折90°</w:t>
      </w:r>
    </w:p>
    <w:p w14:paraId="54D05C13">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手术床最低台面：680mm</w:t>
      </w:r>
    </w:p>
    <w:p w14:paraId="0797BAAB">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 xml:space="preserve">手术床最高台面：1135mm </w:t>
      </w:r>
    </w:p>
    <w:p w14:paraId="3C572500">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手术床配置要求：</w:t>
      </w:r>
    </w:p>
    <w:p w14:paraId="28F97830">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电动手术床配记忆海绵床垫，头板，主机（包含背板，坐板），分体式腿板，备用面板，有线遥控器，托手架一对（含夹持器），麻醉屏架（含夹持器），束身带，托腿架，支身架，支肩架,共选其它配置：俯卧位垫1套，侧卧位垫2套。</w:t>
      </w:r>
    </w:p>
    <w:p w14:paraId="01F4BDEF">
      <w:pPr>
        <w:pStyle w:val="7"/>
        <w:keepNext w:val="0"/>
        <w:keepLines w:val="0"/>
        <w:pageBreakBefore w:val="0"/>
        <w:widowControl w:val="0"/>
        <w:kinsoku/>
        <w:wordWrap/>
        <w:overflowPunct/>
        <w:topLinePunct w:val="0"/>
        <w:autoSpaceDE/>
        <w:autoSpaceDN/>
        <w:bidi w:val="0"/>
        <w:adjustRightInd/>
        <w:snapToGrid w:val="0"/>
        <w:spacing w:line="360" w:lineRule="auto"/>
        <w:ind w:firstLine="422" w:firstLineChars="200"/>
        <w:jc w:val="both"/>
        <w:textAlignment w:val="auto"/>
        <w:rPr>
          <w:rStyle w:val="9"/>
          <w:rFonts w:hint="eastAsia" w:ascii="宋体" w:hAnsi="宋体" w:eastAsia="宋体" w:cs="宋体"/>
          <w:b/>
          <w:color w:val="000000"/>
          <w:kern w:val="2"/>
          <w:sz w:val="21"/>
          <w:szCs w:val="21"/>
          <w:lang w:val="en-US" w:eastAsia="zh-CN" w:bidi="ar-SA"/>
        </w:rPr>
      </w:pPr>
      <w:r>
        <w:rPr>
          <w:rStyle w:val="9"/>
          <w:rFonts w:hint="eastAsia" w:ascii="宋体" w:hAnsi="宋体" w:eastAsia="宋体" w:cs="宋体"/>
          <w:b/>
          <w:color w:val="000000"/>
          <w:kern w:val="2"/>
          <w:sz w:val="21"/>
          <w:szCs w:val="21"/>
          <w:lang w:val="en-US" w:eastAsia="zh-CN" w:bidi="ar-SA"/>
        </w:rPr>
        <w:t>11、普通电动综合手术床（2套）</w:t>
      </w:r>
    </w:p>
    <w:p w14:paraId="60640236">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1、手术床采用电动液压动力系统，可电动调节实现台面升降、头脚倾、左右倾、背板上下折、解锁锁定。</w:t>
      </w:r>
    </w:p>
    <w:p w14:paraId="4675EC25">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手术床具备多种电动控制方式，包括有线控制器、无线控制器、备用面板、脚踏开关。无线手控器为无线通讯及无线充电，若超过60秒不使用有线/无线手控器，它将自动关闭。自动关闭后手控器上任何动作按键都无效，可防止手术时的误操作。</w:t>
      </w:r>
    </w:p>
    <w:p w14:paraId="30853BBE">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3、手术床床垫采用多层复合技术，由质地柔软的记忆海绵材料制成，手术床床垫厚度为80mm。</w:t>
      </w:r>
    </w:p>
    <w:p w14:paraId="1A3895A6">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4、手术台床垫皮层通过防火等级测试。</w:t>
      </w:r>
    </w:p>
    <w:p w14:paraId="37413517">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5、手术床腿板采用一键快插式连接结构，不需要再进行二次旋钮解锁腿板，同时采用气弹簧腿板设计，便于操作。</w:t>
      </w:r>
    </w:p>
    <w:p w14:paraId="62CCCCA4">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6、手术床底罩表面平整无凹陷，底座厚度140mm。</w:t>
      </w:r>
    </w:p>
    <w:p w14:paraId="534FB8DD">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7、手术床防水等级IPX5。</w:t>
      </w:r>
    </w:p>
    <w:p w14:paraId="697DF5A8">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8、手术床配有高性能充电电池，可满足80次手术需要，同时遥控器配有充电电池，满足120次手术需要。</w:t>
      </w:r>
    </w:p>
    <w:p w14:paraId="2C5A1D40">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9、手术床承载重量450kg。</w:t>
      </w:r>
    </w:p>
    <w:p w14:paraId="65890224">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10、技术参数：</w:t>
      </w:r>
    </w:p>
    <w:p w14:paraId="1B8AEFA3">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手术床宽度：535mm，长度2190mm</w:t>
      </w:r>
    </w:p>
    <w:p w14:paraId="5A6D843D">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纵向最大倾斜角度（头倾）：32.3°</w:t>
      </w:r>
    </w:p>
    <w:p w14:paraId="572E82D0">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纵向最大倾斜角度（脚倾）：30.75°</w:t>
      </w:r>
    </w:p>
    <w:p w14:paraId="481069BF">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侧向最大倾斜角度（左倾/右倾）：21.05°、21.30°</w:t>
      </w:r>
    </w:p>
    <w:p w14:paraId="56D60BF7">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头板最大倾斜角度：上折62.3°，下折92.85°</w:t>
      </w:r>
    </w:p>
    <w:p w14:paraId="3304BB46">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背板最大倾斜角度：上折80.1°，下折45.01°</w:t>
      </w:r>
    </w:p>
    <w:p w14:paraId="0778ECC0">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腿板最大倾斜角度：上折40.2°；下折90°</w:t>
      </w:r>
    </w:p>
    <w:p w14:paraId="4E2141B4">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手术床最低台面：680mm</w:t>
      </w:r>
    </w:p>
    <w:p w14:paraId="7AFC7592">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手术床最高台面：1135mm</w:t>
      </w:r>
    </w:p>
    <w:p w14:paraId="238DCAE8">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手术床配置要求：</w:t>
      </w:r>
    </w:p>
    <w:p w14:paraId="2D13A1A5">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电动手术床配记忆海绵床垫，头板，主机（包含背板，坐板），分体式腿板，备用面板，有线遥控器，托手架一对（含夹持器），麻醉屏架（含夹持器），其中外科门诊1套含托腿架一对（含夹持器）。</w:t>
      </w:r>
    </w:p>
    <w:p w14:paraId="4F8C0024">
      <w:pPr>
        <w:pStyle w:val="7"/>
        <w:pageBreakBefore w:val="0"/>
        <w:widowControl w:val="0"/>
        <w:numPr>
          <w:ilvl w:val="0"/>
          <w:numId w:val="0"/>
        </w:numPr>
        <w:kinsoku/>
        <w:wordWrap/>
        <w:overflowPunct/>
        <w:autoSpaceDE/>
        <w:autoSpaceDN/>
        <w:bidi w:val="0"/>
        <w:snapToGrid w:val="0"/>
        <w:spacing w:line="360" w:lineRule="auto"/>
        <w:ind w:firstLine="211" w:firstLineChars="100"/>
        <w:jc w:val="both"/>
        <w:rPr>
          <w:rStyle w:val="9"/>
          <w:rFonts w:hint="eastAsia" w:ascii="宋体" w:hAnsi="宋体" w:eastAsia="宋体" w:cs="宋体"/>
          <w:b/>
          <w:color w:val="000000"/>
          <w:kern w:val="2"/>
          <w:sz w:val="21"/>
          <w:szCs w:val="21"/>
          <w:lang w:val="en-US" w:eastAsia="zh-CN" w:bidi="ar-SA"/>
        </w:rPr>
      </w:pPr>
      <w:r>
        <w:rPr>
          <w:rStyle w:val="9"/>
          <w:rFonts w:hint="eastAsia" w:ascii="宋体" w:hAnsi="宋体" w:eastAsia="宋体" w:cs="宋体"/>
          <w:b/>
          <w:color w:val="000000"/>
          <w:kern w:val="2"/>
          <w:sz w:val="21"/>
          <w:szCs w:val="21"/>
          <w:lang w:val="en-US" w:eastAsia="zh-CN" w:bidi="ar-SA"/>
        </w:rPr>
        <w:t>12、抢救室吊桥（6套）</w:t>
      </w:r>
    </w:p>
    <w:p w14:paraId="64EFEF02">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1、吊桥主体材料为6005高强度铝合金，封闭式设计，吊桥所采用的材料防腐蚀，便于清洗，设备表面喷塑采用抗菌粉末。</w:t>
      </w:r>
    </w:p>
    <w:p w14:paraId="7B11822A">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2、吊桥外壳涂膜附着力达到等级0，吊塔外壳在中性盐雾试验中，评价等级为10。</w:t>
      </w:r>
    </w:p>
    <w:p w14:paraId="7D0FBFAC">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3、吊桥的最大标称承重为650kg，托盘的最大标称承重80kg。</w:t>
      </w:r>
    </w:p>
    <w:p w14:paraId="1592EF19">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 xml:space="preserve">4、悬梁长度2200mm-3100mm可供选择，最终可根据医院实际场地情况确定； </w:t>
      </w:r>
    </w:p>
    <w:p w14:paraId="7ED5E2B5">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5、所有吊桥上承载的设备的电源线路及气源管路和塔体之间没有相对移动，所有电源线路及气源管路在塔体内不外露，保证吊塔在移动过程中，不会因位置的改变导致线路脱落的意外发生。</w:t>
      </w:r>
    </w:p>
    <w:p w14:paraId="573214DF">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6、滑车在悬梁上的移动距离710mm。</w:t>
      </w:r>
    </w:p>
    <w:p w14:paraId="387CE446">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7、所有气电端口安装于终端箱上，禁止安装于横梁上。</w:t>
      </w:r>
    </w:p>
    <w:p w14:paraId="7A1C3D9C">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8、吊柱箱体采用5面以上设计，具备分区功能。</w:t>
      </w:r>
    </w:p>
    <w:p w14:paraId="3C908996">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9、托盘边轨为铝合金材质，一体成型，纯平设计，托盘表面无螺钉；</w:t>
      </w:r>
    </w:p>
    <w:p w14:paraId="25FEFAB8">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10、吊桥承载部件经承受4倍额定安全载荷后，无永久性的损坏，且相对负载表面的偏移1º。</w:t>
      </w:r>
    </w:p>
    <w:p w14:paraId="3D1E1AEF">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11、基础架平缓施加荷载至14000N.m的试验扭矩，法兰盘水平偏角0.2°。</w:t>
      </w:r>
    </w:p>
    <w:p w14:paraId="4505D83C">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12、具备轴承承载11万次；</w:t>
      </w:r>
    </w:p>
    <w:p w14:paraId="6E9D5B8E">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13、吊桥的终端箱在额定负载下时，终端箱倾斜角度0.6°。</w:t>
      </w:r>
    </w:p>
    <w:p w14:paraId="6831CDA1">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15、所有气体插座和接头为德国制式。各种气体插座均为不同颜色和不同形状，防止误操作，具有Standby (原位待接通状态)功能。</w:t>
      </w:r>
    </w:p>
    <w:p w14:paraId="0D1DA67F">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16、气体终端可提供11万次插拔；</w:t>
      </w:r>
    </w:p>
    <w:p w14:paraId="179BDB29">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17、医用软管符合医疗标准无异味，通过生物相容性测试。</w:t>
      </w:r>
    </w:p>
    <w:p w14:paraId="4B9038F4">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18、吊桥中用于氧化性医用气体的终端中心，距离在正常工作状态或单一故障状态下可能产生火花的最近电器元件的边框应0.2m。</w:t>
      </w:r>
    </w:p>
    <w:p w14:paraId="3A8AD4E4">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19、吊桥的外壳防护等级应符合GB/T 4208-2017中IP20的规定。</w:t>
      </w:r>
    </w:p>
    <w:p w14:paraId="3D3E24F3">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20、 吊桥的外壳防火等级为UL94-V0级。</w:t>
      </w:r>
    </w:p>
    <w:p w14:paraId="716FC092">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21、可选配免维护氧浓度监测系统，具备声音提示功能。</w:t>
      </w:r>
    </w:p>
    <w:p w14:paraId="228FFADF">
      <w:pPr>
        <w:pStyle w:val="2"/>
        <w:keepNext w:val="0"/>
        <w:keepLines w:val="0"/>
        <w:pageBreakBefore w:val="0"/>
        <w:widowControl w:val="0"/>
        <w:kinsoku/>
        <w:wordWrap/>
        <w:overflowPunct/>
        <w:topLinePunct/>
        <w:autoSpaceDE/>
        <w:autoSpaceDN/>
        <w:bidi w:val="0"/>
        <w:adjustRightInd w:val="0"/>
        <w:snapToGrid w:val="0"/>
        <w:spacing w:after="0" w:line="360" w:lineRule="auto"/>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22、配置要求：</w:t>
      </w:r>
    </w:p>
    <w:p w14:paraId="6FF10967">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snapToGrid w:val="0"/>
          <w:spacing w:val="0"/>
          <w:kern w:val="0"/>
          <w:sz w:val="21"/>
          <w:szCs w:val="21"/>
          <w:lang w:val="en-US" w:eastAsia="zh-CN"/>
        </w:rPr>
      </w:pPr>
      <w:r>
        <w:rPr>
          <w:rFonts w:hint="eastAsia" w:ascii="宋体" w:hAnsi="宋体" w:eastAsia="宋体" w:cs="宋体"/>
          <w:b w:val="0"/>
          <w:bCs w:val="0"/>
          <w:snapToGrid w:val="0"/>
          <w:spacing w:val="0"/>
          <w:kern w:val="0"/>
          <w:sz w:val="21"/>
          <w:szCs w:val="21"/>
          <w:lang w:val="en-US" w:eastAsia="zh-CN"/>
        </w:rPr>
        <w:t>干区：吊箱式柱体1个，氧气2个，空气2个，负压2个，电源插座8个，网络接口2个，等电位2个，一层托盘，一层抽屉。</w:t>
      </w:r>
    </w:p>
    <w:p w14:paraId="5CCC4E25">
      <w:pPr>
        <w:pStyle w:val="2"/>
        <w:keepNext w:val="0"/>
        <w:keepLines w:val="0"/>
        <w:pageBreakBefore w:val="0"/>
        <w:widowControl w:val="0"/>
        <w:kinsoku/>
        <w:wordWrap/>
        <w:overflowPunct/>
        <w:topLinePunct/>
        <w:autoSpaceDE/>
        <w:autoSpaceDN/>
        <w:bidi w:val="0"/>
        <w:adjustRightInd w:val="0"/>
        <w:snapToGrid w:val="0"/>
        <w:spacing w:after="0" w:line="360" w:lineRule="auto"/>
        <w:ind w:firstLine="420" w:firstLineChars="200"/>
        <w:jc w:val="both"/>
        <w:textAlignment w:val="auto"/>
        <w:rPr>
          <w:rStyle w:val="9"/>
          <w:rFonts w:hint="eastAsia" w:ascii="宋体" w:hAnsi="宋体" w:eastAsia="宋体" w:cs="宋体"/>
          <w:color w:val="000000"/>
          <w:kern w:val="2"/>
          <w:sz w:val="21"/>
          <w:szCs w:val="21"/>
          <w:lang w:val="en-US" w:eastAsia="zh-CN" w:bidi="ar-SA"/>
        </w:rPr>
      </w:pPr>
      <w:r>
        <w:rPr>
          <w:rFonts w:hint="eastAsia" w:ascii="宋体" w:hAnsi="宋体" w:eastAsia="宋体" w:cs="宋体"/>
          <w:b w:val="0"/>
          <w:bCs w:val="0"/>
          <w:snapToGrid w:val="0"/>
          <w:spacing w:val="0"/>
          <w:kern w:val="0"/>
          <w:sz w:val="21"/>
          <w:szCs w:val="21"/>
          <w:lang w:val="en-US" w:eastAsia="zh-CN"/>
        </w:rPr>
        <w:t>湿区：吊柱式箱体1个，氧气2个，空气2个，负压2个，电源10个，网络接口1个，等电位2个，输液架1套，一层托盘，一层抽屉，，边轨线缆收纳4个。</w:t>
      </w:r>
    </w:p>
    <w:p w14:paraId="0C1C1550">
      <w:pPr>
        <w:pStyle w:val="7"/>
        <w:keepNext w:val="0"/>
        <w:keepLines w:val="0"/>
        <w:pageBreakBefore w:val="0"/>
        <w:widowControl/>
        <w:suppressLineNumbers w:val="0"/>
        <w:kinsoku/>
        <w:wordWrap/>
        <w:overflowPunct/>
        <w:topLinePunct w:val="0"/>
        <w:autoSpaceDE/>
        <w:autoSpaceDN/>
        <w:bidi w:val="0"/>
        <w:adjustRightInd/>
        <w:snapToGrid w:val="0"/>
        <w:spacing w:before="157" w:beforeLines="50" w:after="157" w:afterLines="50" w:line="360" w:lineRule="auto"/>
        <w:jc w:val="center"/>
        <w:textAlignment w:val="center"/>
        <w:rPr>
          <w:rStyle w:val="9"/>
          <w:rFonts w:hint="eastAsia" w:ascii="CESI黑体-GB2312" w:hAnsi="CESI黑体-GB2312" w:eastAsia="CESI黑体-GB2312" w:cs="CESI黑体-GB2312"/>
          <w:color w:val="auto"/>
          <w:kern w:val="0"/>
          <w:sz w:val="24"/>
          <w:szCs w:val="24"/>
          <w:highlight w:val="none"/>
          <w:vertAlign w:val="baseline"/>
          <w:lang w:val="en-US" w:eastAsia="zh-CN" w:bidi="ar"/>
        </w:rPr>
      </w:pPr>
      <w:r>
        <w:rPr>
          <w:rStyle w:val="9"/>
          <w:rFonts w:hint="eastAsia" w:ascii="CESI黑体-GB2312" w:hAnsi="CESI黑体-GB2312" w:eastAsia="CESI黑体-GB2312" w:cs="CESI黑体-GB2312"/>
          <w:color w:val="auto"/>
          <w:kern w:val="0"/>
          <w:sz w:val="24"/>
          <w:szCs w:val="24"/>
          <w:highlight w:val="none"/>
          <w:vertAlign w:val="baseline"/>
          <w:lang w:val="en-US" w:eastAsia="zh-CN" w:bidi="ar"/>
        </w:rPr>
        <w:t>第三节 清单及参数技术要求</w:t>
      </w:r>
    </w:p>
    <w:p w14:paraId="675E4E96">
      <w:pPr>
        <w:pStyle w:val="7"/>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left"/>
        <w:textAlignment w:val="center"/>
        <w:rPr>
          <w:rStyle w:val="9"/>
          <w:rFonts w:hint="eastAsia" w:ascii="宋体" w:hAnsi="宋体" w:eastAsia="宋体" w:cs="宋体"/>
          <w:color w:val="auto"/>
          <w:kern w:val="0"/>
          <w:sz w:val="21"/>
          <w:szCs w:val="21"/>
          <w:vertAlign w:val="baseline"/>
          <w:lang w:val="en-US" w:eastAsia="zh-CN" w:bidi="ar"/>
        </w:rPr>
      </w:pPr>
      <w:r>
        <w:rPr>
          <w:rStyle w:val="9"/>
          <w:rFonts w:hint="eastAsia" w:ascii="宋体" w:hAnsi="宋体" w:eastAsia="宋体" w:cs="宋体"/>
          <w:b w:val="0"/>
          <w:bCs w:val="0"/>
          <w:color w:val="auto"/>
          <w:sz w:val="21"/>
          <w:szCs w:val="21"/>
          <w:highlight w:val="none"/>
          <w:lang w:val="en-US" w:eastAsia="zh-CN"/>
        </w:rPr>
        <w:t>详见附件清单</w:t>
      </w:r>
      <w:r>
        <w:rPr>
          <w:rStyle w:val="9"/>
          <w:rFonts w:hint="eastAsia" w:ascii="宋体" w:hAnsi="宋体" w:eastAsia="宋体" w:cs="宋体"/>
          <w:b/>
          <w:bCs/>
          <w:color w:val="auto"/>
          <w:sz w:val="21"/>
          <w:szCs w:val="21"/>
          <w:highlight w:val="none"/>
          <w:lang w:val="en-US" w:eastAsia="zh-CN"/>
        </w:rPr>
        <w:t>（如遇附件清单中与第四章技术规格、参数与要求有不一致的，以第四章技术规格、参数与要求内容为准。）</w:t>
      </w:r>
    </w:p>
    <w:p w14:paraId="4ECA712E">
      <w:pPr>
        <w:pStyle w:val="7"/>
        <w:keepNext w:val="0"/>
        <w:keepLines w:val="0"/>
        <w:pageBreakBefore w:val="0"/>
        <w:widowControl/>
        <w:suppressLineNumbers w:val="0"/>
        <w:kinsoku/>
        <w:wordWrap/>
        <w:overflowPunct/>
        <w:topLinePunct w:val="0"/>
        <w:autoSpaceDE/>
        <w:autoSpaceDN/>
        <w:bidi w:val="0"/>
        <w:adjustRightInd/>
        <w:snapToGrid w:val="0"/>
        <w:spacing w:before="157" w:beforeLines="50" w:after="157" w:afterLines="50" w:line="360" w:lineRule="auto"/>
        <w:jc w:val="center"/>
        <w:textAlignment w:val="center"/>
        <w:rPr>
          <w:rStyle w:val="9"/>
          <w:rFonts w:hint="eastAsia" w:ascii="CESI黑体-GB2312" w:hAnsi="CESI黑体-GB2312" w:eastAsia="CESI黑体-GB2312" w:cs="CESI黑体-GB2312"/>
          <w:color w:val="auto"/>
          <w:kern w:val="0"/>
          <w:sz w:val="24"/>
          <w:szCs w:val="24"/>
          <w:highlight w:val="none"/>
          <w:vertAlign w:val="baseline"/>
          <w:lang w:val="en-US" w:eastAsia="zh-CN" w:bidi="ar"/>
        </w:rPr>
      </w:pPr>
      <w:r>
        <w:rPr>
          <w:rStyle w:val="9"/>
          <w:rFonts w:hint="eastAsia" w:ascii="CESI黑体-GB2312" w:hAnsi="CESI黑体-GB2312" w:eastAsia="CESI黑体-GB2312" w:cs="CESI黑体-GB2312"/>
          <w:color w:val="auto"/>
          <w:kern w:val="0"/>
          <w:sz w:val="24"/>
          <w:szCs w:val="24"/>
          <w:highlight w:val="none"/>
          <w:vertAlign w:val="baseline"/>
          <w:lang w:val="en-US" w:eastAsia="zh-CN" w:bidi="ar"/>
        </w:rPr>
        <w:t>第四节  质量保证及运输、安装和调试等项目实施要求</w:t>
      </w:r>
    </w:p>
    <w:p w14:paraId="6C086E55">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2" w:firstLineChars="200"/>
        <w:jc w:val="both"/>
        <w:textAlignment w:val="auto"/>
        <w:outlineLvl w:val="9"/>
        <w:rPr>
          <w:rStyle w:val="9"/>
          <w:rFonts w:hint="eastAsia" w:ascii="宋体" w:hAnsi="宋体" w:eastAsia="宋体" w:cs="宋体"/>
          <w:b/>
          <w:bCs/>
          <w:color w:val="000000"/>
          <w:sz w:val="21"/>
          <w:szCs w:val="21"/>
          <w:highlight w:val="none"/>
          <w:lang w:val="en-US" w:eastAsia="zh-CN"/>
        </w:rPr>
      </w:pPr>
      <w:r>
        <w:rPr>
          <w:rStyle w:val="9"/>
          <w:rFonts w:hint="eastAsia" w:ascii="宋体" w:hAnsi="宋体" w:eastAsia="宋体" w:cs="宋体"/>
          <w:b/>
          <w:bCs/>
          <w:color w:val="000000"/>
          <w:sz w:val="21"/>
          <w:szCs w:val="21"/>
          <w:highlight w:val="none"/>
          <w:lang w:val="en-US" w:eastAsia="zh-CN"/>
        </w:rPr>
        <w:t>一、质量保证、产品运输、保险及保管</w:t>
      </w:r>
    </w:p>
    <w:p w14:paraId="2AB6B507">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1.质量保证：</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提供的产品和原材料应是原厂原装的全新产品，应符合国家质量检测标准</w:t>
      </w:r>
      <w:r>
        <w:rPr>
          <w:rStyle w:val="9"/>
          <w:rFonts w:hint="eastAsia" w:ascii="宋体" w:hAnsi="宋体" w:eastAsia="宋体" w:cs="宋体"/>
          <w:b w:val="0"/>
          <w:bCs w:val="0"/>
          <w:color w:val="auto"/>
          <w:sz w:val="21"/>
          <w:szCs w:val="21"/>
          <w:highlight w:val="none"/>
          <w:lang w:val="en-US" w:eastAsia="zh-CN"/>
        </w:rPr>
        <w:t>。</w:t>
      </w:r>
      <w:r>
        <w:rPr>
          <w:rStyle w:val="9"/>
          <w:rFonts w:hint="eastAsia" w:ascii="宋体" w:hAnsi="宋体" w:eastAsia="宋体" w:cs="宋体"/>
          <w:b w:val="0"/>
          <w:bCs w:val="0"/>
          <w:color w:val="000000"/>
          <w:sz w:val="21"/>
          <w:szCs w:val="21"/>
          <w:highlight w:val="none"/>
          <w:lang w:val="en-US" w:eastAsia="zh-CN"/>
        </w:rPr>
        <w:t>须</w:t>
      </w:r>
      <w:r>
        <w:rPr>
          <w:rStyle w:val="9"/>
          <w:rFonts w:hint="eastAsia" w:ascii="宋体" w:hAnsi="宋体" w:eastAsia="宋体" w:cs="宋体"/>
          <w:b w:val="0"/>
          <w:bCs w:val="0"/>
          <w:color w:val="000000"/>
          <w:sz w:val="21"/>
          <w:szCs w:val="21"/>
          <w:highlight w:val="none"/>
          <w:shd w:val="clear" w:color="auto" w:fill="auto"/>
          <w:lang w:val="en-US" w:eastAsia="zh-CN"/>
        </w:rPr>
        <w:t>提供针对上述内容出</w:t>
      </w:r>
      <w:r>
        <w:rPr>
          <w:rStyle w:val="9"/>
          <w:rFonts w:hint="eastAsia" w:ascii="宋体" w:hAnsi="宋体" w:eastAsia="宋体" w:cs="宋体"/>
          <w:b w:val="0"/>
          <w:bCs w:val="0"/>
          <w:color w:val="000000"/>
          <w:sz w:val="21"/>
          <w:szCs w:val="21"/>
          <w:highlight w:val="none"/>
          <w:lang w:val="en-US" w:eastAsia="zh-CN"/>
        </w:rPr>
        <w:t>具的质量保证承诺书。原件交</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备查，保证提供的所有软件为正版软件。</w:t>
      </w:r>
      <w:r>
        <w:rPr>
          <w:rStyle w:val="9"/>
          <w:rFonts w:hint="eastAsia" w:ascii="宋体" w:hAnsi="宋体" w:cs="宋体"/>
          <w:sz w:val="21"/>
          <w:szCs w:val="21"/>
          <w:highlight w:val="none"/>
          <w:lang w:val="en-US" w:eastAsia="zh-CN"/>
        </w:rPr>
        <w:t>乙方</w:t>
      </w:r>
      <w:r>
        <w:rPr>
          <w:rStyle w:val="9"/>
          <w:rFonts w:hint="eastAsia" w:ascii="宋体" w:hAnsi="宋体" w:eastAsia="宋体" w:cs="宋体"/>
          <w:sz w:val="21"/>
          <w:szCs w:val="21"/>
          <w:highlight w:val="none"/>
        </w:rPr>
        <w:t>应保证产品包装完整，到达指定的交货地点前未拆封。</w:t>
      </w:r>
    </w:p>
    <w:p w14:paraId="595C6140">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2.</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负责产品到施工地点的全部运输，由此所产生的相关费用均由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承担，由于搬运、装卸、吊装及运输不当造成的各种事故责任和损失由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承担。</w:t>
      </w:r>
    </w:p>
    <w:p w14:paraId="423A545B">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3.</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负责产品在交货及安装地点的的保管，直至项目验收合格，由此而产生的相关费用均由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承担。</w:t>
      </w:r>
    </w:p>
    <w:p w14:paraId="753B52FA">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4.</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负责其派出的管理人员、运输、装卸、施工人员、安装调试等相关工作人员的人身意外保险购买和安全责任管理。</w:t>
      </w:r>
    </w:p>
    <w:p w14:paraId="5E11E8DB">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shd w:val="clear" w:color="auto" w:fill="auto"/>
          <w:lang w:val="en-US" w:eastAsia="zh-CN"/>
        </w:rPr>
      </w:pPr>
      <w:r>
        <w:rPr>
          <w:rStyle w:val="9"/>
          <w:rFonts w:hint="eastAsia" w:ascii="宋体" w:hAnsi="宋体" w:eastAsia="宋体" w:cs="宋体"/>
          <w:b w:val="0"/>
          <w:bCs w:val="0"/>
          <w:color w:val="000000"/>
          <w:sz w:val="21"/>
          <w:szCs w:val="21"/>
          <w:highlight w:val="none"/>
          <w:lang w:val="en-US" w:eastAsia="zh-CN"/>
        </w:rPr>
        <w:t>5.</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在验货中，发现有与设计图纸、清单不符的，不签发验货单，</w:t>
      </w:r>
      <w:r>
        <w:rPr>
          <w:rStyle w:val="9"/>
          <w:rFonts w:hint="eastAsia" w:ascii="宋体" w:hAnsi="宋体" w:cs="宋体"/>
          <w:b w:val="0"/>
          <w:bCs w:val="0"/>
          <w:color w:val="000000"/>
          <w:sz w:val="21"/>
          <w:szCs w:val="21"/>
          <w:highlight w:val="none"/>
          <w:shd w:val="clear" w:color="auto" w:fill="auto"/>
          <w:lang w:val="en-US" w:eastAsia="zh-CN"/>
        </w:rPr>
        <w:t>乙方</w:t>
      </w:r>
      <w:r>
        <w:rPr>
          <w:rStyle w:val="9"/>
          <w:rFonts w:hint="eastAsia" w:ascii="宋体" w:hAnsi="宋体" w:eastAsia="宋体" w:cs="宋体"/>
          <w:b w:val="0"/>
          <w:bCs w:val="0"/>
          <w:color w:val="000000"/>
          <w:sz w:val="21"/>
          <w:szCs w:val="21"/>
          <w:highlight w:val="none"/>
          <w:shd w:val="clear" w:color="auto" w:fill="auto"/>
          <w:lang w:val="en-US" w:eastAsia="zh-CN"/>
        </w:rPr>
        <w:t>需重新提供符合要求的产品，产生的费用由</w:t>
      </w:r>
      <w:r>
        <w:rPr>
          <w:rStyle w:val="9"/>
          <w:rFonts w:hint="eastAsia" w:ascii="宋体" w:hAnsi="宋体" w:cs="宋体"/>
          <w:b w:val="0"/>
          <w:bCs w:val="0"/>
          <w:color w:val="000000"/>
          <w:sz w:val="21"/>
          <w:szCs w:val="21"/>
          <w:highlight w:val="none"/>
          <w:shd w:val="clear" w:color="auto" w:fill="auto"/>
          <w:lang w:val="en-US" w:eastAsia="zh-CN"/>
        </w:rPr>
        <w:t>乙方</w:t>
      </w:r>
      <w:r>
        <w:rPr>
          <w:rStyle w:val="9"/>
          <w:rFonts w:hint="eastAsia" w:ascii="宋体" w:hAnsi="宋体" w:eastAsia="宋体" w:cs="宋体"/>
          <w:b w:val="0"/>
          <w:bCs w:val="0"/>
          <w:color w:val="000000"/>
          <w:sz w:val="21"/>
          <w:szCs w:val="21"/>
          <w:highlight w:val="none"/>
          <w:shd w:val="clear" w:color="auto" w:fill="auto"/>
          <w:lang w:val="en-US" w:eastAsia="zh-CN"/>
        </w:rPr>
        <w:t>负责。</w:t>
      </w:r>
    </w:p>
    <w:p w14:paraId="1E687D6C">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6.</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必须在材料进场后及时通知</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，对于有复试要求的材料，</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应积极配合</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对材料见证取样并送检，对于检验不合格的材料，</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必须无条件退场。</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在施工前必须提交材料设备合格证或质量保证书。</w:t>
      </w:r>
    </w:p>
    <w:p w14:paraId="6A90FA25">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2" w:firstLineChars="200"/>
        <w:jc w:val="both"/>
        <w:textAlignment w:val="auto"/>
        <w:outlineLvl w:val="9"/>
        <w:rPr>
          <w:rStyle w:val="9"/>
          <w:rFonts w:hint="eastAsia" w:ascii="宋体" w:hAnsi="宋体" w:eastAsia="宋体" w:cs="宋体"/>
          <w:b/>
          <w:bCs/>
          <w:color w:val="000000"/>
          <w:sz w:val="21"/>
          <w:szCs w:val="21"/>
          <w:highlight w:val="none"/>
          <w:lang w:val="en-US" w:eastAsia="zh-CN"/>
        </w:rPr>
      </w:pPr>
      <w:r>
        <w:rPr>
          <w:rStyle w:val="9"/>
          <w:rFonts w:hint="eastAsia" w:ascii="宋体" w:hAnsi="宋体" w:eastAsia="宋体" w:cs="宋体"/>
          <w:b/>
          <w:bCs/>
          <w:color w:val="000000"/>
          <w:sz w:val="21"/>
          <w:szCs w:val="21"/>
          <w:highlight w:val="none"/>
          <w:lang w:val="en-US" w:eastAsia="zh-CN"/>
        </w:rPr>
        <w:t>二、安装调试</w:t>
      </w:r>
    </w:p>
    <w:p w14:paraId="0C83B732">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1.</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可根据</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提供的本项目设计方案（安装点位、工艺、尺寸及安装方式等要求）进行适当优化调整，调整的方案及效果必须通过设计公司审定，并符合医院的定位及整体风格；</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须自行核对图纸与现场的尺寸，具体尺寸和工程量以现场实际发生为准。</w:t>
      </w:r>
    </w:p>
    <w:p w14:paraId="661021E5">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2.</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应做好设备安装工作计划，交由</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审批，安装质量要求必须符合相关法律规定和</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的要求。</w:t>
      </w:r>
    </w:p>
    <w:p w14:paraId="2B35E2E9">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3.</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负责产品送货上门，安装、调试，由此所产生的一切材料费、工具费、人工费、手续费、差旅费、食宿费和加班费等，均包含在投标报价中，由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承担。安装调试期间所发生的一切安全和质量事故及费用，均由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承担。</w:t>
      </w:r>
    </w:p>
    <w:p w14:paraId="7939F60A">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4.</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送达产品及进行安装调试，应至少提前两天与</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取得联系，以便</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安排验货和配合安装调试等工作。</w:t>
      </w:r>
    </w:p>
    <w:p w14:paraId="2240D2D7">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5.整个安装期间，</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委派至少一名现场管理负责人员，负责安装监管及与</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日常联系等有关工作，积极配合</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的工作，负责解决安装和试用中的所有问题。</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须加强安装调试过程的组织管理，所有安装调试人员须遵守文明安全操作的有关规章制度，持证上岗。</w:t>
      </w:r>
    </w:p>
    <w:p w14:paraId="1DA9846F">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6.项目实施过程中，如遇安全因素或施工现场环境与建筑、室内设计图纸不符等情况，</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需发起书面申请（洽商与变更流程），以</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书面回复意见为准。</w:t>
      </w:r>
    </w:p>
    <w:p w14:paraId="51FC6BC8">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7.施工期间严格遵守文明施工和安全生产的各项规定及现场管理制度，并接受</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代表的指导监督。保持现场井然有序，杜绝发生人为伤害事故，一切由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原因造成的损失由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承担全部责任。</w:t>
      </w:r>
    </w:p>
    <w:p w14:paraId="03B6F86F">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8.项目实施期间产生的垃圾须每天及时清理，由此产生的所有费用由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承担。</w:t>
      </w:r>
    </w:p>
    <w:p w14:paraId="090B4402">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9.对于涉及特定安装项目，包括但不限于高空作业、有限空间和动火作业等，作业人员需提供相关行政管理部门要求的作业许可证并持证上岗或按相关管理规范实施。</w:t>
      </w:r>
    </w:p>
    <w:p w14:paraId="4FBA39F5">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10.</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负责产品安装、调试等工作，</w:t>
      </w:r>
      <w:r>
        <w:rPr>
          <w:rStyle w:val="9"/>
          <w:rFonts w:hint="eastAsia" w:ascii="宋体" w:hAnsi="宋体" w:eastAsia="宋体" w:cs="宋体"/>
          <w:b w:val="0"/>
          <w:bCs w:val="0"/>
          <w:color w:val="auto"/>
          <w:sz w:val="21"/>
          <w:szCs w:val="21"/>
          <w:highlight w:val="none"/>
          <w:lang w:val="en-US" w:eastAsia="zh-CN"/>
        </w:rPr>
        <w:t>根据</w:t>
      </w:r>
      <w:r>
        <w:rPr>
          <w:rStyle w:val="9"/>
          <w:rFonts w:hint="eastAsia" w:ascii="宋体" w:hAnsi="宋体" w:cs="宋体"/>
          <w:b w:val="0"/>
          <w:bCs w:val="0"/>
          <w:color w:val="auto"/>
          <w:sz w:val="21"/>
          <w:szCs w:val="21"/>
          <w:highlight w:val="none"/>
          <w:lang w:val="en-US" w:eastAsia="zh-CN"/>
        </w:rPr>
        <w:t>甲方</w:t>
      </w:r>
      <w:r>
        <w:rPr>
          <w:rStyle w:val="9"/>
          <w:rFonts w:hint="eastAsia" w:ascii="宋体" w:hAnsi="宋体" w:eastAsia="宋体" w:cs="宋体"/>
          <w:b w:val="0"/>
          <w:bCs w:val="0"/>
          <w:color w:val="auto"/>
          <w:sz w:val="21"/>
          <w:szCs w:val="21"/>
          <w:highlight w:val="none"/>
          <w:lang w:val="en-US" w:eastAsia="zh-CN"/>
        </w:rPr>
        <w:t>需求负责接入医院信息系统，负责软件升级。</w:t>
      </w:r>
    </w:p>
    <w:p w14:paraId="01CE9C42">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11.</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所选用的材料和设备及做法均必须符合本项目技术要求和图纸设计要求，图纸及本技术说明未详之处，均严格按国家有关现行标准、规范、规程处理。</w:t>
      </w:r>
    </w:p>
    <w:p w14:paraId="1F3A6209">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auto"/>
          <w:sz w:val="21"/>
          <w:szCs w:val="21"/>
          <w:highlight w:val="none"/>
          <w:lang w:val="en-US" w:eastAsia="zh-CN"/>
        </w:rPr>
        <w:t>12.项</w:t>
      </w:r>
      <w:r>
        <w:rPr>
          <w:rStyle w:val="9"/>
          <w:rFonts w:hint="eastAsia" w:ascii="宋体" w:hAnsi="宋体" w:eastAsia="宋体" w:cs="宋体"/>
          <w:b w:val="0"/>
          <w:bCs w:val="0"/>
          <w:color w:val="000000"/>
          <w:sz w:val="21"/>
          <w:szCs w:val="21"/>
          <w:highlight w:val="none"/>
          <w:lang w:val="en-US" w:eastAsia="zh-CN"/>
        </w:rPr>
        <w:t>目实施过程中，不得损坏</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及总包单位和其他专项的设备、设施，如有损坏应负责修复或照价赔偿。</w:t>
      </w:r>
    </w:p>
    <w:p w14:paraId="301B59FC">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2" w:firstLineChars="200"/>
        <w:jc w:val="both"/>
        <w:textAlignment w:val="auto"/>
        <w:outlineLvl w:val="9"/>
        <w:rPr>
          <w:rStyle w:val="9"/>
          <w:rFonts w:hint="eastAsia" w:ascii="宋体" w:hAnsi="宋体" w:eastAsia="宋体" w:cs="宋体"/>
          <w:b/>
          <w:bCs/>
          <w:color w:val="000000"/>
          <w:sz w:val="21"/>
          <w:szCs w:val="21"/>
          <w:highlight w:val="none"/>
          <w:lang w:val="en-US" w:eastAsia="zh-CN"/>
        </w:rPr>
      </w:pPr>
      <w:r>
        <w:rPr>
          <w:rStyle w:val="9"/>
          <w:rFonts w:hint="eastAsia" w:ascii="宋体" w:hAnsi="宋体" w:eastAsia="宋体" w:cs="宋体"/>
          <w:b/>
          <w:bCs/>
          <w:color w:val="000000"/>
          <w:sz w:val="21"/>
          <w:szCs w:val="21"/>
          <w:highlight w:val="none"/>
          <w:lang w:val="en-US" w:eastAsia="zh-CN"/>
        </w:rPr>
        <w:t>三、测试验收（具体验收要求以合同签订为准）</w:t>
      </w:r>
    </w:p>
    <w:p w14:paraId="61E3FE66">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1.本项目试运行3个月后可申请正式验收。验收须按照《关于加强长沙市政府采购项目履约验收工作的通知》（长财采购〔2024〕5号）、国家标准和规范、投标文件和招标文件安全条款及合同要求进行，验收费用由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承担，验收报告作为申请付款的凭证之一。</w:t>
      </w:r>
    </w:p>
    <w:p w14:paraId="469ABBB4">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2.验收时</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可对部分设备委托具有资质的检测机构进行检测检验，其结果为验收的重要凭证，相关检测费用由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承担。</w:t>
      </w:r>
    </w:p>
    <w:p w14:paraId="3AD8EEA3">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3.若因为</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在制作过程中没有积极配合而导致交付时间拖延的情况，由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自行负责相关费用并向</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承担违约责任。</w:t>
      </w:r>
    </w:p>
    <w:p w14:paraId="0C25D755">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4.</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交货前应对产品作出全面检查和对验收文件进行整理，并列出清单，作为</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收货验收和使用的技术条件依据，验收时</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必须在现场，验收完毕后作出验收结果报告，验收费用由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负担，检验的结果应随货物交</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w:t>
      </w:r>
    </w:p>
    <w:p w14:paraId="3710CE7A">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5.项目验收不合格，由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返工直至合格，有关返工、再行验收，以及给</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造成的损失等费用由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承担。连续两次项目验收不合格的，</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可终止合同，另行按规定进行招采，由此带来的一切损失由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承担。</w:t>
      </w:r>
    </w:p>
    <w:p w14:paraId="312ECE1C">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6.</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与</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双方签署验收合格证书后，才视为验收合格，并开始计算质量保证期。如果由于产品本身原因在三十天内调试而未能获得通过，</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必须更换一套新的同型号且符合相关技术性能的产品，并赔偿由此造成的经济损失。</w:t>
      </w:r>
    </w:p>
    <w:p w14:paraId="2C7B84AF">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7.验收合格后，</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应将项目有关的全部资料，包括产品相关资料、中文操作说明书、技术文档及</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要求的相关资料等，移交</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w:t>
      </w:r>
    </w:p>
    <w:p w14:paraId="78D69469">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8.验收过程中产生纠纷且无法达成一致的，由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申请提交经质量技术监督部门认定的检测机构进行检测，并由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承担检测等相关费用。</w:t>
      </w:r>
    </w:p>
    <w:p w14:paraId="6110E90A">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color w:val="auto"/>
          <w:kern w:val="0"/>
          <w:sz w:val="21"/>
          <w:szCs w:val="21"/>
          <w:highlight w:val="none"/>
          <w:vertAlign w:val="baseline"/>
          <w:lang w:val="en-US" w:eastAsia="zh-CN" w:bidi="ar"/>
        </w:rPr>
      </w:pPr>
      <w:r>
        <w:rPr>
          <w:rStyle w:val="9"/>
          <w:rFonts w:hint="eastAsia" w:ascii="宋体" w:hAnsi="宋体" w:eastAsia="宋体" w:cs="宋体"/>
          <w:b w:val="0"/>
          <w:bCs w:val="0"/>
          <w:color w:val="000000"/>
          <w:sz w:val="21"/>
          <w:szCs w:val="21"/>
          <w:highlight w:val="none"/>
          <w:lang w:val="en-US" w:eastAsia="zh-CN"/>
        </w:rPr>
        <w:t>9、本项目装修部分以《房屋建筑工程质量保修办法》（中华人民共和国建设部令第80号）为依据，质量保修未进行约定的范围按80号令执行，已明确质量保修的按约定的执行。</w:t>
      </w:r>
    </w:p>
    <w:p w14:paraId="2CE2CABE">
      <w:pPr>
        <w:pStyle w:val="7"/>
        <w:keepNext w:val="0"/>
        <w:keepLines w:val="0"/>
        <w:pageBreakBefore w:val="0"/>
        <w:widowControl/>
        <w:suppressLineNumbers w:val="0"/>
        <w:kinsoku/>
        <w:wordWrap/>
        <w:overflowPunct/>
        <w:topLinePunct w:val="0"/>
        <w:autoSpaceDE/>
        <w:autoSpaceDN/>
        <w:bidi w:val="0"/>
        <w:adjustRightInd/>
        <w:snapToGrid w:val="0"/>
        <w:spacing w:before="157" w:beforeLines="50" w:after="157" w:afterLines="50" w:line="360" w:lineRule="auto"/>
        <w:jc w:val="center"/>
        <w:textAlignment w:val="center"/>
        <w:rPr>
          <w:rStyle w:val="9"/>
          <w:rFonts w:hint="eastAsia" w:ascii="CESI黑体-GB2312" w:hAnsi="CESI黑体-GB2312" w:eastAsia="CESI黑体-GB2312" w:cs="CESI黑体-GB2312"/>
          <w:color w:val="auto"/>
          <w:kern w:val="0"/>
          <w:sz w:val="24"/>
          <w:szCs w:val="24"/>
          <w:highlight w:val="none"/>
          <w:vertAlign w:val="baseline"/>
          <w:lang w:val="en-US" w:eastAsia="zh-CN" w:bidi="ar"/>
        </w:rPr>
      </w:pPr>
      <w:r>
        <w:rPr>
          <w:rStyle w:val="9"/>
          <w:rFonts w:hint="eastAsia" w:ascii="CESI黑体-GB2312" w:hAnsi="CESI黑体-GB2312" w:eastAsia="CESI黑体-GB2312" w:cs="CESI黑体-GB2312"/>
          <w:color w:val="auto"/>
          <w:kern w:val="0"/>
          <w:sz w:val="24"/>
          <w:szCs w:val="24"/>
          <w:highlight w:val="none"/>
          <w:vertAlign w:val="baseline"/>
          <w:lang w:val="en-US" w:eastAsia="zh-CN" w:bidi="ar"/>
        </w:rPr>
        <w:t>第五节 售后服务</w:t>
      </w:r>
    </w:p>
    <w:p w14:paraId="58C8E462">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一、</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应保证产品是完全符合相应国家标准和行业标准要求，美观、牢固、耐用，且必须适应于各种特定医疗环境的使用特性和使用要求。</w:t>
      </w:r>
    </w:p>
    <w:p w14:paraId="0E67FA5F">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二、整体项目质保期要求</w:t>
      </w:r>
      <w:r>
        <w:rPr>
          <w:rStyle w:val="9"/>
          <w:rFonts w:hint="eastAsia" w:ascii="宋体" w:hAnsi="宋体" w:cs="宋体"/>
          <w:b w:val="0"/>
          <w:bCs w:val="0"/>
          <w:color w:val="000000"/>
          <w:sz w:val="21"/>
          <w:szCs w:val="21"/>
          <w:highlight w:val="none"/>
          <w:lang w:val="en-US" w:eastAsia="zh-CN"/>
        </w:rPr>
        <w:t>5</w:t>
      </w:r>
      <w:r>
        <w:rPr>
          <w:rStyle w:val="9"/>
          <w:rFonts w:hint="eastAsia" w:ascii="宋体" w:hAnsi="宋体" w:eastAsia="宋体" w:cs="宋体"/>
          <w:b w:val="0"/>
          <w:bCs w:val="0"/>
          <w:color w:val="000000"/>
          <w:sz w:val="21"/>
          <w:szCs w:val="21"/>
          <w:highlight w:val="none"/>
          <w:lang w:val="en-US" w:eastAsia="zh-CN"/>
        </w:rPr>
        <w:t>年（含所有设备）。所投产品厂家正常保修及</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承诺的质保期以质保期长的为准；超出厂家正常保修范围的，</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需向厂家购买。</w:t>
      </w:r>
    </w:p>
    <w:p w14:paraId="2ED67D31">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FF"/>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三、质保期从</w:t>
      </w:r>
      <w:r>
        <w:rPr>
          <w:rStyle w:val="9"/>
          <w:rFonts w:hint="eastAsia" w:ascii="宋体" w:hAnsi="宋体" w:eastAsia="宋体" w:cs="宋体"/>
          <w:b w:val="0"/>
          <w:bCs w:val="0"/>
          <w:color w:val="auto"/>
          <w:sz w:val="21"/>
          <w:szCs w:val="21"/>
          <w:highlight w:val="none"/>
          <w:lang w:val="en-US" w:eastAsia="zh-CN"/>
        </w:rPr>
        <w:t>终验</w:t>
      </w:r>
      <w:r>
        <w:rPr>
          <w:rStyle w:val="9"/>
          <w:rFonts w:hint="eastAsia" w:ascii="宋体" w:hAnsi="宋体" w:eastAsia="宋体" w:cs="宋体"/>
          <w:b w:val="0"/>
          <w:bCs w:val="0"/>
          <w:color w:val="000000"/>
          <w:sz w:val="21"/>
          <w:szCs w:val="21"/>
          <w:highlight w:val="none"/>
          <w:lang w:val="en-US" w:eastAsia="zh-CN"/>
        </w:rPr>
        <w:t>合格后开始计算。质保期内负责维修与更换有缺陷的货物或部件（配件），质保期内所有软件维护、升级和设备维护等要求提供上门服务。因操作失误或使用不当所引起的故障，</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应提供优质服务，仅收取需更换元器件成本费（费用按当时市场价和投标报价中的低价收取）。</w:t>
      </w:r>
    </w:p>
    <w:p w14:paraId="565E9643">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auto"/>
          <w:sz w:val="21"/>
          <w:szCs w:val="21"/>
          <w:highlight w:val="none"/>
          <w:lang w:val="en-US" w:eastAsia="zh-CN"/>
        </w:rPr>
      </w:pPr>
      <w:r>
        <w:rPr>
          <w:rStyle w:val="9"/>
          <w:rFonts w:hint="eastAsia" w:ascii="宋体" w:hAnsi="宋体" w:eastAsia="宋体" w:cs="宋体"/>
          <w:b w:val="0"/>
          <w:bCs w:val="0"/>
          <w:color w:val="auto"/>
          <w:sz w:val="21"/>
          <w:szCs w:val="21"/>
          <w:highlight w:val="none"/>
          <w:lang w:val="en-US" w:eastAsia="zh-CN"/>
        </w:rPr>
        <w:t>四、在质保期内出现任何质量问题（人为破坏或自然灾害等不可抗力除外） ，包括因产品设计、工艺、材料、配套件的缺陷等本身缺陷（非人为因素）而造成的产品质量问题或故障由</w:t>
      </w:r>
      <w:r>
        <w:rPr>
          <w:rStyle w:val="9"/>
          <w:rFonts w:hint="eastAsia" w:ascii="宋体" w:hAnsi="宋体" w:cs="宋体"/>
          <w:b w:val="0"/>
          <w:bCs w:val="0"/>
          <w:color w:val="auto"/>
          <w:sz w:val="21"/>
          <w:szCs w:val="21"/>
          <w:highlight w:val="none"/>
          <w:lang w:val="en-US" w:eastAsia="zh-CN"/>
        </w:rPr>
        <w:t>乙方</w:t>
      </w:r>
      <w:r>
        <w:rPr>
          <w:rStyle w:val="9"/>
          <w:rFonts w:hint="eastAsia" w:ascii="宋体" w:hAnsi="宋体" w:eastAsia="宋体" w:cs="宋体"/>
          <w:b w:val="0"/>
          <w:bCs w:val="0"/>
          <w:color w:val="auto"/>
          <w:sz w:val="21"/>
          <w:szCs w:val="21"/>
          <w:highlight w:val="none"/>
          <w:lang w:val="en-US" w:eastAsia="zh-CN"/>
        </w:rPr>
        <w:t>负责全部更换或维修。在质保期内，</w:t>
      </w:r>
      <w:r>
        <w:rPr>
          <w:rStyle w:val="9"/>
          <w:rFonts w:hint="eastAsia" w:ascii="宋体" w:hAnsi="宋体" w:cs="宋体"/>
          <w:b w:val="0"/>
          <w:bCs w:val="0"/>
          <w:color w:val="auto"/>
          <w:sz w:val="21"/>
          <w:szCs w:val="21"/>
          <w:highlight w:val="none"/>
          <w:lang w:val="en-US" w:eastAsia="zh-CN"/>
        </w:rPr>
        <w:t>乙方</w:t>
      </w:r>
      <w:r>
        <w:rPr>
          <w:rStyle w:val="9"/>
          <w:rFonts w:hint="eastAsia" w:ascii="宋体" w:hAnsi="宋体" w:eastAsia="宋体" w:cs="宋体"/>
          <w:b w:val="0"/>
          <w:bCs w:val="0"/>
          <w:color w:val="auto"/>
          <w:sz w:val="21"/>
          <w:szCs w:val="21"/>
          <w:highlight w:val="none"/>
          <w:lang w:val="en-US" w:eastAsia="zh-CN"/>
        </w:rPr>
        <w:t>派专业人员售后服务跟踪，如产品出现任何质量问题，</w:t>
      </w:r>
      <w:r>
        <w:rPr>
          <w:rStyle w:val="9"/>
          <w:rFonts w:hint="eastAsia" w:ascii="宋体" w:hAnsi="宋体" w:cs="宋体"/>
          <w:b w:val="0"/>
          <w:bCs w:val="0"/>
          <w:color w:val="auto"/>
          <w:sz w:val="21"/>
          <w:szCs w:val="21"/>
          <w:highlight w:val="none"/>
          <w:lang w:val="en-US" w:eastAsia="zh-CN"/>
        </w:rPr>
        <w:t>乙方</w:t>
      </w:r>
      <w:r>
        <w:rPr>
          <w:rStyle w:val="9"/>
          <w:rFonts w:hint="eastAsia" w:ascii="宋体" w:hAnsi="宋体" w:eastAsia="宋体" w:cs="宋体"/>
          <w:b w:val="0"/>
          <w:bCs w:val="0"/>
          <w:color w:val="auto"/>
          <w:sz w:val="21"/>
          <w:szCs w:val="21"/>
          <w:highlight w:val="none"/>
          <w:lang w:val="en-US" w:eastAsia="zh-CN"/>
        </w:rPr>
        <w:t>无条件提供上门服务。</w:t>
      </w:r>
    </w:p>
    <w:p w14:paraId="78E5D25B">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auto"/>
          <w:sz w:val="21"/>
          <w:szCs w:val="21"/>
          <w:highlight w:val="none"/>
          <w:lang w:val="en-US" w:eastAsia="zh-CN"/>
        </w:rPr>
        <w:t>五、</w:t>
      </w:r>
      <w:r>
        <w:rPr>
          <w:rStyle w:val="9"/>
          <w:rFonts w:hint="eastAsia" w:ascii="宋体" w:hAnsi="宋体" w:eastAsia="宋体" w:cs="宋体"/>
          <w:b w:val="0"/>
          <w:bCs w:val="0"/>
          <w:color w:val="000000"/>
          <w:sz w:val="21"/>
          <w:szCs w:val="21"/>
          <w:highlight w:val="none"/>
          <w:lang w:val="en-US" w:eastAsia="zh-CN"/>
        </w:rPr>
        <w:t>整</w:t>
      </w:r>
      <w:r>
        <w:rPr>
          <w:rStyle w:val="9"/>
          <w:rFonts w:hint="eastAsia" w:ascii="宋体" w:hAnsi="宋体" w:eastAsia="宋体" w:cs="宋体"/>
          <w:b w:val="0"/>
          <w:bCs w:val="0"/>
          <w:color w:val="auto"/>
          <w:sz w:val="21"/>
          <w:szCs w:val="21"/>
          <w:highlight w:val="none"/>
          <w:lang w:val="en-US" w:eastAsia="zh-CN"/>
        </w:rPr>
        <w:t>体项目质保期内每年对系统进行两次总体检测及维保，整体项目质保期期满前对系统进行最后一次总体检测及维保，检测结果需符合国家及行业标准；整体项目质保期内设备出现两次相同故障，</w:t>
      </w:r>
      <w:r>
        <w:rPr>
          <w:rStyle w:val="9"/>
          <w:rFonts w:hint="eastAsia" w:ascii="宋体" w:hAnsi="宋体" w:cs="宋体"/>
          <w:b w:val="0"/>
          <w:bCs w:val="0"/>
          <w:color w:val="auto"/>
          <w:sz w:val="21"/>
          <w:szCs w:val="21"/>
          <w:highlight w:val="none"/>
          <w:lang w:val="en-US" w:eastAsia="zh-CN"/>
        </w:rPr>
        <w:t>乙方</w:t>
      </w:r>
      <w:r>
        <w:rPr>
          <w:rStyle w:val="9"/>
          <w:rFonts w:hint="eastAsia" w:ascii="宋体" w:hAnsi="宋体" w:eastAsia="宋体" w:cs="宋体"/>
          <w:b w:val="0"/>
          <w:bCs w:val="0"/>
          <w:color w:val="auto"/>
          <w:sz w:val="21"/>
          <w:szCs w:val="21"/>
          <w:highlight w:val="none"/>
          <w:lang w:val="en-US" w:eastAsia="zh-CN"/>
        </w:rPr>
        <w:t>必须无条件自担费用更换新机或无条件退货；在</w:t>
      </w:r>
      <w:r>
        <w:rPr>
          <w:rStyle w:val="9"/>
          <w:rFonts w:hint="eastAsia" w:ascii="宋体" w:hAnsi="宋体" w:eastAsia="宋体" w:cs="宋体"/>
          <w:b w:val="0"/>
          <w:bCs w:val="0"/>
          <w:color w:val="000000"/>
          <w:sz w:val="21"/>
          <w:szCs w:val="21"/>
          <w:highlight w:val="none"/>
          <w:lang w:val="en-US" w:eastAsia="zh-CN"/>
        </w:rPr>
        <w:t>整体</w:t>
      </w:r>
      <w:r>
        <w:rPr>
          <w:rStyle w:val="9"/>
          <w:rFonts w:hint="eastAsia" w:ascii="宋体" w:hAnsi="宋体" w:eastAsia="宋体" w:cs="宋体"/>
          <w:b w:val="0"/>
          <w:bCs w:val="0"/>
          <w:color w:val="auto"/>
          <w:sz w:val="21"/>
          <w:szCs w:val="21"/>
          <w:highlight w:val="none"/>
          <w:lang w:val="en-US" w:eastAsia="zh-CN"/>
        </w:rPr>
        <w:t>项目质保期内，所投设备如出现检验检查结果严重偏差或设备重大质量问题等情况，</w:t>
      </w:r>
      <w:r>
        <w:rPr>
          <w:rStyle w:val="9"/>
          <w:rFonts w:hint="eastAsia" w:ascii="宋体" w:hAnsi="宋体" w:cs="宋体"/>
          <w:b w:val="0"/>
          <w:bCs w:val="0"/>
          <w:color w:val="auto"/>
          <w:sz w:val="21"/>
          <w:szCs w:val="21"/>
          <w:highlight w:val="none"/>
          <w:lang w:val="en-US" w:eastAsia="zh-CN"/>
        </w:rPr>
        <w:t>甲方</w:t>
      </w:r>
      <w:r>
        <w:rPr>
          <w:rStyle w:val="9"/>
          <w:rFonts w:hint="eastAsia" w:ascii="宋体" w:hAnsi="宋体" w:eastAsia="宋体" w:cs="宋体"/>
          <w:b w:val="0"/>
          <w:bCs w:val="0"/>
          <w:color w:val="auto"/>
          <w:sz w:val="21"/>
          <w:szCs w:val="21"/>
          <w:highlight w:val="none"/>
          <w:lang w:val="en-US" w:eastAsia="zh-CN"/>
        </w:rPr>
        <w:t>可要求无条件退货，因提供设备检验检查结果偏差或设备质量问题发生事故的由</w:t>
      </w:r>
      <w:r>
        <w:rPr>
          <w:rStyle w:val="9"/>
          <w:rFonts w:hint="eastAsia" w:ascii="宋体" w:hAnsi="宋体" w:cs="宋体"/>
          <w:b w:val="0"/>
          <w:bCs w:val="0"/>
          <w:color w:val="auto"/>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承担损失。整体</w:t>
      </w:r>
      <w:r>
        <w:rPr>
          <w:rStyle w:val="9"/>
          <w:rFonts w:hint="eastAsia" w:ascii="宋体" w:hAnsi="宋体" w:eastAsia="宋体" w:cs="宋体"/>
          <w:b w:val="0"/>
          <w:bCs w:val="0"/>
          <w:color w:val="auto"/>
          <w:sz w:val="21"/>
          <w:szCs w:val="21"/>
          <w:highlight w:val="none"/>
          <w:lang w:val="en-US" w:eastAsia="zh-CN"/>
        </w:rPr>
        <w:t>项目</w:t>
      </w:r>
      <w:r>
        <w:rPr>
          <w:rStyle w:val="9"/>
          <w:rFonts w:hint="eastAsia" w:ascii="宋体" w:hAnsi="宋体" w:eastAsia="宋体" w:cs="宋体"/>
          <w:b w:val="0"/>
          <w:bCs w:val="0"/>
          <w:color w:val="000000"/>
          <w:sz w:val="21"/>
          <w:szCs w:val="21"/>
          <w:highlight w:val="none"/>
          <w:lang w:val="en-US" w:eastAsia="zh-CN"/>
        </w:rPr>
        <w:t>质保期满后，设备终身维修、售后服务只收配件成本费（费用按当时市场价和投标报价中的低价收取）。</w:t>
      </w:r>
    </w:p>
    <w:p w14:paraId="43E18E76">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auto"/>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六、</w:t>
      </w:r>
      <w:r>
        <w:rPr>
          <w:rStyle w:val="9"/>
          <w:rFonts w:hint="eastAsia" w:ascii="宋体" w:hAnsi="宋体" w:eastAsia="宋体" w:cs="宋体"/>
          <w:b w:val="0"/>
          <w:bCs w:val="0"/>
          <w:color w:val="auto"/>
          <w:sz w:val="21"/>
          <w:szCs w:val="21"/>
          <w:highlight w:val="none"/>
          <w:lang w:val="en-US" w:eastAsia="zh-CN"/>
        </w:rPr>
        <w:t>整体项目质保期内相关设备如遇国家法规、相关标准等颁布新的法规和标准，</w:t>
      </w:r>
      <w:r>
        <w:rPr>
          <w:rStyle w:val="9"/>
          <w:rFonts w:hint="eastAsia" w:ascii="宋体" w:hAnsi="宋体" w:cs="宋体"/>
          <w:b w:val="0"/>
          <w:bCs w:val="0"/>
          <w:color w:val="auto"/>
          <w:sz w:val="21"/>
          <w:szCs w:val="21"/>
          <w:highlight w:val="none"/>
          <w:lang w:val="en-US" w:eastAsia="zh-CN"/>
        </w:rPr>
        <w:t>乙方</w:t>
      </w:r>
      <w:r>
        <w:rPr>
          <w:rStyle w:val="9"/>
          <w:rFonts w:hint="eastAsia" w:ascii="宋体" w:hAnsi="宋体" w:eastAsia="宋体" w:cs="宋体"/>
          <w:b w:val="0"/>
          <w:bCs w:val="0"/>
          <w:color w:val="auto"/>
          <w:sz w:val="21"/>
          <w:szCs w:val="21"/>
          <w:highlight w:val="none"/>
          <w:lang w:val="en-US" w:eastAsia="zh-CN"/>
        </w:rPr>
        <w:t>须同步调整，以满足新的法规和标准的需要，相关费用由</w:t>
      </w:r>
      <w:r>
        <w:rPr>
          <w:rStyle w:val="9"/>
          <w:rFonts w:hint="eastAsia" w:ascii="宋体" w:hAnsi="宋体" w:cs="宋体"/>
          <w:b w:val="0"/>
          <w:bCs w:val="0"/>
          <w:color w:val="auto"/>
          <w:sz w:val="21"/>
          <w:szCs w:val="21"/>
          <w:highlight w:val="none"/>
          <w:lang w:val="en-US" w:eastAsia="zh-CN"/>
        </w:rPr>
        <w:t>乙方</w:t>
      </w:r>
      <w:r>
        <w:rPr>
          <w:rStyle w:val="9"/>
          <w:rFonts w:hint="eastAsia" w:ascii="宋体" w:hAnsi="宋体" w:eastAsia="宋体" w:cs="宋体"/>
          <w:b w:val="0"/>
          <w:bCs w:val="0"/>
          <w:color w:val="auto"/>
          <w:sz w:val="21"/>
          <w:szCs w:val="21"/>
          <w:highlight w:val="none"/>
          <w:lang w:val="en-US" w:eastAsia="zh-CN"/>
        </w:rPr>
        <w:t>承担。</w:t>
      </w:r>
    </w:p>
    <w:p w14:paraId="5C6CF0A6">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七、本项目装修部分以《房屋建筑工程质量保修办法》（中华人民共和国建设部令第80号）为依据，质量保修未进行约定的范围按80号令执行，已明确质量保修的按约定的执行。</w:t>
      </w:r>
    </w:p>
    <w:p w14:paraId="246372F0">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八、</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负责进行设备安装、调试等工作，根据需求负责接入医院信息系统（包含信息系统接口费用）。</w:t>
      </w:r>
    </w:p>
    <w:p w14:paraId="77743AD3">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九、</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应负责对采购单位管理、操作人员培训，科学制定相配套的培训计划，对</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的使用操作人员进行切实有效的培训，确保产品能良好地运作；负责为</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建立本项目的技术档案（包括本项目的图纸、设备、材料的说明书、合格证、注册证等）；</w:t>
      </w:r>
      <w:r>
        <w:rPr>
          <w:rStyle w:val="9"/>
          <w:rFonts w:hint="eastAsia" w:ascii="宋体" w:hAnsi="宋体" w:eastAsia="宋体" w:cs="宋体"/>
          <w:b w:val="0"/>
          <w:bCs w:val="0"/>
          <w:color w:val="000000"/>
          <w:sz w:val="21"/>
          <w:szCs w:val="21"/>
          <w:highlight w:val="none"/>
          <w:lang w:val="zh-CN" w:eastAsia="zh-CN"/>
        </w:rPr>
        <w:t>培训期间</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zh-CN" w:eastAsia="zh-CN"/>
        </w:rPr>
        <w:t>提供培训资料，培训使用的培训资料应与供货设备一致，培训费用包含在合同价格中；</w:t>
      </w:r>
      <w:r>
        <w:rPr>
          <w:rStyle w:val="9"/>
          <w:rFonts w:hint="eastAsia" w:ascii="宋体" w:hAnsi="宋体" w:eastAsia="宋体" w:cs="宋体"/>
          <w:b w:val="0"/>
          <w:bCs w:val="0"/>
          <w:color w:val="000000"/>
          <w:sz w:val="21"/>
          <w:szCs w:val="21"/>
          <w:highlight w:val="none"/>
          <w:lang w:val="en-US" w:eastAsia="zh-CN"/>
        </w:rPr>
        <w:t>派驻的培训人员具有同类工程（产品）五年及以上操作和维保经验。</w:t>
      </w:r>
    </w:p>
    <w:p w14:paraId="3DCEBF78">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1、培训内容：设备及系统的操作和使用、简单故障的排除办法。</w:t>
      </w:r>
    </w:p>
    <w:p w14:paraId="379F0F3F">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2、培训目的：使操作和维修人员了解系统的基本性能、原理、常见问题，会基本操作使用，会一般故障处理，会日常维护。</w:t>
      </w:r>
    </w:p>
    <w:p w14:paraId="51B429B5">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3、培训内容：</w:t>
      </w:r>
      <w:r>
        <w:rPr>
          <w:rStyle w:val="9"/>
          <w:rFonts w:hint="eastAsia" w:ascii="宋体" w:hAnsi="宋体" w:eastAsia="宋体" w:cs="宋体"/>
          <w:b w:val="0"/>
          <w:bCs w:val="0"/>
          <w:color w:val="000000"/>
          <w:sz w:val="21"/>
          <w:szCs w:val="21"/>
          <w:highlight w:val="none"/>
          <w:lang w:val="en-US" w:eastAsia="zh-CN"/>
        </w:rPr>
        <w:tab/>
      </w:r>
    </w:p>
    <w:p w14:paraId="14733E59">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3.1设备及系统性能、情况介绍、使用说明；</w:t>
      </w:r>
    </w:p>
    <w:p w14:paraId="05666CB5">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3.2一般故障处理方法(设备、终端等故障一般处理及维修)；</w:t>
      </w:r>
    </w:p>
    <w:p w14:paraId="4CF8D5A9">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3.3安全常识介绍及答疑；</w:t>
      </w:r>
    </w:p>
    <w:p w14:paraId="5984105A">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3.4其他相关内容。</w:t>
      </w:r>
    </w:p>
    <w:p w14:paraId="77D46DAE">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4、培训对象包括但不限于操作人员和使用人员。</w:t>
      </w:r>
    </w:p>
    <w:p w14:paraId="6FC1D2C8">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5、培训时间：按</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要求开始，不少于10个课时。</w:t>
      </w:r>
    </w:p>
    <w:p w14:paraId="4CCB3C79">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十、售后服务</w:t>
      </w:r>
    </w:p>
    <w:p w14:paraId="3C6EB729">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1. 系统维护。要求提交以下内容</w:t>
      </w:r>
    </w:p>
    <w:p w14:paraId="5B6A1841">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1）对用户修改设计要求的响应措施。</w:t>
      </w:r>
    </w:p>
    <w:p w14:paraId="1E0E01A0">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2.技术支持</w:t>
      </w:r>
    </w:p>
    <w:p w14:paraId="2437524C">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1）提供7×24小时的技术咨询服务。</w:t>
      </w:r>
    </w:p>
    <w:p w14:paraId="7476C74C">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strike w:val="0"/>
          <w:color w:val="auto"/>
          <w:sz w:val="21"/>
          <w:szCs w:val="21"/>
          <w:highlight w:val="none"/>
          <w:lang w:val="en-US" w:eastAsia="zh-CN"/>
        </w:rPr>
      </w:pPr>
      <w:r>
        <w:rPr>
          <w:rStyle w:val="9"/>
          <w:rFonts w:hint="eastAsia" w:ascii="宋体" w:hAnsi="宋体" w:eastAsia="宋体" w:cs="宋体"/>
          <w:b w:val="0"/>
          <w:bCs w:val="0"/>
          <w:strike w:val="0"/>
          <w:dstrike w:val="0"/>
          <w:color w:val="auto"/>
          <w:sz w:val="21"/>
          <w:szCs w:val="21"/>
          <w:highlight w:val="none"/>
          <w:lang w:val="en-US" w:eastAsia="zh-CN"/>
        </w:rPr>
        <w:t>2）敏感时期、重大节假日有偿提供技术人员值守服务。</w:t>
      </w:r>
    </w:p>
    <w:p w14:paraId="503D78AB">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3.故障响应</w:t>
      </w:r>
    </w:p>
    <w:p w14:paraId="40738080">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1）提供7×24小时的故障服务受理。</w:t>
      </w:r>
    </w:p>
    <w:p w14:paraId="765BB4AA">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2）故障电话响应</w:t>
      </w:r>
      <w:r>
        <w:rPr>
          <w:rStyle w:val="9"/>
          <w:rFonts w:hint="eastAsia" w:ascii="宋体" w:hAnsi="宋体" w:eastAsia="宋体" w:cs="宋体"/>
          <w:b w:val="0"/>
          <w:bCs w:val="0"/>
          <w:color w:val="auto"/>
          <w:sz w:val="21"/>
          <w:szCs w:val="21"/>
          <w:highlight w:val="none"/>
          <w:lang w:val="en-US" w:eastAsia="zh-CN"/>
        </w:rPr>
        <w:t>时间不超过30分钟，解决故障时间不超过48小时</w:t>
      </w:r>
      <w:r>
        <w:rPr>
          <w:rStyle w:val="9"/>
          <w:rFonts w:hint="eastAsia" w:ascii="宋体" w:hAnsi="宋体" w:eastAsia="宋体" w:cs="宋体"/>
          <w:b w:val="0"/>
          <w:bCs w:val="0"/>
          <w:color w:val="000000"/>
          <w:sz w:val="21"/>
          <w:szCs w:val="21"/>
          <w:highlight w:val="none"/>
          <w:lang w:val="en-US" w:eastAsia="zh-CN"/>
        </w:rPr>
        <w:t>。</w:t>
      </w:r>
    </w:p>
    <w:p w14:paraId="0EEBC6DE">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auto"/>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3）备件服务：遇到重大故障，提供系统所需更换的任何备件，</w:t>
      </w:r>
      <w:r>
        <w:rPr>
          <w:rStyle w:val="9"/>
          <w:rFonts w:hint="eastAsia" w:ascii="宋体" w:hAnsi="宋体" w:eastAsia="宋体" w:cs="宋体"/>
          <w:b w:val="0"/>
          <w:bCs w:val="0"/>
          <w:color w:val="auto"/>
          <w:sz w:val="21"/>
          <w:szCs w:val="21"/>
          <w:highlight w:val="none"/>
          <w:lang w:val="en-US" w:eastAsia="zh-CN"/>
        </w:rPr>
        <w:t>备品备件由</w:t>
      </w:r>
      <w:r>
        <w:rPr>
          <w:rStyle w:val="9"/>
          <w:rFonts w:hint="eastAsia" w:ascii="宋体" w:hAnsi="宋体" w:cs="宋体"/>
          <w:b w:val="0"/>
          <w:bCs w:val="0"/>
          <w:color w:val="auto"/>
          <w:sz w:val="21"/>
          <w:szCs w:val="21"/>
          <w:highlight w:val="none"/>
          <w:lang w:val="en-US" w:eastAsia="zh-CN"/>
        </w:rPr>
        <w:t>乙方</w:t>
      </w:r>
      <w:r>
        <w:rPr>
          <w:rStyle w:val="9"/>
          <w:rFonts w:hint="eastAsia" w:ascii="宋体" w:hAnsi="宋体" w:eastAsia="宋体" w:cs="宋体"/>
          <w:b w:val="0"/>
          <w:bCs w:val="0"/>
          <w:color w:val="auto"/>
          <w:sz w:val="21"/>
          <w:szCs w:val="21"/>
          <w:highlight w:val="none"/>
          <w:lang w:val="en-US" w:eastAsia="zh-CN"/>
        </w:rPr>
        <w:t>根据项目特点及实际情况自行准备。</w:t>
      </w:r>
    </w:p>
    <w:p w14:paraId="11A4A6EE">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4）设备维修期间须提供相应的备用设备，以保证医院工作的正常进行。</w:t>
      </w:r>
    </w:p>
    <w:p w14:paraId="310CD70C">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4.售后服务违约：在质保期内，若</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未能按照合同约定的响应时间提供售后服务，导致医院医疗活动受到严重影响或造成医疗等事故的，供应商需承担相应法律责任及所有经济赔偿。</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有权视情况扣除合同金额1%～5%的款项，并保留进一步追究的权利。</w:t>
      </w:r>
    </w:p>
    <w:p w14:paraId="270260CC">
      <w:pPr>
        <w:pStyle w:val="7"/>
        <w:keepNext w:val="0"/>
        <w:keepLines w:val="0"/>
        <w:pageBreakBefore w:val="0"/>
        <w:widowControl/>
        <w:suppressLineNumbers w:val="0"/>
        <w:kinsoku/>
        <w:wordWrap/>
        <w:overflowPunct/>
        <w:topLinePunct w:val="0"/>
        <w:autoSpaceDE/>
        <w:autoSpaceDN/>
        <w:bidi w:val="0"/>
        <w:adjustRightInd/>
        <w:snapToGrid w:val="0"/>
        <w:spacing w:before="157" w:beforeLines="50" w:after="157" w:afterLines="50" w:line="360" w:lineRule="auto"/>
        <w:jc w:val="center"/>
        <w:textAlignment w:val="center"/>
        <w:rPr>
          <w:rStyle w:val="9"/>
          <w:rFonts w:hint="eastAsia" w:ascii="CESI黑体-GB2312" w:hAnsi="CESI黑体-GB2312" w:eastAsia="CESI黑体-GB2312" w:cs="CESI黑体-GB2312"/>
          <w:color w:val="auto"/>
          <w:kern w:val="0"/>
          <w:sz w:val="24"/>
          <w:szCs w:val="24"/>
          <w:highlight w:val="none"/>
          <w:vertAlign w:val="baseline"/>
          <w:lang w:val="en-US" w:eastAsia="zh-CN" w:bidi="ar"/>
        </w:rPr>
      </w:pPr>
      <w:r>
        <w:rPr>
          <w:rStyle w:val="9"/>
          <w:rFonts w:hint="eastAsia" w:ascii="CESI黑体-GB2312" w:hAnsi="CESI黑体-GB2312" w:eastAsia="CESI黑体-GB2312" w:cs="CESI黑体-GB2312"/>
          <w:color w:val="auto"/>
          <w:kern w:val="0"/>
          <w:sz w:val="24"/>
          <w:szCs w:val="24"/>
          <w:highlight w:val="none"/>
          <w:vertAlign w:val="baseline"/>
          <w:lang w:val="en-US" w:eastAsia="zh-CN" w:bidi="ar"/>
        </w:rPr>
        <w:t>第六节 其他要求</w:t>
      </w:r>
    </w:p>
    <w:p w14:paraId="65130CDF">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zh-TW" w:eastAsia="zh-CN"/>
        </w:rPr>
      </w:pPr>
      <w:r>
        <w:rPr>
          <w:rStyle w:val="9"/>
          <w:rFonts w:hint="eastAsia" w:ascii="宋体" w:hAnsi="宋体" w:eastAsia="宋体" w:cs="宋体"/>
          <w:b w:val="0"/>
          <w:bCs w:val="0"/>
          <w:color w:val="000000"/>
          <w:sz w:val="21"/>
          <w:szCs w:val="21"/>
          <w:highlight w:val="none"/>
          <w:lang w:val="en-US" w:eastAsia="zh-CN"/>
        </w:rPr>
        <w:t>一、</w:t>
      </w:r>
      <w:r>
        <w:rPr>
          <w:rStyle w:val="9"/>
          <w:rFonts w:hint="eastAsia" w:ascii="宋体" w:hAnsi="宋体" w:eastAsia="宋体" w:cs="宋体"/>
          <w:b w:val="0"/>
          <w:bCs w:val="0"/>
          <w:color w:val="000000"/>
          <w:sz w:val="21"/>
          <w:szCs w:val="21"/>
          <w:highlight w:val="none"/>
          <w:lang w:val="zh-TW" w:eastAsia="zh-CN"/>
        </w:rPr>
        <w:t>交付及实施的时间和地点</w:t>
      </w:r>
    </w:p>
    <w:p w14:paraId="2BDF178B">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auto"/>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1.交货及实施时间：合同签订后，</w:t>
      </w:r>
      <w:r>
        <w:rPr>
          <w:rStyle w:val="9"/>
          <w:rFonts w:hint="eastAsia" w:ascii="宋体" w:hAnsi="宋体" w:eastAsia="宋体" w:cs="宋体"/>
          <w:b w:val="0"/>
          <w:bCs w:val="0"/>
          <w:color w:val="auto"/>
          <w:kern w:val="2"/>
          <w:sz w:val="21"/>
          <w:szCs w:val="21"/>
          <w:highlight w:val="none"/>
        </w:rPr>
        <w:t>以</w:t>
      </w:r>
      <w:r>
        <w:rPr>
          <w:rStyle w:val="9"/>
          <w:rFonts w:hint="eastAsia" w:ascii="宋体" w:hAnsi="宋体" w:cs="宋体"/>
          <w:b w:val="0"/>
          <w:bCs w:val="0"/>
          <w:color w:val="auto"/>
          <w:kern w:val="2"/>
          <w:sz w:val="21"/>
          <w:szCs w:val="21"/>
          <w:highlight w:val="none"/>
          <w:lang w:val="en-US" w:eastAsia="zh-CN"/>
        </w:rPr>
        <w:t>甲方</w:t>
      </w:r>
      <w:r>
        <w:rPr>
          <w:rStyle w:val="9"/>
          <w:rFonts w:hint="eastAsia" w:ascii="宋体" w:hAnsi="宋体" w:eastAsia="宋体" w:cs="宋体"/>
          <w:b w:val="0"/>
          <w:bCs w:val="0"/>
          <w:color w:val="auto"/>
          <w:kern w:val="2"/>
          <w:sz w:val="21"/>
          <w:szCs w:val="21"/>
          <w:highlight w:val="none"/>
        </w:rPr>
        <w:t>通知进场日算起</w:t>
      </w:r>
      <w:r>
        <w:rPr>
          <w:rStyle w:val="9"/>
          <w:rFonts w:hint="eastAsia" w:ascii="宋体" w:hAnsi="宋体" w:eastAsia="宋体" w:cs="宋体"/>
          <w:b w:val="0"/>
          <w:bCs w:val="0"/>
          <w:color w:val="auto"/>
          <w:kern w:val="2"/>
          <w:sz w:val="21"/>
          <w:szCs w:val="21"/>
          <w:highlight w:val="none"/>
          <w:lang w:eastAsia="zh-CN"/>
        </w:rPr>
        <w:t>，</w:t>
      </w:r>
      <w:r>
        <w:rPr>
          <w:rStyle w:val="9"/>
          <w:rFonts w:hint="eastAsia" w:ascii="宋体" w:hAnsi="宋体" w:eastAsia="宋体" w:cs="宋体"/>
          <w:b w:val="0"/>
          <w:bCs w:val="0"/>
          <w:color w:val="auto"/>
          <w:sz w:val="21"/>
          <w:szCs w:val="21"/>
          <w:highlight w:val="none"/>
          <w:lang w:val="en-US" w:eastAsia="zh-CN"/>
        </w:rPr>
        <w:t>100天（日历天）内交货，并安装调试完毕。</w:t>
      </w:r>
    </w:p>
    <w:p w14:paraId="346325A2">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auto"/>
          <w:sz w:val="21"/>
          <w:szCs w:val="21"/>
          <w:highlight w:val="none"/>
          <w:lang w:val="en-US" w:eastAsia="zh-CN"/>
        </w:rPr>
      </w:pPr>
      <w:r>
        <w:rPr>
          <w:rStyle w:val="9"/>
          <w:rFonts w:hint="eastAsia" w:ascii="宋体" w:hAnsi="宋体" w:eastAsia="宋体" w:cs="宋体"/>
          <w:b w:val="0"/>
          <w:bCs w:val="0"/>
          <w:color w:val="auto"/>
          <w:sz w:val="21"/>
          <w:szCs w:val="21"/>
          <w:highlight w:val="none"/>
          <w:lang w:val="en-US" w:eastAsia="zh-CN"/>
        </w:rPr>
        <w:t>2.交货地点：</w:t>
      </w:r>
      <w:r>
        <w:rPr>
          <w:rStyle w:val="9"/>
          <w:rFonts w:hint="eastAsia" w:ascii="宋体" w:hAnsi="宋体" w:cs="宋体"/>
          <w:b w:val="0"/>
          <w:bCs w:val="0"/>
          <w:color w:val="auto"/>
          <w:sz w:val="21"/>
          <w:szCs w:val="21"/>
          <w:highlight w:val="none"/>
          <w:lang w:val="en-US" w:eastAsia="zh-CN"/>
        </w:rPr>
        <w:t>乙方</w:t>
      </w:r>
      <w:r>
        <w:rPr>
          <w:rStyle w:val="9"/>
          <w:rFonts w:hint="eastAsia" w:ascii="宋体" w:hAnsi="宋体" w:eastAsia="宋体" w:cs="宋体"/>
          <w:b w:val="0"/>
          <w:bCs w:val="0"/>
          <w:color w:val="auto"/>
          <w:sz w:val="21"/>
          <w:szCs w:val="21"/>
          <w:highlight w:val="none"/>
          <w:lang w:val="en-US" w:eastAsia="zh-CN"/>
        </w:rPr>
        <w:t>按要求将各货品送至</w:t>
      </w:r>
      <w:r>
        <w:rPr>
          <w:rStyle w:val="9"/>
          <w:rFonts w:hint="eastAsia" w:ascii="宋体" w:hAnsi="宋体" w:cs="宋体"/>
          <w:b w:val="0"/>
          <w:bCs w:val="0"/>
          <w:color w:val="auto"/>
          <w:sz w:val="21"/>
          <w:szCs w:val="21"/>
          <w:highlight w:val="none"/>
          <w:lang w:val="en-US" w:eastAsia="zh-CN"/>
        </w:rPr>
        <w:t>甲方</w:t>
      </w:r>
      <w:r>
        <w:rPr>
          <w:rStyle w:val="9"/>
          <w:rFonts w:hint="eastAsia" w:ascii="宋体" w:hAnsi="宋体" w:eastAsia="宋体" w:cs="宋体"/>
          <w:b w:val="0"/>
          <w:bCs w:val="0"/>
          <w:color w:val="auto"/>
          <w:sz w:val="21"/>
          <w:szCs w:val="21"/>
          <w:highlight w:val="none"/>
          <w:lang w:val="en-US" w:eastAsia="zh-CN"/>
        </w:rPr>
        <w:t>指定地点并完成安装、调试。</w:t>
      </w:r>
    </w:p>
    <w:p w14:paraId="24A796C5">
      <w:pPr>
        <w:pStyle w:val="7"/>
        <w:keepNext/>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outlineLvl w:val="9"/>
        <w:rPr>
          <w:rStyle w:val="9"/>
          <w:rFonts w:hint="eastAsia" w:ascii="宋体" w:hAnsi="宋体" w:eastAsia="宋体" w:cs="宋体"/>
          <w:b w:val="0"/>
          <w:bCs w:val="0"/>
          <w:color w:val="auto"/>
          <w:kern w:val="2"/>
          <w:sz w:val="21"/>
          <w:szCs w:val="21"/>
          <w:highlight w:val="none"/>
          <w:lang w:val="en-US" w:eastAsia="zh-CN" w:bidi="ar-SA"/>
        </w:rPr>
      </w:pPr>
      <w:bookmarkStart w:id="0" w:name="_Toc256000018"/>
      <w:r>
        <w:rPr>
          <w:rStyle w:val="9"/>
          <w:rFonts w:hint="eastAsia" w:ascii="宋体" w:hAnsi="宋体" w:eastAsia="宋体" w:cs="宋体"/>
          <w:b w:val="0"/>
          <w:bCs w:val="0"/>
          <w:color w:val="auto"/>
          <w:kern w:val="2"/>
          <w:sz w:val="21"/>
          <w:szCs w:val="21"/>
          <w:highlight w:val="none"/>
          <w:lang w:val="en-US" w:eastAsia="zh-CN" w:bidi="ar-SA"/>
        </w:rPr>
        <w:t>二、</w:t>
      </w:r>
      <w:r>
        <w:rPr>
          <w:rStyle w:val="9"/>
          <w:rFonts w:hint="eastAsia" w:ascii="宋体" w:hAnsi="宋体" w:eastAsia="宋体" w:cs="宋体"/>
          <w:b w:val="0"/>
          <w:bCs w:val="0"/>
          <w:color w:val="auto"/>
          <w:kern w:val="2"/>
          <w:sz w:val="21"/>
          <w:szCs w:val="21"/>
          <w:highlight w:val="none"/>
          <w:lang w:val="zh-TW" w:eastAsia="zh-CN" w:bidi="ar-SA"/>
        </w:rPr>
        <w:t>支付方式和条件：</w:t>
      </w:r>
      <w:bookmarkEnd w:id="0"/>
    </w:p>
    <w:p w14:paraId="1FD776B5">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auto"/>
          <w:sz w:val="21"/>
          <w:szCs w:val="21"/>
          <w:highlight w:val="none"/>
          <w:lang w:val="en-US" w:eastAsia="zh-CN"/>
        </w:rPr>
      </w:pPr>
      <w:r>
        <w:rPr>
          <w:rStyle w:val="9"/>
          <w:rFonts w:hint="eastAsia" w:ascii="宋体" w:hAnsi="宋体" w:eastAsia="宋体" w:cs="宋体"/>
          <w:b w:val="0"/>
          <w:bCs w:val="0"/>
          <w:color w:val="auto"/>
          <w:sz w:val="21"/>
          <w:szCs w:val="21"/>
          <w:highlight w:val="none"/>
          <w:lang w:val="en-US" w:eastAsia="zh-CN"/>
        </w:rPr>
        <w:t>1.付款方式：签订合同并完成项目技术交底后（由监理单位提供技术交底会议纪要），经</w:t>
      </w:r>
      <w:r>
        <w:rPr>
          <w:rStyle w:val="9"/>
          <w:rFonts w:hint="eastAsia" w:ascii="宋体" w:hAnsi="宋体" w:cs="宋体"/>
          <w:b w:val="0"/>
          <w:bCs w:val="0"/>
          <w:color w:val="auto"/>
          <w:sz w:val="21"/>
          <w:szCs w:val="21"/>
          <w:highlight w:val="none"/>
          <w:lang w:val="en-US" w:eastAsia="zh-CN"/>
        </w:rPr>
        <w:t>甲方</w:t>
      </w:r>
      <w:r>
        <w:rPr>
          <w:rStyle w:val="9"/>
          <w:rFonts w:hint="eastAsia" w:ascii="宋体" w:hAnsi="宋体" w:eastAsia="宋体" w:cs="宋体"/>
          <w:b w:val="0"/>
          <w:bCs w:val="0"/>
          <w:color w:val="auto"/>
          <w:sz w:val="21"/>
          <w:szCs w:val="21"/>
          <w:highlight w:val="none"/>
          <w:lang w:val="en-US" w:eastAsia="zh-CN"/>
        </w:rPr>
        <w:t>认定的主要设备经</w:t>
      </w:r>
      <w:r>
        <w:rPr>
          <w:rStyle w:val="9"/>
          <w:rFonts w:hint="eastAsia" w:ascii="宋体" w:hAnsi="宋体" w:cs="宋体"/>
          <w:b w:val="0"/>
          <w:bCs w:val="0"/>
          <w:color w:val="auto"/>
          <w:sz w:val="21"/>
          <w:szCs w:val="21"/>
          <w:highlight w:val="none"/>
          <w:lang w:val="en-US" w:eastAsia="zh-CN"/>
        </w:rPr>
        <w:t>甲方</w:t>
      </w:r>
      <w:r>
        <w:rPr>
          <w:rStyle w:val="9"/>
          <w:rFonts w:hint="eastAsia" w:ascii="宋体" w:hAnsi="宋体" w:eastAsia="宋体" w:cs="宋体"/>
          <w:b w:val="0"/>
          <w:bCs w:val="0"/>
          <w:color w:val="auto"/>
          <w:sz w:val="21"/>
          <w:szCs w:val="21"/>
          <w:highlight w:val="none"/>
          <w:lang w:val="en-US" w:eastAsia="zh-CN"/>
        </w:rPr>
        <w:t>现场到货验收合格后，支付至合同总金额的20%；</w:t>
      </w:r>
      <w:r>
        <w:rPr>
          <w:rStyle w:val="9"/>
          <w:rFonts w:hint="eastAsia" w:ascii="宋体" w:hAnsi="宋体" w:cs="宋体"/>
          <w:b w:val="0"/>
          <w:bCs w:val="0"/>
          <w:color w:val="auto"/>
          <w:sz w:val="21"/>
          <w:szCs w:val="21"/>
          <w:highlight w:val="none"/>
          <w:lang w:val="en-US" w:eastAsia="zh-CN"/>
        </w:rPr>
        <w:t>乙方</w:t>
      </w:r>
      <w:r>
        <w:rPr>
          <w:rStyle w:val="9"/>
          <w:rFonts w:hint="eastAsia" w:ascii="宋体" w:hAnsi="宋体" w:eastAsia="宋体" w:cs="宋体"/>
          <w:b w:val="0"/>
          <w:bCs w:val="0"/>
          <w:color w:val="auto"/>
          <w:sz w:val="21"/>
          <w:szCs w:val="21"/>
          <w:highlight w:val="none"/>
          <w:lang w:val="en-US" w:eastAsia="zh-CN"/>
        </w:rPr>
        <w:t>在试运行3个月后提交书面验收申请，</w:t>
      </w:r>
      <w:r>
        <w:rPr>
          <w:rStyle w:val="9"/>
          <w:rFonts w:hint="eastAsia" w:ascii="宋体" w:hAnsi="宋体" w:cs="宋体"/>
          <w:b w:val="0"/>
          <w:bCs w:val="0"/>
          <w:color w:val="auto"/>
          <w:sz w:val="21"/>
          <w:szCs w:val="21"/>
          <w:highlight w:val="none"/>
          <w:lang w:val="en-US" w:eastAsia="zh-CN"/>
        </w:rPr>
        <w:t>甲方</w:t>
      </w:r>
      <w:r>
        <w:rPr>
          <w:rStyle w:val="9"/>
          <w:rFonts w:hint="eastAsia" w:ascii="宋体" w:hAnsi="宋体" w:eastAsia="宋体" w:cs="宋体"/>
          <w:b w:val="0"/>
          <w:bCs w:val="0"/>
          <w:color w:val="auto"/>
          <w:sz w:val="21"/>
          <w:szCs w:val="21"/>
          <w:highlight w:val="none"/>
          <w:lang w:val="en-US" w:eastAsia="zh-CN"/>
        </w:rPr>
        <w:t>组织终验合格后，支付至合同总金额的80%，</w:t>
      </w:r>
      <w:r>
        <w:rPr>
          <w:rStyle w:val="9"/>
          <w:rFonts w:hint="eastAsia" w:ascii="宋体" w:hAnsi="宋体" w:cs="宋体"/>
          <w:b w:val="0"/>
          <w:bCs w:val="0"/>
          <w:color w:val="auto"/>
          <w:sz w:val="21"/>
          <w:szCs w:val="21"/>
          <w:highlight w:val="none"/>
          <w:lang w:val="en-US" w:eastAsia="zh-CN"/>
        </w:rPr>
        <w:t>甲方</w:t>
      </w:r>
      <w:r>
        <w:rPr>
          <w:rStyle w:val="9"/>
          <w:rFonts w:hint="eastAsia" w:ascii="宋体" w:hAnsi="宋体" w:eastAsia="宋体" w:cs="宋体"/>
          <w:b w:val="0"/>
          <w:bCs w:val="0"/>
          <w:color w:val="auto"/>
          <w:sz w:val="21"/>
          <w:szCs w:val="21"/>
          <w:highlight w:val="none"/>
          <w:lang w:val="en-US" w:eastAsia="zh-CN"/>
        </w:rPr>
        <w:t>组织结算评审，待结算评审报告出具后支付至结算评审价格的95%，整体质保期满后经</w:t>
      </w:r>
      <w:r>
        <w:rPr>
          <w:rStyle w:val="9"/>
          <w:rFonts w:hint="eastAsia" w:ascii="宋体" w:hAnsi="宋体" w:cs="宋体"/>
          <w:b w:val="0"/>
          <w:bCs w:val="0"/>
          <w:color w:val="auto"/>
          <w:sz w:val="21"/>
          <w:szCs w:val="21"/>
          <w:highlight w:val="none"/>
          <w:lang w:val="en-US" w:eastAsia="zh-CN"/>
        </w:rPr>
        <w:t>甲方</w:t>
      </w:r>
      <w:r>
        <w:rPr>
          <w:rStyle w:val="9"/>
          <w:rFonts w:hint="eastAsia" w:ascii="宋体" w:hAnsi="宋体" w:eastAsia="宋体" w:cs="宋体"/>
          <w:b w:val="0"/>
          <w:bCs w:val="0"/>
          <w:color w:val="auto"/>
          <w:sz w:val="21"/>
          <w:szCs w:val="21"/>
          <w:highlight w:val="none"/>
          <w:lang w:val="en-US" w:eastAsia="zh-CN"/>
        </w:rPr>
        <w:t>再次验收合格，如无质量问题或有质量问题得到解决后，支付至结算评审价格的100%。每次款项支付均需在</w:t>
      </w:r>
      <w:r>
        <w:rPr>
          <w:rStyle w:val="9"/>
          <w:rFonts w:hint="eastAsia" w:ascii="宋体" w:hAnsi="宋体" w:cs="宋体"/>
          <w:b w:val="0"/>
          <w:bCs w:val="0"/>
          <w:color w:val="auto"/>
          <w:sz w:val="21"/>
          <w:szCs w:val="21"/>
          <w:highlight w:val="none"/>
          <w:lang w:val="en-US" w:eastAsia="zh-CN"/>
        </w:rPr>
        <w:t>甲方</w:t>
      </w:r>
      <w:r>
        <w:rPr>
          <w:rStyle w:val="9"/>
          <w:rFonts w:hint="eastAsia" w:ascii="宋体" w:hAnsi="宋体" w:eastAsia="宋体" w:cs="宋体"/>
          <w:b w:val="0"/>
          <w:bCs w:val="0"/>
          <w:color w:val="auto"/>
          <w:sz w:val="21"/>
          <w:szCs w:val="21"/>
          <w:highlight w:val="none"/>
          <w:lang w:val="en-US" w:eastAsia="zh-CN"/>
        </w:rPr>
        <w:t>完成付款审批流程后实施。</w:t>
      </w:r>
    </w:p>
    <w:p w14:paraId="05515E6A">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auto"/>
          <w:sz w:val="21"/>
          <w:szCs w:val="21"/>
          <w:highlight w:val="none"/>
          <w:lang w:val="en-US" w:eastAsia="zh-CN"/>
        </w:rPr>
      </w:pPr>
      <w:r>
        <w:rPr>
          <w:rStyle w:val="9"/>
          <w:rFonts w:hint="eastAsia" w:ascii="宋体" w:hAnsi="宋体" w:eastAsia="宋体" w:cs="宋体"/>
          <w:b w:val="0"/>
          <w:bCs w:val="0"/>
          <w:color w:val="auto"/>
          <w:sz w:val="21"/>
          <w:szCs w:val="21"/>
          <w:highlight w:val="none"/>
          <w:lang w:val="en-US" w:eastAsia="zh-CN"/>
        </w:rPr>
        <w:t>2.</w:t>
      </w:r>
      <w:r>
        <w:rPr>
          <w:rStyle w:val="9"/>
          <w:rFonts w:hint="eastAsia" w:ascii="宋体" w:hAnsi="宋体" w:cs="宋体"/>
          <w:b w:val="0"/>
          <w:bCs w:val="0"/>
          <w:color w:val="auto"/>
          <w:sz w:val="21"/>
          <w:szCs w:val="21"/>
          <w:highlight w:val="none"/>
          <w:lang w:val="en-US" w:eastAsia="zh-CN"/>
        </w:rPr>
        <w:t>乙方</w:t>
      </w:r>
      <w:r>
        <w:rPr>
          <w:rStyle w:val="9"/>
          <w:rFonts w:hint="eastAsia" w:ascii="宋体" w:hAnsi="宋体" w:eastAsia="宋体" w:cs="宋体"/>
          <w:b w:val="0"/>
          <w:bCs w:val="0"/>
          <w:color w:val="auto"/>
          <w:sz w:val="21"/>
          <w:szCs w:val="21"/>
          <w:highlight w:val="none"/>
          <w:lang w:val="en-US" w:eastAsia="zh-CN"/>
        </w:rPr>
        <w:t>同时提供等额的正规税务发票；合同剩余款项在整体质保期不计息，凭</w:t>
      </w:r>
      <w:r>
        <w:rPr>
          <w:rStyle w:val="9"/>
          <w:rFonts w:hint="eastAsia" w:ascii="宋体" w:hAnsi="宋体" w:cs="宋体"/>
          <w:b w:val="0"/>
          <w:bCs w:val="0"/>
          <w:color w:val="auto"/>
          <w:sz w:val="21"/>
          <w:szCs w:val="21"/>
          <w:highlight w:val="none"/>
          <w:lang w:val="en-US" w:eastAsia="zh-CN"/>
        </w:rPr>
        <w:t>乙方</w:t>
      </w:r>
      <w:r>
        <w:rPr>
          <w:rStyle w:val="9"/>
          <w:rFonts w:hint="eastAsia" w:ascii="宋体" w:hAnsi="宋体" w:eastAsia="宋体" w:cs="宋体"/>
          <w:b w:val="0"/>
          <w:bCs w:val="0"/>
          <w:color w:val="auto"/>
          <w:sz w:val="21"/>
          <w:szCs w:val="21"/>
          <w:highlight w:val="none"/>
          <w:lang w:val="en-US" w:eastAsia="zh-CN"/>
        </w:rPr>
        <w:t>开具的正式税务发票付款。</w:t>
      </w:r>
    </w:p>
    <w:p w14:paraId="72B60F5A">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auto"/>
          <w:sz w:val="21"/>
          <w:szCs w:val="21"/>
          <w:highlight w:val="none"/>
          <w:lang w:val="en-US" w:eastAsia="zh-CN"/>
        </w:rPr>
      </w:pPr>
      <w:r>
        <w:rPr>
          <w:rStyle w:val="9"/>
          <w:rFonts w:hint="eastAsia" w:ascii="宋体" w:hAnsi="宋体" w:eastAsia="宋体" w:cs="宋体"/>
          <w:b w:val="0"/>
          <w:bCs w:val="0"/>
          <w:color w:val="auto"/>
          <w:sz w:val="21"/>
          <w:szCs w:val="21"/>
          <w:highlight w:val="none"/>
          <w:lang w:val="en-US" w:eastAsia="zh-CN"/>
        </w:rPr>
        <w:t>3.支付凭证：双方签订的合同、验收合格证明文件和</w:t>
      </w:r>
      <w:r>
        <w:rPr>
          <w:rStyle w:val="9"/>
          <w:rFonts w:hint="eastAsia" w:ascii="宋体" w:hAnsi="宋体" w:cs="宋体"/>
          <w:b w:val="0"/>
          <w:bCs w:val="0"/>
          <w:color w:val="auto"/>
          <w:sz w:val="21"/>
          <w:szCs w:val="21"/>
          <w:highlight w:val="none"/>
          <w:lang w:val="en-US" w:eastAsia="zh-CN"/>
        </w:rPr>
        <w:t>乙方</w:t>
      </w:r>
      <w:r>
        <w:rPr>
          <w:rStyle w:val="9"/>
          <w:rFonts w:hint="eastAsia" w:ascii="宋体" w:hAnsi="宋体" w:eastAsia="宋体" w:cs="宋体"/>
          <w:b w:val="0"/>
          <w:bCs w:val="0"/>
          <w:color w:val="auto"/>
          <w:sz w:val="21"/>
          <w:szCs w:val="21"/>
          <w:highlight w:val="none"/>
          <w:lang w:val="en-US" w:eastAsia="zh-CN"/>
        </w:rPr>
        <w:t>开具的税务发票。</w:t>
      </w:r>
    </w:p>
    <w:p w14:paraId="7E82AACE">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auto"/>
          <w:sz w:val="21"/>
          <w:szCs w:val="21"/>
          <w:highlight w:val="none"/>
          <w:lang w:val="en-US" w:eastAsia="zh-CN"/>
        </w:rPr>
      </w:pPr>
      <w:r>
        <w:rPr>
          <w:rStyle w:val="9"/>
          <w:rFonts w:hint="eastAsia" w:ascii="宋体" w:hAnsi="宋体" w:eastAsia="宋体" w:cs="宋体"/>
          <w:b w:val="0"/>
          <w:bCs w:val="0"/>
          <w:color w:val="auto"/>
          <w:sz w:val="21"/>
          <w:szCs w:val="21"/>
          <w:highlight w:val="none"/>
          <w:lang w:val="en-US" w:eastAsia="zh-CN"/>
        </w:rPr>
        <w:t>4.付款特别说明：本项目的最终付款进度以财政资金拨付到位为准。因项目整体进度或财政资金到位延缓等，而影响</w:t>
      </w:r>
      <w:r>
        <w:rPr>
          <w:rStyle w:val="9"/>
          <w:rFonts w:hint="eastAsia" w:ascii="宋体" w:hAnsi="宋体" w:cs="宋体"/>
          <w:b w:val="0"/>
          <w:bCs w:val="0"/>
          <w:color w:val="auto"/>
          <w:sz w:val="21"/>
          <w:szCs w:val="21"/>
          <w:highlight w:val="none"/>
          <w:lang w:val="en-US" w:eastAsia="zh-CN"/>
        </w:rPr>
        <w:t>甲方</w:t>
      </w:r>
      <w:r>
        <w:rPr>
          <w:rStyle w:val="9"/>
          <w:rFonts w:hint="eastAsia" w:ascii="宋体" w:hAnsi="宋体" w:eastAsia="宋体" w:cs="宋体"/>
          <w:b w:val="0"/>
          <w:bCs w:val="0"/>
          <w:color w:val="auto"/>
          <w:sz w:val="21"/>
          <w:szCs w:val="21"/>
          <w:highlight w:val="none"/>
          <w:lang w:val="en-US" w:eastAsia="zh-CN"/>
        </w:rPr>
        <w:t>支付，</w:t>
      </w:r>
      <w:r>
        <w:rPr>
          <w:rStyle w:val="9"/>
          <w:rFonts w:hint="eastAsia" w:ascii="宋体" w:hAnsi="宋体" w:cs="宋体"/>
          <w:b w:val="0"/>
          <w:bCs w:val="0"/>
          <w:color w:val="auto"/>
          <w:sz w:val="21"/>
          <w:szCs w:val="21"/>
          <w:highlight w:val="none"/>
          <w:lang w:val="en-US" w:eastAsia="zh-CN"/>
        </w:rPr>
        <w:t>甲方</w:t>
      </w:r>
      <w:r>
        <w:rPr>
          <w:rStyle w:val="9"/>
          <w:rFonts w:hint="eastAsia" w:ascii="宋体" w:hAnsi="宋体" w:eastAsia="宋体" w:cs="宋体"/>
          <w:b w:val="0"/>
          <w:bCs w:val="0"/>
          <w:color w:val="auto"/>
          <w:sz w:val="21"/>
          <w:szCs w:val="21"/>
          <w:highlight w:val="none"/>
          <w:lang w:val="en-US" w:eastAsia="zh-CN"/>
        </w:rPr>
        <w:t>不承担任何违约或赔偿责任，</w:t>
      </w:r>
      <w:r>
        <w:rPr>
          <w:rStyle w:val="9"/>
          <w:rFonts w:hint="eastAsia" w:ascii="宋体" w:hAnsi="宋体" w:cs="宋体"/>
          <w:b w:val="0"/>
          <w:bCs w:val="0"/>
          <w:color w:val="auto"/>
          <w:sz w:val="21"/>
          <w:szCs w:val="21"/>
          <w:highlight w:val="none"/>
          <w:lang w:val="en-US" w:eastAsia="zh-CN"/>
        </w:rPr>
        <w:t>乙方</w:t>
      </w:r>
      <w:r>
        <w:rPr>
          <w:rStyle w:val="9"/>
          <w:rFonts w:hint="eastAsia" w:ascii="宋体" w:hAnsi="宋体" w:eastAsia="宋体" w:cs="宋体"/>
          <w:b w:val="0"/>
          <w:bCs w:val="0"/>
          <w:color w:val="auto"/>
          <w:sz w:val="21"/>
          <w:szCs w:val="21"/>
          <w:highlight w:val="none"/>
          <w:lang w:val="en-US" w:eastAsia="zh-CN"/>
        </w:rPr>
        <w:t>应结合项目实际及自身情况进行承诺响应。</w:t>
      </w:r>
    </w:p>
    <w:p w14:paraId="11EBCB90">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三、违约处置：若</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未能按照合同约定的送货及实施时间完成相应工作，每逾期一日，应按照200元/日向</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支付违约金。逾期超过30日的，</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应承担因延迟给</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造成的全部直接损失，包括但不限于因项目延误对医疗业务开展的影响损失等。</w:t>
      </w:r>
      <w:r>
        <w:rPr>
          <w:rStyle w:val="9"/>
          <w:rFonts w:hint="eastAsia" w:ascii="宋体" w:hAnsi="宋体" w:eastAsia="宋体" w:cs="宋体"/>
          <w:b w:val="0"/>
          <w:bCs w:val="0"/>
          <w:color w:val="000000"/>
          <w:sz w:val="21"/>
          <w:szCs w:val="21"/>
          <w:highlight w:val="none"/>
          <w:shd w:val="clear" w:color="auto" w:fill="auto"/>
          <w:lang w:val="en-US" w:eastAsia="zh-CN"/>
        </w:rPr>
        <w:t>如非</w:t>
      </w:r>
      <w:r>
        <w:rPr>
          <w:rStyle w:val="9"/>
          <w:rFonts w:hint="eastAsia" w:ascii="宋体" w:hAnsi="宋体" w:cs="宋体"/>
          <w:b w:val="0"/>
          <w:bCs w:val="0"/>
          <w:color w:val="000000"/>
          <w:sz w:val="21"/>
          <w:szCs w:val="21"/>
          <w:highlight w:val="none"/>
          <w:shd w:val="clear" w:color="auto" w:fill="auto"/>
          <w:lang w:val="en-US" w:eastAsia="zh-CN"/>
        </w:rPr>
        <w:t>乙方</w:t>
      </w:r>
      <w:r>
        <w:rPr>
          <w:rStyle w:val="9"/>
          <w:rFonts w:hint="eastAsia" w:ascii="宋体" w:hAnsi="宋体" w:eastAsia="宋体" w:cs="宋体"/>
          <w:b w:val="0"/>
          <w:bCs w:val="0"/>
          <w:color w:val="000000"/>
          <w:sz w:val="21"/>
          <w:szCs w:val="21"/>
          <w:highlight w:val="none"/>
          <w:shd w:val="clear" w:color="auto" w:fill="auto"/>
          <w:lang w:val="en-US" w:eastAsia="zh-CN"/>
        </w:rPr>
        <w:t>因素导致延期，</w:t>
      </w:r>
      <w:r>
        <w:rPr>
          <w:rStyle w:val="9"/>
          <w:rFonts w:hint="eastAsia" w:ascii="宋体" w:hAnsi="宋体" w:cs="宋体"/>
          <w:b w:val="0"/>
          <w:bCs w:val="0"/>
          <w:color w:val="000000"/>
          <w:sz w:val="21"/>
          <w:szCs w:val="21"/>
          <w:highlight w:val="none"/>
          <w:shd w:val="clear" w:color="auto" w:fill="auto"/>
          <w:lang w:val="en-US" w:eastAsia="zh-CN"/>
        </w:rPr>
        <w:t>乙方</w:t>
      </w:r>
      <w:r>
        <w:rPr>
          <w:rStyle w:val="9"/>
          <w:rFonts w:hint="eastAsia" w:ascii="宋体" w:hAnsi="宋体" w:eastAsia="宋体" w:cs="宋体"/>
          <w:b w:val="0"/>
          <w:bCs w:val="0"/>
          <w:color w:val="000000"/>
          <w:sz w:val="21"/>
          <w:szCs w:val="21"/>
          <w:highlight w:val="none"/>
          <w:shd w:val="clear" w:color="auto" w:fill="auto"/>
          <w:lang w:val="en-US" w:eastAsia="zh-CN"/>
        </w:rPr>
        <w:t>应在约定完工期前以书面形式提交延期申请，经</w:t>
      </w:r>
      <w:r>
        <w:rPr>
          <w:rStyle w:val="9"/>
          <w:rFonts w:hint="eastAsia" w:ascii="宋体" w:hAnsi="宋体" w:cs="宋体"/>
          <w:b w:val="0"/>
          <w:bCs w:val="0"/>
          <w:color w:val="000000"/>
          <w:sz w:val="21"/>
          <w:szCs w:val="21"/>
          <w:highlight w:val="none"/>
          <w:shd w:val="clear" w:color="auto" w:fill="auto"/>
          <w:lang w:val="en-US" w:eastAsia="zh-CN"/>
        </w:rPr>
        <w:t>甲方</w:t>
      </w:r>
      <w:r>
        <w:rPr>
          <w:rStyle w:val="9"/>
          <w:rFonts w:hint="eastAsia" w:ascii="宋体" w:hAnsi="宋体" w:eastAsia="宋体" w:cs="宋体"/>
          <w:b w:val="0"/>
          <w:bCs w:val="0"/>
          <w:color w:val="000000"/>
          <w:sz w:val="21"/>
          <w:szCs w:val="21"/>
          <w:highlight w:val="none"/>
          <w:shd w:val="clear" w:color="auto" w:fill="auto"/>
          <w:lang w:val="en-US" w:eastAsia="zh-CN"/>
        </w:rPr>
        <w:t>同意后方能延期。</w:t>
      </w:r>
    </w:p>
    <w:p w14:paraId="300AA6B0">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zh-CN" w:eastAsia="zh-CN"/>
        </w:rPr>
      </w:pPr>
      <w:r>
        <w:rPr>
          <w:rStyle w:val="9"/>
          <w:rFonts w:hint="eastAsia" w:ascii="宋体" w:hAnsi="宋体" w:eastAsia="宋体" w:cs="宋体"/>
          <w:b w:val="0"/>
          <w:bCs w:val="0"/>
          <w:color w:val="000000"/>
          <w:sz w:val="21"/>
          <w:szCs w:val="21"/>
          <w:highlight w:val="none"/>
          <w:lang w:val="en-US" w:eastAsia="zh-CN"/>
        </w:rPr>
        <w:t>四、</w:t>
      </w:r>
      <w:r>
        <w:rPr>
          <w:rStyle w:val="9"/>
          <w:rFonts w:hint="eastAsia" w:ascii="宋体" w:hAnsi="宋体" w:eastAsia="宋体" w:cs="宋体"/>
          <w:b w:val="0"/>
          <w:bCs w:val="0"/>
          <w:color w:val="000000"/>
          <w:sz w:val="21"/>
          <w:szCs w:val="21"/>
          <w:highlight w:val="none"/>
          <w:lang w:val="zh-CN" w:eastAsia="zh-CN"/>
        </w:rPr>
        <w:t>本次项目采购按照交钥匙工程，</w:t>
      </w:r>
      <w:r>
        <w:rPr>
          <w:rStyle w:val="9"/>
          <w:rFonts w:hint="eastAsia" w:ascii="宋体" w:hAnsi="宋体" w:eastAsia="宋体" w:cs="宋体"/>
          <w:b w:val="0"/>
          <w:bCs w:val="0"/>
          <w:color w:val="000000"/>
          <w:sz w:val="21"/>
          <w:szCs w:val="21"/>
          <w:highlight w:val="none"/>
          <w:lang w:val="en-US" w:eastAsia="zh-CN"/>
        </w:rPr>
        <w:t>投标</w:t>
      </w:r>
      <w:r>
        <w:rPr>
          <w:rStyle w:val="9"/>
          <w:rFonts w:hint="eastAsia" w:ascii="宋体" w:hAnsi="宋体" w:eastAsia="宋体" w:cs="宋体"/>
          <w:b w:val="0"/>
          <w:bCs w:val="0"/>
          <w:color w:val="000000"/>
          <w:sz w:val="21"/>
          <w:szCs w:val="21"/>
          <w:highlight w:val="none"/>
          <w:lang w:val="zh-CN" w:eastAsia="zh-CN"/>
        </w:rPr>
        <w:t>总价包含了设计联络、设备制造、工厂检验、出厂验收、运输、保险、仓储、安装尺寸的复核、安装、调试、综合联调、试运行、交付运营、</w:t>
      </w:r>
      <w:r>
        <w:rPr>
          <w:rStyle w:val="9"/>
          <w:rFonts w:hint="eastAsia" w:ascii="宋体" w:hAnsi="宋体" w:eastAsia="宋体" w:cs="宋体"/>
          <w:b w:val="0"/>
          <w:bCs w:val="0"/>
          <w:color w:val="000000"/>
          <w:sz w:val="21"/>
          <w:szCs w:val="21"/>
          <w:highlight w:val="none"/>
          <w:lang w:val="en-US" w:eastAsia="zh-CN"/>
        </w:rPr>
        <w:t>设备检测、证件办理、相关配件更换、</w:t>
      </w:r>
      <w:r>
        <w:rPr>
          <w:rStyle w:val="9"/>
          <w:rFonts w:hint="eastAsia" w:ascii="宋体" w:hAnsi="宋体" w:eastAsia="宋体" w:cs="宋体"/>
          <w:b w:val="0"/>
          <w:bCs w:val="0"/>
          <w:color w:val="000000"/>
          <w:sz w:val="21"/>
          <w:szCs w:val="21"/>
          <w:highlight w:val="none"/>
          <w:lang w:val="zh-CN" w:eastAsia="zh-CN"/>
        </w:rPr>
        <w:t>售后服务、</w:t>
      </w:r>
      <w:r>
        <w:rPr>
          <w:rStyle w:val="9"/>
          <w:rFonts w:hint="eastAsia" w:ascii="宋体" w:hAnsi="宋体" w:eastAsia="宋体" w:cs="宋体"/>
          <w:b w:val="0"/>
          <w:bCs w:val="0"/>
          <w:color w:val="000000"/>
          <w:sz w:val="21"/>
          <w:szCs w:val="21"/>
          <w:highlight w:val="none"/>
          <w:lang w:val="en-US" w:eastAsia="zh-CN"/>
        </w:rPr>
        <w:t>保险、税金、</w:t>
      </w:r>
      <w:r>
        <w:rPr>
          <w:rStyle w:val="9"/>
          <w:rFonts w:hint="eastAsia" w:ascii="宋体" w:hAnsi="宋体" w:eastAsia="宋体" w:cs="宋体"/>
          <w:b w:val="0"/>
          <w:bCs w:val="0"/>
          <w:color w:val="000000"/>
          <w:sz w:val="21"/>
          <w:szCs w:val="21"/>
          <w:highlight w:val="none"/>
          <w:lang w:val="zh-CN" w:eastAsia="zh-CN"/>
        </w:rPr>
        <w:t>施工</w:t>
      </w:r>
      <w:r>
        <w:rPr>
          <w:rStyle w:val="9"/>
          <w:rFonts w:hint="eastAsia" w:ascii="宋体" w:hAnsi="宋体" w:eastAsia="宋体" w:cs="宋体"/>
          <w:b w:val="0"/>
          <w:bCs w:val="0"/>
          <w:color w:val="000000"/>
          <w:sz w:val="21"/>
          <w:szCs w:val="21"/>
          <w:highlight w:val="none"/>
          <w:lang w:val="en-US" w:eastAsia="zh-CN"/>
        </w:rPr>
        <w:t>费</w:t>
      </w:r>
      <w:r>
        <w:rPr>
          <w:rStyle w:val="9"/>
          <w:rFonts w:hint="eastAsia" w:ascii="宋体" w:hAnsi="宋体" w:eastAsia="宋体" w:cs="宋体"/>
          <w:b w:val="0"/>
          <w:bCs w:val="0"/>
          <w:color w:val="000000"/>
          <w:sz w:val="21"/>
          <w:szCs w:val="21"/>
          <w:highlight w:val="none"/>
          <w:lang w:val="zh-CN" w:eastAsia="zh-CN"/>
        </w:rPr>
        <w:t>等各阶段的</w:t>
      </w:r>
      <w:r>
        <w:rPr>
          <w:rStyle w:val="9"/>
          <w:rFonts w:hint="eastAsia" w:ascii="宋体" w:hAnsi="宋体" w:eastAsia="宋体" w:cs="宋体"/>
          <w:b w:val="0"/>
          <w:bCs w:val="0"/>
          <w:color w:val="000000"/>
          <w:sz w:val="21"/>
          <w:szCs w:val="21"/>
          <w:highlight w:val="none"/>
          <w:lang w:val="en-US" w:eastAsia="zh-CN"/>
        </w:rPr>
        <w:t>费用</w:t>
      </w:r>
      <w:r>
        <w:rPr>
          <w:rStyle w:val="9"/>
          <w:rFonts w:hint="eastAsia" w:ascii="宋体" w:hAnsi="宋体" w:eastAsia="宋体" w:cs="宋体"/>
          <w:b w:val="0"/>
          <w:bCs w:val="0"/>
          <w:color w:val="000000"/>
          <w:sz w:val="21"/>
          <w:szCs w:val="21"/>
          <w:highlight w:val="none"/>
          <w:lang w:val="zh-CN" w:eastAsia="zh-CN"/>
        </w:rPr>
        <w:t>，并包括现场施工安全、安装质量监控、各阶段的试验、测试、验收、技术服务（提交图纸文件、培训、技术联络等）、伴随服务、设备安装图设计及施工图设计配合、接口设计及配合、施工配合、质量保证期内等的整个过程以及提供本设备所需的随机附件、工具（含专业工具）、备品备件、安装设备进行土建改造</w:t>
      </w:r>
      <w:r>
        <w:rPr>
          <w:rStyle w:val="9"/>
          <w:rFonts w:hint="eastAsia" w:ascii="宋体" w:hAnsi="宋体" w:eastAsia="宋体" w:cs="宋体"/>
          <w:b w:val="0"/>
          <w:bCs w:val="0"/>
          <w:color w:val="000000"/>
          <w:sz w:val="21"/>
          <w:szCs w:val="21"/>
          <w:highlight w:val="none"/>
          <w:lang w:val="en-US" w:eastAsia="zh-CN"/>
        </w:rPr>
        <w:t>及相关材料</w:t>
      </w:r>
      <w:r>
        <w:rPr>
          <w:rStyle w:val="9"/>
          <w:rFonts w:hint="eastAsia" w:ascii="宋体" w:hAnsi="宋体" w:eastAsia="宋体" w:cs="宋体"/>
          <w:b w:val="0"/>
          <w:bCs w:val="0"/>
          <w:color w:val="000000"/>
          <w:sz w:val="21"/>
          <w:szCs w:val="21"/>
          <w:highlight w:val="none"/>
          <w:lang w:val="zh-CN" w:eastAsia="zh-CN"/>
        </w:rPr>
        <w:t>等所有费用、</w:t>
      </w:r>
      <w:r>
        <w:rPr>
          <w:rStyle w:val="9"/>
          <w:rFonts w:hint="eastAsia" w:ascii="宋体" w:hAnsi="宋体" w:eastAsia="宋体" w:cs="宋体"/>
          <w:b w:val="0"/>
          <w:bCs w:val="0"/>
          <w:color w:val="000000"/>
          <w:sz w:val="21"/>
          <w:szCs w:val="21"/>
          <w:highlight w:val="none"/>
          <w:lang w:val="en-US" w:eastAsia="zh-CN"/>
        </w:rPr>
        <w:t>工程配套费用</w:t>
      </w:r>
      <w:r>
        <w:rPr>
          <w:rStyle w:val="9"/>
          <w:rFonts w:hint="eastAsia" w:ascii="宋体" w:hAnsi="宋体" w:eastAsia="宋体" w:cs="宋体"/>
          <w:b w:val="0"/>
          <w:bCs w:val="0"/>
          <w:color w:val="000000"/>
          <w:sz w:val="21"/>
          <w:szCs w:val="21"/>
          <w:highlight w:val="none"/>
          <w:lang w:val="zh-CN" w:eastAsia="zh-CN"/>
        </w:rPr>
        <w:t>；还包括和</w:t>
      </w:r>
      <w:r>
        <w:rPr>
          <w:rStyle w:val="9"/>
          <w:rFonts w:hint="eastAsia" w:ascii="宋体" w:hAnsi="宋体" w:cs="宋体"/>
          <w:b w:val="0"/>
          <w:bCs w:val="0"/>
          <w:color w:val="000000"/>
          <w:sz w:val="21"/>
          <w:szCs w:val="21"/>
          <w:highlight w:val="none"/>
          <w:lang w:val="zh-CN" w:eastAsia="zh-CN"/>
        </w:rPr>
        <w:t>甲方</w:t>
      </w:r>
      <w:r>
        <w:rPr>
          <w:rStyle w:val="9"/>
          <w:rFonts w:hint="eastAsia" w:ascii="宋体" w:hAnsi="宋体" w:eastAsia="宋体" w:cs="宋体"/>
          <w:b w:val="0"/>
          <w:bCs w:val="0"/>
          <w:color w:val="000000"/>
          <w:sz w:val="21"/>
          <w:szCs w:val="21"/>
          <w:highlight w:val="none"/>
          <w:lang w:val="zh-CN" w:eastAsia="zh-CN"/>
        </w:rPr>
        <w:t>的协调配合工作，以及质保期内故障排除与修复等所有费用，并为到岸价（到岸地点为</w:t>
      </w:r>
      <w:r>
        <w:rPr>
          <w:rStyle w:val="9"/>
          <w:rFonts w:hint="eastAsia" w:ascii="宋体" w:hAnsi="宋体" w:cs="宋体"/>
          <w:b w:val="0"/>
          <w:bCs w:val="0"/>
          <w:color w:val="000000"/>
          <w:sz w:val="21"/>
          <w:szCs w:val="21"/>
          <w:highlight w:val="none"/>
          <w:lang w:val="zh-CN" w:eastAsia="zh-CN"/>
        </w:rPr>
        <w:t>甲方</w:t>
      </w:r>
      <w:r>
        <w:rPr>
          <w:rStyle w:val="9"/>
          <w:rFonts w:hint="eastAsia" w:ascii="宋体" w:hAnsi="宋体" w:eastAsia="宋体" w:cs="宋体"/>
          <w:b w:val="0"/>
          <w:bCs w:val="0"/>
          <w:color w:val="000000"/>
          <w:sz w:val="21"/>
          <w:szCs w:val="21"/>
          <w:highlight w:val="none"/>
          <w:lang w:val="zh-CN" w:eastAsia="zh-CN"/>
        </w:rPr>
        <w:t>指定地点）。</w:t>
      </w:r>
    </w:p>
    <w:p w14:paraId="56181FBD">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五、</w:t>
      </w:r>
      <w:r>
        <w:rPr>
          <w:rStyle w:val="9"/>
          <w:rFonts w:hint="eastAsia" w:ascii="宋体" w:hAnsi="宋体" w:eastAsia="宋体" w:cs="宋体"/>
          <w:sz w:val="21"/>
          <w:szCs w:val="21"/>
        </w:rPr>
        <w:t>★</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需根据招标要求和设计图纸，并结合招标人提供的《设备材料清单》完善本项目实施所需要的各种设备、材料、附件、配件及相关售后服务等全部内容采购清单，采购清单（内容、数量和功能需求等）必须全部满足项目“交钥匙”施工要求，</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须提供分项清单及报价，在项目实施中有</w:t>
      </w:r>
      <w:r>
        <w:rPr>
          <w:rStyle w:val="9"/>
          <w:rFonts w:hint="eastAsia" w:ascii="宋体" w:hAnsi="宋体" w:eastAsia="宋体" w:cs="宋体"/>
          <w:b w:val="0"/>
          <w:bCs w:val="0"/>
          <w:color w:val="000000"/>
          <w:sz w:val="21"/>
          <w:szCs w:val="21"/>
          <w:highlight w:val="none"/>
          <w:shd w:val="clear" w:color="auto" w:fill="auto"/>
          <w:lang w:val="en-US" w:eastAsia="zh-CN"/>
        </w:rPr>
        <w:t>任何遗漏，均视为</w:t>
      </w:r>
      <w:r>
        <w:rPr>
          <w:rStyle w:val="9"/>
          <w:rFonts w:hint="eastAsia" w:ascii="宋体" w:hAnsi="宋体" w:cs="宋体"/>
          <w:b w:val="0"/>
          <w:bCs w:val="0"/>
          <w:color w:val="000000"/>
          <w:sz w:val="21"/>
          <w:szCs w:val="21"/>
          <w:highlight w:val="none"/>
          <w:shd w:val="clear" w:color="auto" w:fill="auto"/>
          <w:lang w:val="en-US" w:eastAsia="zh-CN"/>
        </w:rPr>
        <w:t>乙方</w:t>
      </w:r>
      <w:r>
        <w:rPr>
          <w:rStyle w:val="9"/>
          <w:rFonts w:hint="eastAsia" w:ascii="宋体" w:hAnsi="宋体" w:eastAsia="宋体" w:cs="宋体"/>
          <w:b w:val="0"/>
          <w:bCs w:val="0"/>
          <w:color w:val="000000"/>
          <w:sz w:val="21"/>
          <w:szCs w:val="21"/>
          <w:highlight w:val="none"/>
          <w:shd w:val="clear" w:color="auto" w:fill="auto"/>
          <w:lang w:val="en-US" w:eastAsia="zh-CN"/>
        </w:rPr>
        <w:t>承诺提供该项服务，</w:t>
      </w:r>
      <w:r>
        <w:rPr>
          <w:rStyle w:val="9"/>
          <w:rFonts w:hint="eastAsia" w:ascii="宋体" w:hAnsi="宋体" w:cs="宋体"/>
          <w:b w:val="0"/>
          <w:bCs w:val="0"/>
          <w:color w:val="000000"/>
          <w:sz w:val="21"/>
          <w:szCs w:val="21"/>
          <w:highlight w:val="none"/>
          <w:shd w:val="clear" w:color="auto" w:fill="auto"/>
          <w:lang w:val="en-US" w:eastAsia="zh-CN"/>
        </w:rPr>
        <w:t>甲方</w:t>
      </w:r>
      <w:r>
        <w:rPr>
          <w:rStyle w:val="9"/>
          <w:rFonts w:hint="eastAsia" w:ascii="宋体" w:hAnsi="宋体" w:eastAsia="宋体" w:cs="宋体"/>
          <w:b w:val="0"/>
          <w:bCs w:val="0"/>
          <w:color w:val="000000"/>
          <w:sz w:val="21"/>
          <w:szCs w:val="21"/>
          <w:highlight w:val="none"/>
          <w:shd w:val="clear" w:color="auto" w:fill="auto"/>
          <w:lang w:val="en-US" w:eastAsia="zh-CN"/>
        </w:rPr>
        <w:t>不在投标总价之外支付任何费用。</w:t>
      </w:r>
    </w:p>
    <w:p w14:paraId="2F050B29">
      <w:pPr>
        <w:pStyle w:val="7"/>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ind w:left="0" w:right="0" w:firstLine="420" w:firstLineChars="200"/>
        <w:jc w:val="left"/>
        <w:textAlignment w:val="auto"/>
        <w:rPr>
          <w:rStyle w:val="9"/>
          <w:rFonts w:hint="eastAsia" w:ascii="宋体" w:hAnsi="宋体" w:eastAsia="宋体" w:cs="宋体"/>
          <w:color w:val="000000"/>
          <w:spacing w:val="0"/>
          <w:w w:val="100"/>
          <w:kern w:val="2"/>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六、★重要要求：</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color w:val="000000"/>
          <w:kern w:val="2"/>
          <w:sz w:val="21"/>
          <w:szCs w:val="21"/>
          <w:highlight w:val="none"/>
          <w:lang w:val="en-US" w:eastAsia="zh-CN" w:bidi="ar-SA"/>
        </w:rPr>
        <w:t>不得提供虚假材料和虚假参数响应，应逐条说明所提供货物和服务已对招标文件的技术规格做出的响应；应按招标文件要求提供技术支持资料。对有具体参数要求的指标，</w:t>
      </w:r>
      <w:r>
        <w:rPr>
          <w:rStyle w:val="9"/>
          <w:rFonts w:hint="eastAsia" w:ascii="宋体" w:hAnsi="宋体" w:cs="宋体"/>
          <w:color w:val="000000"/>
          <w:kern w:val="2"/>
          <w:sz w:val="21"/>
          <w:szCs w:val="21"/>
          <w:highlight w:val="none"/>
          <w:lang w:val="en-US" w:eastAsia="zh-CN" w:bidi="ar-SA"/>
        </w:rPr>
        <w:t>乙方</w:t>
      </w:r>
      <w:r>
        <w:rPr>
          <w:rStyle w:val="9"/>
          <w:rFonts w:hint="eastAsia" w:ascii="宋体" w:hAnsi="宋体" w:eastAsia="宋体" w:cs="宋体"/>
          <w:color w:val="000000"/>
          <w:kern w:val="2"/>
          <w:sz w:val="21"/>
          <w:szCs w:val="21"/>
          <w:highlight w:val="none"/>
          <w:lang w:val="en-US" w:eastAsia="zh-CN" w:bidi="ar-SA"/>
        </w:rPr>
        <w:t>必须提供所投设备的具体参数值。</w:t>
      </w:r>
      <w:r>
        <w:rPr>
          <w:rStyle w:val="9"/>
          <w:rFonts w:hint="eastAsia" w:ascii="宋体" w:hAnsi="宋体" w:cs="宋体"/>
          <w:color w:val="000000"/>
          <w:sz w:val="21"/>
          <w:szCs w:val="21"/>
          <w:highlight w:val="none"/>
          <w:shd w:val="clear" w:color="auto" w:fill="auto"/>
          <w:lang w:val="en-US" w:eastAsia="zh-CN"/>
        </w:rPr>
        <w:t>乙方</w:t>
      </w:r>
      <w:r>
        <w:rPr>
          <w:rStyle w:val="9"/>
          <w:rFonts w:hint="eastAsia" w:ascii="宋体" w:hAnsi="宋体" w:eastAsia="宋体" w:cs="宋体"/>
          <w:color w:val="000000"/>
          <w:sz w:val="21"/>
          <w:szCs w:val="21"/>
          <w:highlight w:val="none"/>
          <w:shd w:val="clear" w:color="auto" w:fill="auto"/>
          <w:lang w:val="en-US"/>
        </w:rPr>
        <w:t>应在中标后按</w:t>
      </w:r>
      <w:r>
        <w:rPr>
          <w:rStyle w:val="9"/>
          <w:rFonts w:hint="eastAsia" w:ascii="宋体" w:hAnsi="宋体" w:cs="宋体"/>
          <w:color w:val="000000"/>
          <w:sz w:val="21"/>
          <w:szCs w:val="21"/>
          <w:highlight w:val="none"/>
          <w:shd w:val="clear" w:color="auto" w:fill="auto"/>
          <w:lang w:val="en-US" w:eastAsia="zh-CN"/>
        </w:rPr>
        <w:t>甲方</w:t>
      </w:r>
      <w:r>
        <w:rPr>
          <w:rStyle w:val="9"/>
          <w:rFonts w:hint="eastAsia" w:ascii="宋体" w:hAnsi="宋体" w:eastAsia="宋体" w:cs="宋体"/>
          <w:color w:val="000000"/>
          <w:sz w:val="21"/>
          <w:szCs w:val="21"/>
          <w:highlight w:val="none"/>
          <w:shd w:val="clear" w:color="auto" w:fill="auto"/>
          <w:lang w:val="en-US"/>
        </w:rPr>
        <w:t>通知的时间将评审标准相关的证书、参数及功能证明材料等提供给</w:t>
      </w:r>
      <w:r>
        <w:rPr>
          <w:rStyle w:val="9"/>
          <w:rFonts w:hint="eastAsia" w:ascii="宋体" w:hAnsi="宋体" w:cs="宋体"/>
          <w:color w:val="000000"/>
          <w:sz w:val="21"/>
          <w:szCs w:val="21"/>
          <w:highlight w:val="none"/>
          <w:shd w:val="clear" w:color="auto" w:fill="auto"/>
          <w:lang w:val="en-US" w:eastAsia="zh-CN"/>
        </w:rPr>
        <w:t>甲方</w:t>
      </w:r>
      <w:r>
        <w:rPr>
          <w:rStyle w:val="9"/>
          <w:rFonts w:hint="eastAsia" w:ascii="宋体" w:hAnsi="宋体" w:eastAsia="宋体" w:cs="宋体"/>
          <w:color w:val="000000"/>
          <w:sz w:val="21"/>
          <w:szCs w:val="21"/>
          <w:highlight w:val="none"/>
          <w:shd w:val="clear" w:color="auto" w:fill="auto"/>
          <w:lang w:val="en-US"/>
        </w:rPr>
        <w:t>核查，如查有虚假，则取消中标资格，接受相应处罚并承担相应的法律责任；若未在</w:t>
      </w:r>
      <w:r>
        <w:rPr>
          <w:rStyle w:val="9"/>
          <w:rFonts w:hint="eastAsia" w:ascii="宋体" w:hAnsi="宋体" w:cs="宋体"/>
          <w:color w:val="000000"/>
          <w:sz w:val="21"/>
          <w:szCs w:val="21"/>
          <w:highlight w:val="none"/>
          <w:shd w:val="clear" w:color="auto" w:fill="auto"/>
          <w:lang w:val="en-US" w:eastAsia="zh-CN"/>
        </w:rPr>
        <w:t>甲方</w:t>
      </w:r>
      <w:r>
        <w:rPr>
          <w:rStyle w:val="9"/>
          <w:rFonts w:hint="eastAsia" w:ascii="宋体" w:hAnsi="宋体" w:eastAsia="宋体" w:cs="宋体"/>
          <w:color w:val="000000"/>
          <w:sz w:val="21"/>
          <w:szCs w:val="21"/>
          <w:highlight w:val="none"/>
          <w:shd w:val="clear" w:color="auto" w:fill="auto"/>
          <w:lang w:val="en-US"/>
        </w:rPr>
        <w:t>通知的时间内提供相关资料，则视为</w:t>
      </w:r>
      <w:r>
        <w:rPr>
          <w:rStyle w:val="9"/>
          <w:rFonts w:hint="eastAsia" w:ascii="宋体" w:hAnsi="宋体" w:cs="宋体"/>
          <w:color w:val="000000"/>
          <w:sz w:val="21"/>
          <w:szCs w:val="21"/>
          <w:highlight w:val="none"/>
          <w:shd w:val="clear" w:color="auto" w:fill="auto"/>
          <w:lang w:val="en-US" w:eastAsia="zh-CN"/>
        </w:rPr>
        <w:t>乙方</w:t>
      </w:r>
      <w:r>
        <w:rPr>
          <w:rStyle w:val="9"/>
          <w:rFonts w:hint="eastAsia" w:ascii="宋体" w:hAnsi="宋体" w:eastAsia="宋体" w:cs="宋体"/>
          <w:color w:val="000000"/>
          <w:sz w:val="21"/>
          <w:szCs w:val="21"/>
          <w:highlight w:val="none"/>
          <w:shd w:val="clear" w:color="auto" w:fill="auto"/>
          <w:lang w:val="en-US"/>
        </w:rPr>
        <w:t>自动放弃中标资格，由此导致的所有损失由</w:t>
      </w:r>
      <w:r>
        <w:rPr>
          <w:rStyle w:val="9"/>
          <w:rFonts w:hint="eastAsia" w:ascii="宋体" w:hAnsi="宋体" w:cs="宋体"/>
          <w:color w:val="000000"/>
          <w:sz w:val="21"/>
          <w:szCs w:val="21"/>
          <w:highlight w:val="none"/>
          <w:shd w:val="clear" w:color="auto" w:fill="auto"/>
          <w:lang w:val="en-US" w:eastAsia="zh-CN"/>
        </w:rPr>
        <w:t>乙方</w:t>
      </w:r>
      <w:r>
        <w:rPr>
          <w:rStyle w:val="9"/>
          <w:rFonts w:hint="eastAsia" w:ascii="宋体" w:hAnsi="宋体" w:eastAsia="宋体" w:cs="宋体"/>
          <w:color w:val="000000"/>
          <w:sz w:val="21"/>
          <w:szCs w:val="21"/>
          <w:highlight w:val="none"/>
          <w:shd w:val="clear" w:color="auto" w:fill="auto"/>
          <w:lang w:val="en-US"/>
        </w:rPr>
        <w:t>自行承担</w:t>
      </w:r>
      <w:r>
        <w:rPr>
          <w:rStyle w:val="9"/>
          <w:rFonts w:hint="eastAsia" w:ascii="宋体" w:hAnsi="宋体" w:eastAsia="宋体" w:cs="宋体"/>
          <w:color w:val="000000"/>
          <w:kern w:val="2"/>
          <w:sz w:val="21"/>
          <w:szCs w:val="21"/>
          <w:highlight w:val="none"/>
          <w:lang w:val="en-US" w:eastAsia="zh-CN" w:bidi="ar-SA"/>
        </w:rPr>
        <w:t>。招标文件所要求提供的证明材料包括</w:t>
      </w:r>
      <w:r>
        <w:rPr>
          <w:rStyle w:val="9"/>
          <w:rFonts w:hint="eastAsia" w:ascii="宋体" w:hAnsi="宋体" w:eastAsia="宋体" w:cs="宋体"/>
          <w:color w:val="000000"/>
          <w:sz w:val="21"/>
          <w:szCs w:val="21"/>
          <w:highlight w:val="none"/>
          <w:shd w:val="clear" w:color="auto" w:fill="auto"/>
          <w:lang w:val="en-US"/>
        </w:rPr>
        <w:t>相关的证书、参数及功能证明材料等</w:t>
      </w:r>
      <w:r>
        <w:rPr>
          <w:rStyle w:val="9"/>
          <w:rFonts w:hint="eastAsia" w:ascii="宋体" w:hAnsi="宋体" w:eastAsia="宋体" w:cs="宋体"/>
          <w:color w:val="000000"/>
          <w:kern w:val="2"/>
          <w:sz w:val="21"/>
          <w:szCs w:val="21"/>
          <w:highlight w:val="none"/>
          <w:lang w:val="en-US" w:eastAsia="zh-CN" w:bidi="ar-SA"/>
        </w:rPr>
        <w:t>，</w:t>
      </w:r>
      <w:r>
        <w:rPr>
          <w:rStyle w:val="9"/>
          <w:rFonts w:hint="eastAsia" w:ascii="宋体" w:hAnsi="宋体" w:cs="宋体"/>
          <w:color w:val="000000"/>
          <w:kern w:val="2"/>
          <w:sz w:val="21"/>
          <w:szCs w:val="21"/>
          <w:highlight w:val="none"/>
          <w:lang w:val="en-US" w:eastAsia="zh-CN" w:bidi="ar-SA"/>
        </w:rPr>
        <w:t>乙方</w:t>
      </w:r>
      <w:r>
        <w:rPr>
          <w:rStyle w:val="9"/>
          <w:rFonts w:hint="eastAsia" w:ascii="宋体" w:hAnsi="宋体" w:eastAsia="宋体" w:cs="宋体"/>
          <w:color w:val="000000"/>
          <w:kern w:val="2"/>
          <w:sz w:val="21"/>
          <w:szCs w:val="21"/>
          <w:highlight w:val="none"/>
          <w:lang w:val="en-US" w:eastAsia="zh-CN" w:bidi="ar-SA"/>
        </w:rPr>
        <w:t>必须提供公开可查询的官方渠道或</w:t>
      </w:r>
      <w:r>
        <w:rPr>
          <w:rStyle w:val="9"/>
          <w:rFonts w:hint="eastAsia" w:ascii="宋体" w:hAnsi="宋体" w:cs="宋体"/>
          <w:color w:val="000000"/>
          <w:kern w:val="2"/>
          <w:sz w:val="21"/>
          <w:szCs w:val="21"/>
          <w:highlight w:val="none"/>
          <w:lang w:val="en-US" w:eastAsia="zh-CN" w:bidi="ar-SA"/>
        </w:rPr>
        <w:t>乙方</w:t>
      </w:r>
      <w:r>
        <w:rPr>
          <w:rStyle w:val="9"/>
          <w:rFonts w:hint="eastAsia" w:ascii="宋体" w:hAnsi="宋体" w:eastAsia="宋体" w:cs="宋体"/>
          <w:color w:val="000000"/>
          <w:kern w:val="2"/>
          <w:sz w:val="21"/>
          <w:szCs w:val="21"/>
          <w:highlight w:val="none"/>
          <w:lang w:val="en-US" w:eastAsia="zh-CN" w:bidi="ar-SA"/>
        </w:rPr>
        <w:t>自行核验的结果(含查询截图等）作为证明材料的组成部分并提交。未按要求提供或上传的，相应责任由</w:t>
      </w:r>
      <w:r>
        <w:rPr>
          <w:rStyle w:val="9"/>
          <w:rFonts w:hint="eastAsia" w:ascii="宋体" w:hAnsi="宋体" w:cs="宋体"/>
          <w:color w:val="000000"/>
          <w:kern w:val="2"/>
          <w:sz w:val="21"/>
          <w:szCs w:val="21"/>
          <w:highlight w:val="none"/>
          <w:lang w:val="en-US" w:eastAsia="zh-CN" w:bidi="ar-SA"/>
        </w:rPr>
        <w:t>乙方</w:t>
      </w:r>
      <w:r>
        <w:rPr>
          <w:rStyle w:val="9"/>
          <w:rFonts w:hint="eastAsia" w:ascii="宋体" w:hAnsi="宋体" w:eastAsia="宋体" w:cs="宋体"/>
          <w:color w:val="000000"/>
          <w:kern w:val="2"/>
          <w:sz w:val="21"/>
          <w:szCs w:val="21"/>
          <w:highlight w:val="none"/>
          <w:lang w:val="en-US" w:eastAsia="zh-CN" w:bidi="ar-SA"/>
        </w:rPr>
        <w:t>自行承担。</w:t>
      </w:r>
    </w:p>
    <w:p w14:paraId="5571939B">
      <w:pPr>
        <w:pStyle w:val="7"/>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ind w:left="0" w:right="0" w:firstLine="420" w:firstLineChars="200"/>
        <w:jc w:val="left"/>
        <w:textAlignment w:val="auto"/>
        <w:rPr>
          <w:rStyle w:val="9"/>
          <w:rFonts w:hint="eastAsia" w:ascii="宋体" w:hAnsi="宋体" w:eastAsia="宋体" w:cs="宋体"/>
          <w:b w:val="0"/>
          <w:bCs w:val="0"/>
          <w:color w:val="000000"/>
          <w:sz w:val="21"/>
          <w:szCs w:val="21"/>
          <w:highlight w:val="none"/>
          <w:lang w:val="zh-CN" w:eastAsia="zh-CN"/>
        </w:rPr>
      </w:pPr>
      <w:r>
        <w:rPr>
          <w:rStyle w:val="9"/>
          <w:rFonts w:hint="eastAsia" w:ascii="宋体" w:hAnsi="宋体" w:eastAsia="宋体" w:cs="宋体"/>
          <w:b w:val="0"/>
          <w:bCs w:val="0"/>
          <w:color w:val="auto"/>
          <w:kern w:val="2"/>
          <w:sz w:val="21"/>
          <w:szCs w:val="21"/>
          <w:highlight w:val="none"/>
          <w:lang w:val="en-US" w:eastAsia="zh-CN" w:bidi="ar-SA"/>
        </w:rPr>
        <w:t>七、★所投货物纳入医疗器械管理的，货物须具有有效的医疗器械产品注册证(或适用的备案凭证)（</w:t>
      </w:r>
      <w:r>
        <w:rPr>
          <w:rStyle w:val="9"/>
          <w:rFonts w:hint="eastAsia" w:ascii="宋体" w:hAnsi="宋体" w:cs="宋体"/>
          <w:b w:val="0"/>
          <w:bCs w:val="0"/>
          <w:color w:val="auto"/>
          <w:kern w:val="2"/>
          <w:sz w:val="21"/>
          <w:szCs w:val="21"/>
          <w:highlight w:val="none"/>
          <w:lang w:val="en-US" w:eastAsia="zh-CN" w:bidi="ar-SA"/>
        </w:rPr>
        <w:t>乙方</w:t>
      </w:r>
      <w:r>
        <w:rPr>
          <w:rStyle w:val="9"/>
          <w:rFonts w:hint="eastAsia" w:ascii="宋体" w:hAnsi="宋体" w:eastAsia="宋体" w:cs="宋体"/>
          <w:b w:val="0"/>
          <w:bCs w:val="0"/>
          <w:color w:val="auto"/>
          <w:kern w:val="2"/>
          <w:sz w:val="21"/>
          <w:szCs w:val="21"/>
          <w:highlight w:val="none"/>
          <w:lang w:val="en-US" w:eastAsia="zh-CN" w:bidi="ar-SA"/>
        </w:rPr>
        <w:t>需提供注册证或备案凭证原件扫描件，并加盖</w:t>
      </w:r>
      <w:r>
        <w:rPr>
          <w:rStyle w:val="9"/>
          <w:rFonts w:hint="eastAsia" w:ascii="宋体" w:hAnsi="宋体" w:cs="宋体"/>
          <w:b w:val="0"/>
          <w:bCs w:val="0"/>
          <w:color w:val="auto"/>
          <w:kern w:val="2"/>
          <w:sz w:val="21"/>
          <w:szCs w:val="21"/>
          <w:highlight w:val="none"/>
          <w:lang w:val="en-US" w:eastAsia="zh-CN" w:bidi="ar-SA"/>
        </w:rPr>
        <w:t>乙方</w:t>
      </w:r>
      <w:r>
        <w:rPr>
          <w:rStyle w:val="9"/>
          <w:rFonts w:hint="eastAsia" w:ascii="宋体" w:hAnsi="宋体" w:eastAsia="宋体" w:cs="宋体"/>
          <w:b w:val="0"/>
          <w:bCs w:val="0"/>
          <w:color w:val="auto"/>
          <w:kern w:val="2"/>
          <w:sz w:val="21"/>
          <w:szCs w:val="21"/>
          <w:highlight w:val="none"/>
          <w:lang w:val="en-US" w:eastAsia="zh-CN" w:bidi="ar-SA"/>
        </w:rPr>
        <w:t>公章）。</w:t>
      </w:r>
    </w:p>
    <w:p w14:paraId="0A70F972">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zh-CN" w:eastAsia="zh-CN"/>
        </w:rPr>
      </w:pPr>
      <w:r>
        <w:rPr>
          <w:rStyle w:val="9"/>
          <w:rFonts w:hint="eastAsia" w:ascii="宋体" w:hAnsi="宋体" w:cs="宋体"/>
          <w:b w:val="0"/>
          <w:bCs w:val="0"/>
          <w:color w:val="000000"/>
          <w:sz w:val="21"/>
          <w:szCs w:val="21"/>
          <w:highlight w:val="none"/>
          <w:lang w:val="en-US" w:eastAsia="zh-CN"/>
        </w:rPr>
        <w:t>八</w:t>
      </w:r>
      <w:r>
        <w:rPr>
          <w:rStyle w:val="9"/>
          <w:rFonts w:hint="eastAsia" w:ascii="宋体" w:hAnsi="宋体" w:eastAsia="宋体" w:cs="宋体"/>
          <w:b w:val="0"/>
          <w:bCs w:val="0"/>
          <w:color w:val="000000"/>
          <w:sz w:val="21"/>
          <w:szCs w:val="21"/>
          <w:highlight w:val="none"/>
          <w:lang w:val="zh-CN" w:eastAsia="zh-CN"/>
        </w:rPr>
        <w:t>、</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zh-CN" w:eastAsia="zh-CN"/>
        </w:rPr>
        <w:t>须书面承诺，不拖欠农民工工资和材料供应商的货款。</w:t>
      </w:r>
    </w:p>
    <w:p w14:paraId="5AA58B28">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cs="宋体"/>
          <w:b w:val="0"/>
          <w:bCs w:val="0"/>
          <w:color w:val="000000"/>
          <w:sz w:val="21"/>
          <w:szCs w:val="21"/>
          <w:highlight w:val="none"/>
          <w:lang w:val="en-US" w:eastAsia="zh-CN"/>
        </w:rPr>
        <w:t>九</w:t>
      </w:r>
      <w:r>
        <w:rPr>
          <w:rStyle w:val="9"/>
          <w:rFonts w:hint="eastAsia" w:ascii="宋体" w:hAnsi="宋体" w:eastAsia="宋体" w:cs="宋体"/>
          <w:b w:val="0"/>
          <w:bCs w:val="0"/>
          <w:color w:val="000000"/>
          <w:sz w:val="21"/>
          <w:szCs w:val="21"/>
          <w:highlight w:val="none"/>
          <w:lang w:val="en-US" w:eastAsia="zh-CN"/>
        </w:rPr>
        <w:t>、</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不得拒收</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所发出的联系单、质量整改通知单等文件，质量问题必须无条件整改。</w:t>
      </w:r>
    </w:p>
    <w:p w14:paraId="5E53F8A4">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十、与本项目相关工作由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配合采购方，费用由采购方承担。</w:t>
      </w:r>
    </w:p>
    <w:p w14:paraId="3E152796">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十</w:t>
      </w:r>
      <w:r>
        <w:rPr>
          <w:rStyle w:val="9"/>
          <w:rFonts w:hint="eastAsia" w:ascii="宋体" w:hAnsi="宋体" w:cs="宋体"/>
          <w:b w:val="0"/>
          <w:bCs w:val="0"/>
          <w:color w:val="000000"/>
          <w:sz w:val="21"/>
          <w:szCs w:val="21"/>
          <w:highlight w:val="none"/>
          <w:lang w:val="en-US" w:eastAsia="zh-CN"/>
        </w:rPr>
        <w:t>一</w:t>
      </w:r>
      <w:r>
        <w:rPr>
          <w:rStyle w:val="9"/>
          <w:rFonts w:hint="eastAsia" w:ascii="宋体" w:hAnsi="宋体" w:eastAsia="宋体" w:cs="宋体"/>
          <w:b w:val="0"/>
          <w:bCs w:val="0"/>
          <w:color w:val="000000"/>
          <w:sz w:val="21"/>
          <w:szCs w:val="21"/>
          <w:highlight w:val="none"/>
          <w:lang w:val="en-US" w:eastAsia="zh-CN"/>
        </w:rPr>
        <w:t>、</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做好承包范围内的安全文明措施，按</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统一规划堆放材料、机具，按</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标准化工地要求设置标牌，自备劳动保护用品，自备工人食宿设备。接受</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随时检查其设备、材料的保管、使用情况，及其操作人员的有效证件、持证上岗情况。</w:t>
      </w:r>
    </w:p>
    <w:p w14:paraId="061D4458">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十</w:t>
      </w:r>
      <w:r>
        <w:rPr>
          <w:rStyle w:val="9"/>
          <w:rFonts w:hint="eastAsia" w:ascii="宋体" w:hAnsi="宋体" w:cs="宋体"/>
          <w:b w:val="0"/>
          <w:bCs w:val="0"/>
          <w:color w:val="000000"/>
          <w:sz w:val="21"/>
          <w:szCs w:val="21"/>
          <w:highlight w:val="none"/>
          <w:lang w:val="en-US" w:eastAsia="zh-CN"/>
        </w:rPr>
        <w:t>二</w:t>
      </w:r>
      <w:r>
        <w:rPr>
          <w:rStyle w:val="9"/>
          <w:rFonts w:hint="eastAsia" w:ascii="宋体" w:hAnsi="宋体" w:eastAsia="宋体" w:cs="宋体"/>
          <w:b w:val="0"/>
          <w:bCs w:val="0"/>
          <w:color w:val="000000"/>
          <w:sz w:val="21"/>
          <w:szCs w:val="21"/>
          <w:highlight w:val="none"/>
          <w:lang w:val="en-US" w:eastAsia="zh-CN"/>
        </w:rPr>
        <w:t>、</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须按</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要求提交施工计划（要求有周计划、月计划、总体计划），以及与完成施工计划相应的劳动力安排计划，各计划实施的保证措施。</w:t>
      </w:r>
    </w:p>
    <w:p w14:paraId="507FB9D3">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十</w:t>
      </w:r>
      <w:r>
        <w:rPr>
          <w:rStyle w:val="9"/>
          <w:rFonts w:hint="eastAsia" w:ascii="宋体" w:hAnsi="宋体" w:cs="宋体"/>
          <w:b w:val="0"/>
          <w:bCs w:val="0"/>
          <w:color w:val="000000"/>
          <w:sz w:val="21"/>
          <w:szCs w:val="21"/>
          <w:highlight w:val="none"/>
          <w:lang w:val="en-US" w:eastAsia="zh-CN"/>
        </w:rPr>
        <w:t>三</w:t>
      </w:r>
      <w:r>
        <w:rPr>
          <w:rStyle w:val="9"/>
          <w:rFonts w:hint="eastAsia" w:ascii="宋体" w:hAnsi="宋体" w:eastAsia="宋体" w:cs="宋体"/>
          <w:b w:val="0"/>
          <w:bCs w:val="0"/>
          <w:color w:val="000000"/>
          <w:sz w:val="21"/>
          <w:szCs w:val="21"/>
          <w:highlight w:val="none"/>
          <w:lang w:val="en-US" w:eastAsia="zh-CN"/>
        </w:rPr>
        <w:t>、</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按照设计图纸、施工验收规范、有关技术要求及施工组织设计精心组织施工；投入足够的人力，确保工</w:t>
      </w:r>
      <w:bookmarkStart w:id="1" w:name="_GoBack"/>
      <w:bookmarkEnd w:id="1"/>
      <w:r>
        <w:rPr>
          <w:rStyle w:val="9"/>
          <w:rFonts w:hint="eastAsia" w:ascii="宋体" w:hAnsi="宋体" w:eastAsia="宋体" w:cs="宋体"/>
          <w:b w:val="0"/>
          <w:bCs w:val="0"/>
          <w:color w:val="000000"/>
          <w:sz w:val="21"/>
          <w:szCs w:val="21"/>
          <w:highlight w:val="none"/>
          <w:lang w:val="en-US" w:eastAsia="zh-CN"/>
        </w:rPr>
        <w:t>期；须自觉接受</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及有关部门的安全施工管理、监督和检查，确保施工安全。</w:t>
      </w:r>
    </w:p>
    <w:p w14:paraId="47DA3548">
      <w:pPr>
        <w:pStyle w:val="7"/>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jc w:val="both"/>
        <w:textAlignment w:val="auto"/>
        <w:outlineLvl w:val="9"/>
        <w:rPr>
          <w:rStyle w:val="9"/>
          <w:rFonts w:hint="eastAsia" w:ascii="宋体" w:hAnsi="宋体" w:eastAsia="宋体" w:cs="宋体"/>
          <w:b w:val="0"/>
          <w:bCs w:val="0"/>
          <w:color w:val="000000"/>
          <w:sz w:val="21"/>
          <w:szCs w:val="21"/>
          <w:highlight w:val="none"/>
          <w:lang w:val="en-US" w:eastAsia="zh-CN"/>
        </w:rPr>
      </w:pPr>
      <w:r>
        <w:rPr>
          <w:rStyle w:val="9"/>
          <w:rFonts w:hint="eastAsia" w:ascii="宋体" w:hAnsi="宋体" w:eastAsia="宋体" w:cs="宋体"/>
          <w:b w:val="0"/>
          <w:bCs w:val="0"/>
          <w:color w:val="000000"/>
          <w:sz w:val="21"/>
          <w:szCs w:val="21"/>
          <w:highlight w:val="none"/>
          <w:lang w:val="en-US" w:eastAsia="zh-CN"/>
        </w:rPr>
        <w:t>十</w:t>
      </w:r>
      <w:r>
        <w:rPr>
          <w:rStyle w:val="9"/>
          <w:rFonts w:hint="eastAsia" w:ascii="宋体" w:hAnsi="宋体" w:cs="宋体"/>
          <w:b w:val="0"/>
          <w:bCs w:val="0"/>
          <w:color w:val="000000"/>
          <w:sz w:val="21"/>
          <w:szCs w:val="21"/>
          <w:highlight w:val="none"/>
          <w:lang w:val="en-US" w:eastAsia="zh-CN"/>
        </w:rPr>
        <w:t>四</w:t>
      </w:r>
      <w:r>
        <w:rPr>
          <w:rStyle w:val="9"/>
          <w:rFonts w:hint="eastAsia" w:ascii="宋体" w:hAnsi="宋体" w:eastAsia="宋体" w:cs="宋体"/>
          <w:b w:val="0"/>
          <w:bCs w:val="0"/>
          <w:color w:val="000000"/>
          <w:sz w:val="21"/>
          <w:szCs w:val="21"/>
          <w:highlight w:val="none"/>
          <w:lang w:val="en-US" w:eastAsia="zh-CN"/>
        </w:rPr>
        <w:t>、</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或施工场地内第三方的工作必须由</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配合时，</w:t>
      </w:r>
      <w:r>
        <w:rPr>
          <w:rStyle w:val="9"/>
          <w:rFonts w:hint="eastAsia" w:ascii="宋体" w:hAnsi="宋体" w:cs="宋体"/>
          <w:b w:val="0"/>
          <w:bCs w:val="0"/>
          <w:color w:val="000000"/>
          <w:sz w:val="21"/>
          <w:szCs w:val="21"/>
          <w:highlight w:val="none"/>
          <w:lang w:val="en-US" w:eastAsia="zh-CN"/>
        </w:rPr>
        <w:t>乙方</w:t>
      </w:r>
      <w:r>
        <w:rPr>
          <w:rStyle w:val="9"/>
          <w:rFonts w:hint="eastAsia" w:ascii="宋体" w:hAnsi="宋体" w:eastAsia="宋体" w:cs="宋体"/>
          <w:b w:val="0"/>
          <w:bCs w:val="0"/>
          <w:color w:val="000000"/>
          <w:sz w:val="21"/>
          <w:szCs w:val="21"/>
          <w:highlight w:val="none"/>
          <w:lang w:val="en-US" w:eastAsia="zh-CN"/>
        </w:rPr>
        <w:t>应按</w:t>
      </w:r>
      <w:r>
        <w:rPr>
          <w:rStyle w:val="9"/>
          <w:rFonts w:hint="eastAsia" w:ascii="宋体" w:hAnsi="宋体" w:cs="宋体"/>
          <w:b w:val="0"/>
          <w:bCs w:val="0"/>
          <w:color w:val="000000"/>
          <w:sz w:val="21"/>
          <w:szCs w:val="21"/>
          <w:highlight w:val="none"/>
          <w:lang w:val="en-US" w:eastAsia="zh-CN"/>
        </w:rPr>
        <w:t>甲方</w:t>
      </w:r>
      <w:r>
        <w:rPr>
          <w:rStyle w:val="9"/>
          <w:rFonts w:hint="eastAsia" w:ascii="宋体" w:hAnsi="宋体" w:eastAsia="宋体" w:cs="宋体"/>
          <w:b w:val="0"/>
          <w:bCs w:val="0"/>
          <w:color w:val="000000"/>
          <w:sz w:val="21"/>
          <w:szCs w:val="21"/>
          <w:highlight w:val="none"/>
          <w:lang w:val="en-US" w:eastAsia="zh-CN"/>
        </w:rPr>
        <w:t>的指令予以配合。</w:t>
      </w:r>
    </w:p>
    <w:p w14:paraId="0684A2A0"/>
    <w:sectPr>
      <w:pgSz w:w="11906" w:h="16838"/>
      <w:pgMar w:top="1417" w:right="1701" w:bottom="141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ESI黑体-GB2312">
    <w:altName w:val="黑体"/>
    <w:panose1 w:val="02000500000000000000"/>
    <w:charset w:val="86"/>
    <w:family w:val="auto"/>
    <w:pitch w:val="default"/>
    <w:sig w:usb0="00000000" w:usb1="00000000" w:usb2="00000012"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KSOFBDAA233C">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07743F"/>
    <w:multiLevelType w:val="singleLevel"/>
    <w:tmpl w:val="6907743F"/>
    <w:lvl w:ilvl="0" w:tentative="0">
      <w:start w:val="1"/>
      <w:numFmt w:val="decimal"/>
      <w:lvlText w:val="%1."/>
      <w:lvlJc w:val="left"/>
      <w:pPr>
        <w:ind w:left="635" w:hanging="425"/>
      </w:pPr>
      <w:rPr>
        <w:rFonts w:hint="default"/>
      </w:rPr>
    </w:lvl>
  </w:abstractNum>
  <w:abstractNum w:abstractNumId="1">
    <w:nsid w:val="69077440"/>
    <w:multiLevelType w:val="singleLevel"/>
    <w:tmpl w:val="69077440"/>
    <w:lvl w:ilvl="0" w:tentative="0">
      <w:start w:val="3"/>
      <w:numFmt w:val="chineseCounting"/>
      <w:suff w:val="nothing"/>
      <w:lvlText w:val="%1、"/>
      <w:lvlJc w:val="left"/>
      <w:rPr>
        <w:rFonts w:hint="eastAsia"/>
      </w:rPr>
    </w:lvl>
  </w:abstractNum>
  <w:abstractNum w:abstractNumId="2">
    <w:nsid w:val="69077441"/>
    <w:multiLevelType w:val="multilevel"/>
    <w:tmpl w:val="69077441"/>
    <w:lvl w:ilvl="0" w:tentative="0">
      <w:start w:val="1"/>
      <w:numFmt w:val="decimal"/>
      <w:lvlText w:val="（%1）"/>
      <w:lvlJc w:val="left"/>
      <w:pPr>
        <w:tabs>
          <w:tab w:val="left" w:pos="1288"/>
        </w:tabs>
        <w:ind w:left="1288" w:hanging="720"/>
      </w:pPr>
      <w:rPr>
        <w:rFonts w:hint="default"/>
        <w:lang w:val="en-US"/>
      </w:rPr>
    </w:lvl>
    <w:lvl w:ilvl="1" w:tentative="0">
      <w:start w:val="1"/>
      <w:numFmt w:val="decimal"/>
      <w:lvlText w:val="%2、"/>
      <w:lvlJc w:val="left"/>
      <w:pPr>
        <w:tabs>
          <w:tab w:val="left" w:pos="780"/>
        </w:tabs>
        <w:ind w:left="780" w:hanging="360"/>
      </w:pPr>
      <w:rPr>
        <w:rFonts w:hint="default"/>
        <w:lang w:val="en-US"/>
      </w:rPr>
    </w:lvl>
    <w:lvl w:ilvl="2" w:tentative="0">
      <w:start w:val="1"/>
      <w:numFmt w:val="decimal"/>
      <w:lvlText w:val="（%3）"/>
      <w:lvlJc w:val="left"/>
      <w:pPr>
        <w:tabs>
          <w:tab w:val="left" w:pos="1510"/>
        </w:tabs>
        <w:ind w:left="1634" w:hanging="794"/>
      </w:pPr>
      <w:rPr>
        <w:rFonts w:hint="default"/>
        <w:lang w:val="en-US"/>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232E7B"/>
    <w:rsid w:val="2A7F14C7"/>
    <w:rsid w:val="2BF743CE"/>
    <w:rsid w:val="3EFD58E4"/>
    <w:rsid w:val="5E232E7B"/>
    <w:rsid w:val="63780363"/>
    <w:rsid w:val="63EE582A"/>
    <w:rsid w:val="76ED4CFD"/>
    <w:rsid w:val="770F1D17"/>
    <w:rsid w:val="7C4D20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rPr>
      <w:rFonts w:ascii="Times New Roman" w:hAnsi="Times New Roman"/>
      <w:kern w:val="0"/>
      <w:sz w:val="20"/>
      <w:szCs w:val="20"/>
    </w:rPr>
  </w:style>
  <w:style w:type="paragraph" w:styleId="3">
    <w:name w:val="Plain Text"/>
    <w:basedOn w:val="1"/>
    <w:qFormat/>
    <w:uiPriority w:val="0"/>
    <w:rPr>
      <w:rFonts w:ascii="宋体" w:hAnsi="Courier New" w:cs="Courier New"/>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able of figures"/>
    <w:next w:val="7"/>
    <w:unhideWhenUsed/>
    <w:qFormat/>
    <w:uiPriority w:val="0"/>
    <w:pPr>
      <w:keepNext w:val="0"/>
      <w:keepLines w:val="0"/>
      <w:widowControl w:val="0"/>
      <w:suppressLineNumbers w:val="0"/>
      <w:autoSpaceDE w:val="0"/>
      <w:autoSpaceDN w:val="0"/>
      <w:ind w:left="200" w:leftChars="200" w:hanging="200" w:hangingChars="200"/>
      <w:jc w:val="left"/>
    </w:pPr>
    <w:rPr>
      <w:rFonts w:hint="default" w:ascii="Times New Roman" w:hAnsi="Times New Roman" w:eastAsia="宋体" w:cs="Times New Roman"/>
      <w:kern w:val="0"/>
      <w:sz w:val="24"/>
      <w:szCs w:val="24"/>
      <w:lang w:val="en-US" w:eastAsia="zh-CN" w:bidi="ar"/>
    </w:rPr>
  </w:style>
  <w:style w:type="paragraph" w:customStyle="1" w:styleId="7">
    <w:name w:val="正文_1"/>
    <w:next w:val="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
    <w:name w:val="正文_2"/>
    <w:next w:val="1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
    <w:name w:val="图表目录_0"/>
    <w:next w:val="10"/>
    <w:unhideWhenUsed/>
    <w:qFormat/>
    <w:uiPriority w:val="0"/>
    <w:pPr>
      <w:keepNext w:val="0"/>
      <w:keepLines w:val="0"/>
      <w:widowControl w:val="0"/>
      <w:suppressLineNumbers w:val="0"/>
      <w:autoSpaceDE w:val="0"/>
      <w:autoSpaceDN w:val="0"/>
      <w:ind w:left="200" w:leftChars="200" w:hanging="200" w:hangingChars="200"/>
      <w:jc w:val="left"/>
    </w:pPr>
    <w:rPr>
      <w:rFonts w:hint="default" w:ascii="Times New Roman" w:hAnsi="Times New Roman" w:eastAsia="宋体"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13027</Words>
  <Characters>14509</Characters>
  <Lines>0</Lines>
  <Paragraphs>0</Paragraphs>
  <TotalTime>12</TotalTime>
  <ScaleCrop>false</ScaleCrop>
  <LinksUpToDate>false</LinksUpToDate>
  <CharactersWithSpaces>14579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2026-05-06T08:44:00Z</dcterms:created>
  <dc:creator>夕夜VOS</dc:creator>
  <cp:lastModifiedBy>夕夜VOS</cp:lastModifiedBy>
  <dcterms:modified xsi:type="dcterms:W3CDTF">2026-05-14T02:26:40Z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6ECA8F7A5DAE47ABB9EA83DCE1835184_13</vt:lpwstr>
  </property>
  <property fmtid="{D5CDD505-2E9C-101B-9397-08002B2CF9AE}" pid="4" name="KSOTemplateDocerSaveRecord">
    <vt:lpwstr>eyJoZGlkIjoiNjlkNzdmZjVhYzcyYjRlNDgxM2JkOTYyNjllY2ZmMTMiLCJ1c2VySWQiOiI0MDg3OTEyMTgifQ==</vt:lpwstr>
  </property>
</Properties>
</file>