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C72C2">
      <w:pPr>
        <w:spacing w:line="360" w:lineRule="auto"/>
        <w:ind w:firstLine="0" w:firstLineChars="0"/>
        <w:jc w:val="center"/>
        <w:rPr>
          <w:rFonts w:ascii="Times New Roman" w:hAnsi="Times New Roman" w:eastAsia="仿宋" w:cs="Arial"/>
          <w:b/>
          <w:bCs/>
          <w:color w:val="000000" w:themeColor="text1"/>
          <w:kern w:val="21"/>
          <w:sz w:val="36"/>
          <w:szCs w:val="36"/>
          <w14:textFill>
            <w14:solidFill>
              <w14:schemeClr w14:val="tx1"/>
            </w14:solidFill>
          </w14:textFill>
        </w:rPr>
      </w:pPr>
      <w:r>
        <w:rPr>
          <w:rFonts w:hint="eastAsia" w:ascii="Times New Roman" w:hAnsi="Times New Roman" w:eastAsia="仿宋" w:cs="Arial"/>
          <w:b/>
          <w:bCs/>
          <w:color w:val="000000" w:themeColor="text1"/>
          <w:kern w:val="21"/>
          <w:sz w:val="36"/>
          <w:szCs w:val="36"/>
          <w:lang w:eastAsia="zh-CN"/>
          <w14:textFill>
            <w14:solidFill>
              <w14:schemeClr w14:val="tx1"/>
            </w14:solidFill>
          </w14:textFill>
        </w:rPr>
        <w:t>长沙综保投资有限公司</w:t>
      </w:r>
      <w:r>
        <w:rPr>
          <w:rFonts w:ascii="Times New Roman" w:hAnsi="Times New Roman" w:eastAsia="仿宋" w:cs="Arial"/>
          <w:b/>
          <w:bCs/>
          <w:color w:val="000000" w:themeColor="text1"/>
          <w:kern w:val="21"/>
          <w:sz w:val="36"/>
          <w:szCs w:val="36"/>
          <w14:textFill>
            <w14:solidFill>
              <w14:schemeClr w14:val="tx1"/>
            </w14:solidFill>
          </w14:textFill>
        </w:rPr>
        <w:t>与</w:t>
      </w:r>
    </w:p>
    <w:p w14:paraId="7E15A95D">
      <w:pPr>
        <w:spacing w:line="360" w:lineRule="auto"/>
        <w:ind w:firstLine="0" w:firstLineChars="0"/>
        <w:jc w:val="center"/>
        <w:rPr>
          <w:rFonts w:ascii="Times New Roman" w:hAnsi="Times New Roman" w:eastAsia="仿宋" w:cs="Arial"/>
          <w:b/>
          <w:bCs/>
          <w:color w:val="000000" w:themeColor="text1"/>
          <w:kern w:val="21"/>
          <w:sz w:val="36"/>
          <w:szCs w:val="36"/>
          <w14:textFill>
            <w14:solidFill>
              <w14:schemeClr w14:val="tx1"/>
            </w14:solidFill>
          </w14:textFill>
        </w:rPr>
      </w:pPr>
      <w:r>
        <w:rPr>
          <w:rFonts w:hint="eastAsia" w:ascii="Times New Roman" w:hAnsi="Times New Roman" w:eastAsia="仿宋" w:cs="Arial"/>
          <w:b/>
          <w:bCs/>
          <w:color w:val="000000" w:themeColor="text1"/>
          <w:kern w:val="21"/>
          <w:sz w:val="36"/>
          <w:szCs w:val="36"/>
          <w14:textFill>
            <w14:solidFill>
              <w14:schemeClr w14:val="tx1"/>
            </w14:solidFill>
          </w14:textFill>
        </w:rPr>
        <w:t>财信证券股份有限公司</w:t>
      </w:r>
    </w:p>
    <w:p w14:paraId="36587BAE">
      <w:pPr>
        <w:spacing w:line="360" w:lineRule="auto"/>
        <w:ind w:firstLine="0" w:firstLineChars="0"/>
        <w:jc w:val="center"/>
        <w:rPr>
          <w:rFonts w:ascii="Times New Roman" w:hAnsi="Times New Roman" w:eastAsia="仿宋" w:cs="Arial"/>
          <w:b/>
          <w:bCs/>
          <w:color w:val="000000" w:themeColor="text1"/>
          <w:kern w:val="21"/>
          <w:sz w:val="36"/>
          <w:szCs w:val="36"/>
          <w14:textFill>
            <w14:solidFill>
              <w14:schemeClr w14:val="tx1"/>
            </w14:solidFill>
          </w14:textFill>
        </w:rPr>
      </w:pPr>
    </w:p>
    <w:p w14:paraId="272818A3">
      <w:pPr>
        <w:spacing w:line="360" w:lineRule="auto"/>
        <w:ind w:firstLine="0" w:firstLineChars="0"/>
        <w:jc w:val="center"/>
        <w:rPr>
          <w:rFonts w:ascii="Times New Roman" w:hAnsi="Times New Roman" w:eastAsia="仿宋" w:cs="Arial"/>
          <w:b/>
          <w:bCs/>
          <w:color w:val="000000" w:themeColor="text1"/>
          <w:kern w:val="21"/>
          <w:sz w:val="36"/>
          <w:szCs w:val="36"/>
          <w14:textFill>
            <w14:solidFill>
              <w14:schemeClr w14:val="tx1"/>
            </w14:solidFill>
          </w14:textFill>
        </w:rPr>
      </w:pPr>
      <w:r>
        <w:rPr>
          <w:rFonts w:ascii="Times New Roman" w:hAnsi="Times New Roman" w:eastAsia="仿宋" w:cs="Arial"/>
          <w:b/>
          <w:bCs/>
          <w:color w:val="000000" w:themeColor="text1"/>
          <w:kern w:val="21"/>
          <w:sz w:val="36"/>
          <w:szCs w:val="36"/>
          <w14:textFill>
            <w14:solidFill>
              <w14:schemeClr w14:val="tx1"/>
            </w14:solidFill>
          </w14:textFill>
        </w:rPr>
        <w:t>关于</w:t>
      </w:r>
    </w:p>
    <w:p w14:paraId="5DB96EA2">
      <w:pPr>
        <w:spacing w:line="360" w:lineRule="auto"/>
        <w:ind w:firstLine="0" w:firstLineChars="0"/>
        <w:jc w:val="center"/>
        <w:rPr>
          <w:rFonts w:ascii="Times New Roman" w:hAnsi="Times New Roman" w:eastAsia="仿宋" w:cs="Arial"/>
          <w:b/>
          <w:bCs/>
          <w:color w:val="000000" w:themeColor="text1"/>
          <w:kern w:val="21"/>
          <w:sz w:val="36"/>
          <w:szCs w:val="36"/>
          <w14:textFill>
            <w14:solidFill>
              <w14:schemeClr w14:val="tx1"/>
            </w14:solidFill>
          </w14:textFill>
        </w:rPr>
      </w:pPr>
      <w:r>
        <w:rPr>
          <w:rFonts w:hint="eastAsia" w:ascii="Times New Roman" w:hAnsi="Times New Roman" w:eastAsia="仿宋" w:cs="Arial"/>
          <w:b/>
          <w:bCs/>
          <w:color w:val="000000" w:themeColor="text1"/>
          <w:kern w:val="21"/>
          <w:sz w:val="36"/>
          <w:szCs w:val="36"/>
          <w:lang w:eastAsia="zh-CN"/>
          <w14:textFill>
            <w14:solidFill>
              <w14:schemeClr w14:val="tx1"/>
            </w14:solidFill>
          </w14:textFill>
        </w:rPr>
        <w:t>长沙综保投资有限公司2026年面向专业投资者非公开发行一带一路公司债券</w:t>
      </w:r>
      <w:r>
        <w:rPr>
          <w:rFonts w:hint="eastAsia" w:ascii="Times New Roman" w:hAnsi="Times New Roman" w:eastAsia="仿宋" w:cs="Arial"/>
          <w:b/>
          <w:bCs/>
          <w:color w:val="000000" w:themeColor="text1"/>
          <w:kern w:val="21"/>
          <w:sz w:val="36"/>
          <w:szCs w:val="36"/>
          <w14:textFill>
            <w14:solidFill>
              <w14:schemeClr w14:val="tx1"/>
            </w14:solidFill>
          </w14:textFill>
        </w:rPr>
        <w:t>之</w:t>
      </w:r>
    </w:p>
    <w:p w14:paraId="429CBA65">
      <w:pPr>
        <w:spacing w:line="360" w:lineRule="auto"/>
        <w:ind w:firstLine="0" w:firstLineChars="0"/>
        <w:jc w:val="center"/>
        <w:rPr>
          <w:rFonts w:ascii="Times New Roman" w:hAnsi="Times New Roman" w:eastAsia="仿宋" w:cs="Arial"/>
          <w:color w:val="000000" w:themeColor="text1"/>
          <w:kern w:val="21"/>
          <w:sz w:val="36"/>
          <w:szCs w:val="36"/>
          <w14:textFill>
            <w14:solidFill>
              <w14:schemeClr w14:val="tx1"/>
            </w14:solidFill>
          </w14:textFill>
        </w:rPr>
      </w:pPr>
    </w:p>
    <w:p w14:paraId="7ACD52C4">
      <w:pPr>
        <w:spacing w:line="360" w:lineRule="auto"/>
        <w:ind w:firstLine="0" w:firstLineChars="0"/>
        <w:jc w:val="center"/>
        <w:rPr>
          <w:rFonts w:ascii="Times New Roman" w:hAnsi="Times New Roman" w:eastAsia="仿宋" w:cs="Arial"/>
          <w:color w:val="000000" w:themeColor="text1"/>
          <w:kern w:val="21"/>
          <w:sz w:val="44"/>
          <w:szCs w:val="44"/>
          <w14:textFill>
            <w14:solidFill>
              <w14:schemeClr w14:val="tx1"/>
            </w14:solidFill>
          </w14:textFill>
        </w:rPr>
      </w:pPr>
      <w:r>
        <w:rPr>
          <w:rFonts w:ascii="Times New Roman" w:hAnsi="Times New Roman" w:eastAsia="仿宋" w:cs="Arial"/>
          <w:color w:val="000000" w:themeColor="text1"/>
          <w:kern w:val="21"/>
          <w:sz w:val="44"/>
          <w:szCs w:val="44"/>
          <w14:textFill>
            <w14:solidFill>
              <w14:schemeClr w14:val="tx1"/>
            </w14:solidFill>
          </w14:textFill>
        </w:rPr>
        <w:t>承销协议</w:t>
      </w:r>
    </w:p>
    <w:p w14:paraId="06B68133">
      <w:pPr>
        <w:spacing w:line="360" w:lineRule="auto"/>
        <w:ind w:firstLine="0" w:firstLineChars="0"/>
        <w:rPr>
          <w:rFonts w:ascii="Times New Roman" w:hAnsi="Times New Roman" w:eastAsia="仿宋" w:cs="Arial"/>
          <w:color w:val="000000" w:themeColor="text1"/>
          <w:kern w:val="21"/>
          <w:sz w:val="28"/>
          <w:szCs w:val="28"/>
          <w14:textFill>
            <w14:solidFill>
              <w14:schemeClr w14:val="tx1"/>
            </w14:solidFill>
          </w14:textFill>
        </w:rPr>
      </w:pPr>
    </w:p>
    <w:p w14:paraId="5C05DB34">
      <w:pPr>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6D4A00D7">
      <w:pPr>
        <w:spacing w:line="360" w:lineRule="auto"/>
        <w:ind w:firstLine="560" w:firstLineChars="200"/>
        <w:jc w:val="center"/>
        <w:rPr>
          <w:rFonts w:ascii="Times New Roman" w:hAnsi="Times New Roman" w:eastAsia="仿宋" w:cs="Arial"/>
          <w:color w:val="000000" w:themeColor="text1"/>
          <w:kern w:val="21"/>
          <w:sz w:val="28"/>
          <w:szCs w:val="28"/>
          <w14:textFill>
            <w14:solidFill>
              <w14:schemeClr w14:val="tx1"/>
            </w14:solidFill>
          </w14:textFill>
        </w:rPr>
      </w:pPr>
    </w:p>
    <w:p w14:paraId="41E7AB00">
      <w:pPr>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2BF165BE">
      <w:pPr>
        <w:ind w:firstLine="0" w:firstLineChars="0"/>
        <w:jc w:val="center"/>
        <w:rPr>
          <w:rFonts w:ascii="Times New Roman" w:hAnsi="Times New Roman" w:eastAsia="仿宋" w:cs="仿宋"/>
          <w:b/>
          <w:color w:val="000000" w:themeColor="text1"/>
          <w:sz w:val="32"/>
          <w:szCs w:val="32"/>
          <w14:textFill>
            <w14:solidFill>
              <w14:schemeClr w14:val="tx1"/>
            </w14:solidFill>
          </w14:textFill>
        </w:rPr>
      </w:pPr>
      <w:r>
        <w:rPr>
          <w:rFonts w:hint="eastAsia" w:ascii="Times New Roman" w:hAnsi="Times New Roman" w:eastAsia="仿宋" w:cs="仿宋"/>
          <w:b/>
          <w:color w:val="000000" w:themeColor="text1"/>
          <w:sz w:val="32"/>
          <w:szCs w:val="32"/>
          <w:lang w:val="en-US" w:eastAsia="zh-CN" w:bidi="ar"/>
          <w14:textFill>
            <w14:solidFill>
              <w14:schemeClr w14:val="tx1"/>
            </w14:solidFill>
          </w14:textFill>
        </w:rPr>
        <w:t>2026</w:t>
      </w:r>
      <w:r>
        <w:rPr>
          <w:rFonts w:hint="eastAsia" w:ascii="Times New Roman" w:hAnsi="Times New Roman" w:eastAsia="仿宋" w:cs="仿宋"/>
          <w:b/>
          <w:color w:val="000000" w:themeColor="text1"/>
          <w:sz w:val="32"/>
          <w:szCs w:val="32"/>
          <w14:textFill>
            <w14:solidFill>
              <w14:schemeClr w14:val="tx1"/>
            </w14:solidFill>
          </w14:textFill>
        </w:rPr>
        <w:t>年</w:t>
      </w:r>
      <w:r>
        <w:rPr>
          <w:rFonts w:hint="eastAsia" w:ascii="Times New Roman" w:hAnsi="Times New Roman" w:eastAsia="仿宋" w:cs="仿宋"/>
          <w:b/>
          <w:color w:val="000000" w:themeColor="text1"/>
          <w:sz w:val="32"/>
          <w:szCs w:val="32"/>
          <w:lang w:val="en-US" w:eastAsia="zh-CN"/>
          <w14:textFill>
            <w14:solidFill>
              <w14:schemeClr w14:val="tx1"/>
            </w14:solidFill>
          </w14:textFill>
        </w:rPr>
        <w:t xml:space="preserve">  </w:t>
      </w:r>
      <w:r>
        <w:rPr>
          <w:rFonts w:hint="eastAsia" w:ascii="Times New Roman" w:hAnsi="Times New Roman" w:eastAsia="仿宋" w:cs="仿宋"/>
          <w:b/>
          <w:color w:val="000000" w:themeColor="text1"/>
          <w:sz w:val="32"/>
          <w:szCs w:val="32"/>
          <w14:textFill>
            <w14:solidFill>
              <w14:schemeClr w14:val="tx1"/>
            </w14:solidFill>
          </w14:textFill>
        </w:rPr>
        <w:t>月</w:t>
      </w:r>
    </w:p>
    <w:p w14:paraId="73190F46">
      <w:pPr>
        <w:spacing w:line="360" w:lineRule="auto"/>
        <w:ind w:firstLine="560" w:firstLineChars="200"/>
        <w:jc w:val="center"/>
        <w:rPr>
          <w:rFonts w:ascii="Times New Roman" w:hAnsi="Times New Roman" w:eastAsia="仿宋" w:cs="Arial"/>
          <w:color w:val="000000" w:themeColor="text1"/>
          <w:kern w:val="21"/>
          <w:sz w:val="28"/>
          <w:szCs w:val="28"/>
          <w14:textFill>
            <w14:solidFill>
              <w14:schemeClr w14:val="tx1"/>
            </w14:solidFill>
          </w14:textFill>
        </w:rPr>
      </w:pPr>
    </w:p>
    <w:p w14:paraId="54CCA0E2">
      <w:pPr>
        <w:adjustRightInd w:val="0"/>
        <w:snapToGrid w:val="0"/>
        <w:spacing w:line="360" w:lineRule="auto"/>
        <w:ind w:firstLine="560" w:firstLineChars="200"/>
        <w:rPr>
          <w:rFonts w:ascii="Times New Roman" w:hAnsi="Times New Roman" w:eastAsia="仿宋" w:cs="Arial"/>
          <w:color w:val="000000" w:themeColor="text1"/>
          <w:kern w:val="21"/>
          <w:sz w:val="28"/>
          <w:szCs w:val="24"/>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4DD95CFE">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本协议由以下各方在</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长沙</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签署：</w:t>
      </w:r>
    </w:p>
    <w:p w14:paraId="6DB1998F">
      <w:pPr>
        <w:adjustRightInd w:val="0"/>
        <w:snapToGrid w:val="0"/>
        <w:spacing w:line="360" w:lineRule="auto"/>
        <w:ind w:firstLine="562" w:firstLineChars="200"/>
        <w:rPr>
          <w:rFonts w:ascii="Times New Roman" w:hAnsi="Times New Roman" w:eastAsia="仿宋" w:cs="Arial"/>
          <w:b/>
          <w:color w:val="000000" w:themeColor="text1"/>
          <w:kern w:val="21"/>
          <w:sz w:val="28"/>
          <w:szCs w:val="28"/>
          <w14:textFill>
            <w14:solidFill>
              <w14:schemeClr w14:val="tx1"/>
            </w14:solidFill>
          </w14:textFill>
        </w:rPr>
      </w:pPr>
    </w:p>
    <w:p w14:paraId="44100C1A">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eastAsia="zh-CN"/>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甲方（发行人）：</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w:t>
      </w:r>
    </w:p>
    <w:p w14:paraId="17A3F40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注册地址：湖南省长沙县黄花镇大元路长沙黄花综合保税区综合大楼四楼</w:t>
      </w:r>
    </w:p>
    <w:p w14:paraId="08FAF1C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法定代表人：</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黄果</w:t>
      </w:r>
    </w:p>
    <w:p w14:paraId="513C49A5">
      <w:pPr>
        <w:adjustRightInd w:val="0"/>
        <w:snapToGrid w:val="0"/>
        <w:spacing w:line="360" w:lineRule="auto"/>
        <w:ind w:firstLine="560" w:firstLineChars="200"/>
        <w:rPr>
          <w:rFonts w:hint="default" w:ascii="Times New Roman" w:hAnsi="Times New Roman" w:eastAsia="仿宋" w:cs="Arial"/>
          <w:color w:val="000000" w:themeColor="text1"/>
          <w:kern w:val="21"/>
          <w:sz w:val="28"/>
          <w:szCs w:val="28"/>
          <w:lang w:val="en-US" w:eastAsia="zh-CN"/>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联系人：</w:t>
      </w:r>
      <w:r>
        <w:rPr>
          <w:rFonts w:hint="eastAsia" w:ascii="Times New Roman" w:hAnsi="Times New Roman" w:eastAsia="仿宋" w:cs="Arial"/>
          <w:color w:val="000000" w:themeColor="text1"/>
          <w:kern w:val="21"/>
          <w:sz w:val="28"/>
          <w:szCs w:val="28"/>
          <w14:textFill>
            <w14:solidFill>
              <w14:schemeClr w14:val="tx1"/>
            </w14:solidFill>
          </w14:textFill>
        </w:rPr>
        <w:t>杨媚、文智彬</w:t>
      </w:r>
    </w:p>
    <w:p w14:paraId="48F54382">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val="en-US" w:eastAsia="zh-CN"/>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联系电话：0731-86881800</w:t>
      </w:r>
    </w:p>
    <w:p w14:paraId="4C2E3EFF">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9CFC77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乙方（承销商）：财信证券股份有限公司</w:t>
      </w:r>
    </w:p>
    <w:p w14:paraId="2B1E931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注册地址：</w:t>
      </w:r>
      <w:r>
        <w:rPr>
          <w:rFonts w:hint="default" w:ascii="Times New Roman" w:hAnsi="Times New Roman" w:eastAsia="仿宋" w:cs="Times New Roman"/>
          <w:kern w:val="21"/>
          <w:sz w:val="28"/>
          <w:szCs w:val="28"/>
        </w:rPr>
        <w:t>湖南省长沙市岳麓区茶子山东路112号滨江金融中心T2栋(B座)26层</w:t>
      </w:r>
    </w:p>
    <w:p w14:paraId="6BFCB84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法定代表人：</w:t>
      </w:r>
      <w:r>
        <w:rPr>
          <w:rFonts w:hint="default" w:ascii="Times New Roman" w:hAnsi="Times New Roman" w:eastAsia="仿宋" w:cs="Times New Roman"/>
          <w:b w:val="0"/>
          <w:bCs/>
          <w:sz w:val="28"/>
          <w:szCs w:val="28"/>
          <w:lang w:val="en-US" w:eastAsia="zh-CN"/>
        </w:rPr>
        <w:t>刘宛晨</w:t>
      </w:r>
    </w:p>
    <w:p w14:paraId="02CC25DA">
      <w:pPr>
        <w:adjustRightInd w:val="0"/>
        <w:snapToGrid w:val="0"/>
        <w:spacing w:line="360" w:lineRule="auto"/>
        <w:ind w:firstLine="560" w:firstLineChars="200"/>
        <w:rPr>
          <w:rFonts w:hint="default" w:ascii="Times New Roman" w:hAnsi="Times New Roman" w:eastAsia="仿宋" w:cs="Times New Roman"/>
          <w:kern w:val="21"/>
          <w:sz w:val="28"/>
          <w:szCs w:val="28"/>
          <w:lang w:val="en-US"/>
        </w:rPr>
      </w:pPr>
      <w:r>
        <w:rPr>
          <w:rFonts w:hint="default" w:ascii="Times New Roman" w:hAnsi="Times New Roman" w:eastAsia="仿宋" w:cs="Times New Roman"/>
          <w:kern w:val="21"/>
          <w:sz w:val="28"/>
          <w:szCs w:val="28"/>
        </w:rPr>
        <w:t>联系人：</w:t>
      </w:r>
      <w:r>
        <w:rPr>
          <w:rFonts w:hint="eastAsia" w:ascii="Times New Roman" w:hAnsi="Times New Roman" w:eastAsia="仿宋" w:cs="Times New Roman"/>
          <w:kern w:val="21"/>
          <w:sz w:val="28"/>
          <w:szCs w:val="28"/>
          <w:lang w:val="en-US" w:eastAsia="zh-CN"/>
        </w:rPr>
        <w:t>柳小康</w:t>
      </w:r>
      <w:r>
        <w:rPr>
          <w:rFonts w:hint="default" w:ascii="Times New Roman" w:hAnsi="Times New Roman" w:eastAsia="仿宋" w:cs="Times New Roman"/>
          <w:b w:val="0"/>
          <w:bCs/>
          <w:sz w:val="28"/>
          <w:szCs w:val="28"/>
          <w:lang w:val="en-US" w:eastAsia="zh-CN" w:bidi="ar"/>
        </w:rPr>
        <w:t>、</w:t>
      </w:r>
      <w:r>
        <w:rPr>
          <w:rFonts w:hint="eastAsia" w:ascii="Times New Roman" w:hAnsi="Times New Roman" w:eastAsia="仿宋" w:cs="Times New Roman"/>
          <w:b w:val="0"/>
          <w:bCs/>
          <w:sz w:val="28"/>
          <w:szCs w:val="28"/>
          <w:lang w:val="en-US" w:eastAsia="zh-CN" w:bidi="ar"/>
        </w:rPr>
        <w:t>邓淞铭</w:t>
      </w:r>
    </w:p>
    <w:p w14:paraId="45D26C79">
      <w:pPr>
        <w:adjustRightInd w:val="0"/>
        <w:snapToGrid w:val="0"/>
        <w:spacing w:line="360" w:lineRule="auto"/>
        <w:ind w:firstLine="560" w:firstLineChars="200"/>
        <w:rPr>
          <w:rFonts w:hint="default" w:ascii="Times New Roman" w:hAnsi="Times New Roman" w:eastAsia="仿宋" w:cs="Times New Roman"/>
          <w:kern w:val="21"/>
          <w:sz w:val="28"/>
          <w:szCs w:val="28"/>
        </w:rPr>
      </w:pPr>
      <w:r>
        <w:rPr>
          <w:rFonts w:hint="default" w:ascii="Times New Roman" w:hAnsi="Times New Roman" w:eastAsia="仿宋" w:cs="Times New Roman"/>
          <w:kern w:val="21"/>
          <w:sz w:val="28"/>
          <w:szCs w:val="28"/>
        </w:rPr>
        <w:t>联系电话：</w:t>
      </w:r>
      <w:r>
        <w:rPr>
          <w:rFonts w:hint="default" w:ascii="Times New Roman" w:hAnsi="Times New Roman" w:eastAsia="仿宋" w:cs="Times New Roman"/>
          <w:b w:val="0"/>
          <w:bCs/>
          <w:sz w:val="28"/>
          <w:szCs w:val="28"/>
        </w:rPr>
        <w:t>0731-84403307</w:t>
      </w:r>
    </w:p>
    <w:p w14:paraId="4B537442">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B467C3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378DB96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鉴于：</w:t>
      </w:r>
    </w:p>
    <w:p w14:paraId="1246F17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1．甲方</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依法具备</w:t>
      </w:r>
      <w:r>
        <w:rPr>
          <w:rFonts w:hint="eastAsia" w:ascii="Times New Roman" w:hAnsi="Times New Roman" w:eastAsia="仿宋" w:cs="Arial"/>
          <w:color w:val="000000" w:themeColor="text1"/>
          <w:kern w:val="21"/>
          <w:sz w:val="28"/>
          <w:szCs w:val="28"/>
          <w14:textFill>
            <w14:solidFill>
              <w14:schemeClr w14:val="tx1"/>
            </w14:solidFill>
          </w14:textFill>
        </w:rPr>
        <w:t>《公司债券发行</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与</w:t>
      </w:r>
      <w:r>
        <w:rPr>
          <w:rFonts w:hint="eastAsia" w:ascii="Times New Roman" w:hAnsi="Times New Roman" w:eastAsia="仿宋" w:cs="Arial"/>
          <w:color w:val="000000" w:themeColor="text1"/>
          <w:kern w:val="21"/>
          <w:sz w:val="28"/>
          <w:szCs w:val="28"/>
          <w14:textFill>
            <w14:solidFill>
              <w14:schemeClr w14:val="tx1"/>
            </w14:solidFill>
          </w14:textFill>
        </w:rPr>
        <w:t>交易管理办法》、《非公开发行公司债券报备管理办法》等法律法规规定的</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非公开发行</w:t>
      </w:r>
      <w:r>
        <w:rPr>
          <w:rFonts w:hint="eastAsia" w:ascii="Times New Roman" w:hAnsi="Times New Roman" w:eastAsia="仿宋" w:cs="仿宋"/>
          <w:color w:val="000000" w:themeColor="text1"/>
          <w:sz w:val="28"/>
          <w:szCs w:val="28"/>
          <w14:textFill>
            <w14:solidFill>
              <w14:schemeClr w14:val="tx1"/>
            </w14:solidFill>
          </w14:textFill>
        </w:rPr>
        <w:t>公司债券</w:t>
      </w:r>
      <w:r>
        <w:rPr>
          <w:rFonts w:hint="eastAsia" w:ascii="Times New Roman" w:hAnsi="Times New Roman" w:eastAsia="仿宋" w:cs="仿宋"/>
          <w:color w:val="000000" w:themeColor="text1"/>
          <w:sz w:val="28"/>
          <w:szCs w:val="28"/>
          <w:lang w:eastAsia="zh-CN"/>
          <w14:textFill>
            <w14:solidFill>
              <w14:schemeClr w14:val="tx1"/>
            </w14:solidFill>
          </w14:textFill>
        </w:rPr>
        <w:t>的</w:t>
      </w:r>
      <w:r>
        <w:rPr>
          <w:rFonts w:hint="eastAsia" w:ascii="Times New Roman" w:hAnsi="Times New Roman" w:eastAsia="仿宋" w:cs="仿宋"/>
          <w:color w:val="000000" w:themeColor="text1"/>
          <w:sz w:val="28"/>
          <w:szCs w:val="28"/>
          <w14:textFill>
            <w14:solidFill>
              <w14:schemeClr w14:val="tx1"/>
            </w14:solidFill>
          </w14:textFill>
        </w:rPr>
        <w:t>主体资格</w:t>
      </w:r>
      <w:r>
        <w:rPr>
          <w:rFonts w:hint="eastAsia" w:ascii="Times New Roman" w:hAnsi="Times New Roman" w:eastAsia="仿宋" w:cs="Arial"/>
          <w:color w:val="000000" w:themeColor="text1"/>
          <w:kern w:val="21"/>
          <w:sz w:val="28"/>
          <w:szCs w:val="28"/>
          <w14:textFill>
            <w14:solidFill>
              <w14:schemeClr w14:val="tx1"/>
            </w14:solidFill>
          </w14:textFill>
        </w:rPr>
        <w:t>，且不属于《非公开发行公司债券</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项目承接</w:t>
      </w:r>
      <w:r>
        <w:rPr>
          <w:rFonts w:hint="eastAsia" w:ascii="Times New Roman" w:hAnsi="Times New Roman" w:eastAsia="仿宋" w:cs="Arial"/>
          <w:color w:val="000000" w:themeColor="text1"/>
          <w:kern w:val="21"/>
          <w:sz w:val="28"/>
          <w:szCs w:val="28"/>
          <w14:textFill>
            <w14:solidFill>
              <w14:schemeClr w14:val="tx1"/>
            </w14:solidFill>
          </w14:textFill>
        </w:rPr>
        <w:t>负面清单指引》规定的范畴</w:t>
      </w:r>
      <w:r>
        <w:rPr>
          <w:rFonts w:ascii="Times New Roman" w:hAnsi="Times New Roman" w:eastAsia="仿宋" w:cs="Arial"/>
          <w:color w:val="000000" w:themeColor="text1"/>
          <w:kern w:val="21"/>
          <w:sz w:val="28"/>
          <w:szCs w:val="28"/>
          <w14:textFill>
            <w14:solidFill>
              <w14:schemeClr w14:val="tx1"/>
            </w14:solidFill>
          </w14:textFill>
        </w:rPr>
        <w:t>；</w:t>
      </w:r>
    </w:p>
    <w:p w14:paraId="2890BA6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2．甲方拟向</w:t>
      </w:r>
      <w:r>
        <w:rPr>
          <w:rFonts w:hint="eastAsia" w:ascii="Times New Roman" w:hAnsi="Times New Roman" w:eastAsia="仿宋" w:cs="Arial"/>
          <w:color w:val="000000" w:themeColor="text1"/>
          <w:kern w:val="21"/>
          <w:sz w:val="28"/>
          <w:szCs w:val="28"/>
          <w14:textFill>
            <w14:solidFill>
              <w14:schemeClr w14:val="tx1"/>
            </w14:solidFill>
          </w14:textFill>
        </w:rPr>
        <w:t>专业投资者</w:t>
      </w:r>
      <w:r>
        <w:rPr>
          <w:rFonts w:ascii="Times New Roman" w:hAnsi="Times New Roman" w:eastAsia="仿宋" w:cs="Arial"/>
          <w:color w:val="000000" w:themeColor="text1"/>
          <w:kern w:val="21"/>
          <w:sz w:val="28"/>
          <w:szCs w:val="28"/>
          <w14:textFill>
            <w14:solidFill>
              <w14:schemeClr w14:val="tx1"/>
            </w14:solidFill>
          </w14:textFill>
        </w:rPr>
        <w:t>非公开发行</w:t>
      </w:r>
      <w:r>
        <w:rPr>
          <w:rFonts w:hint="eastAsia" w:ascii="Times New Roman" w:hAnsi="Times New Roman" w:eastAsia="仿宋" w:cs="Arial"/>
          <w:color w:val="000000" w:themeColor="text1"/>
          <w:kern w:val="21"/>
          <w:sz w:val="28"/>
          <w:szCs w:val="28"/>
          <w14:textFill>
            <w14:solidFill>
              <w14:schemeClr w14:val="tx1"/>
            </w14:solidFill>
          </w14:textFill>
        </w:rPr>
        <w:t>人民币</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不超过5.00亿元人民币</w:t>
      </w:r>
      <w:r>
        <w:rPr>
          <w:rFonts w:ascii="Times New Roman" w:hAnsi="Times New Roman" w:eastAsia="仿宋" w:cs="Arial"/>
          <w:color w:val="000000" w:themeColor="text1"/>
          <w:kern w:val="21"/>
          <w:sz w:val="28"/>
          <w:szCs w:val="28"/>
          <w14:textFill>
            <w14:solidFill>
              <w14:schemeClr w14:val="tx1"/>
            </w14:solidFill>
          </w14:textFill>
        </w:rPr>
        <w:t>的</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长沙综保投资有限公司2026年面向专业投资者非公开发行一带一路公司债券（</w:t>
      </w:r>
      <w:r>
        <w:rPr>
          <w:rFonts w:ascii="Times New Roman" w:hAnsi="Times New Roman" w:eastAsia="仿宋" w:cs="Arial"/>
          <w:color w:val="000000" w:themeColor="text1"/>
          <w:kern w:val="21"/>
          <w:sz w:val="28"/>
          <w:szCs w:val="28"/>
          <w14:textFill>
            <w14:solidFill>
              <w14:schemeClr w14:val="tx1"/>
            </w14:solidFill>
          </w14:textFill>
        </w:rPr>
        <w:t>以下</w:t>
      </w:r>
      <w:r>
        <w:rPr>
          <w:rFonts w:hint="eastAsia" w:ascii="Times New Roman" w:hAnsi="Times New Roman" w:eastAsia="仿宋" w:cs="Arial"/>
          <w:color w:val="000000" w:themeColor="text1"/>
          <w:kern w:val="21"/>
          <w:sz w:val="28"/>
          <w:szCs w:val="28"/>
          <w14:textFill>
            <w14:solidFill>
              <w14:schemeClr w14:val="tx1"/>
            </w14:solidFill>
          </w14:textFill>
        </w:rPr>
        <w:t>简</w:t>
      </w:r>
      <w:r>
        <w:rPr>
          <w:rFonts w:ascii="Times New Roman" w:hAnsi="Times New Roman" w:eastAsia="仿宋" w:cs="Arial"/>
          <w:color w:val="000000" w:themeColor="text1"/>
          <w:kern w:val="21"/>
          <w:sz w:val="28"/>
          <w:szCs w:val="28"/>
          <w14:textFill>
            <w14:solidFill>
              <w14:schemeClr w14:val="tx1"/>
            </w14:solidFill>
          </w14:textFill>
        </w:rPr>
        <w:t>称</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本次发行</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w:t>
      </w:r>
    </w:p>
    <w:p w14:paraId="680ABFD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3．乙方系经中国证监会核准的全国性综合类证券公司，</w:t>
      </w:r>
      <w:r>
        <w:rPr>
          <w:rFonts w:hint="eastAsia" w:ascii="Times New Roman" w:hAnsi="Times New Roman" w:eastAsia="仿宋" w:cs="Arial"/>
          <w:color w:val="000000" w:themeColor="text1"/>
          <w:kern w:val="21"/>
          <w:sz w:val="28"/>
          <w:szCs w:val="28"/>
          <w14:textFill>
            <w14:solidFill>
              <w14:schemeClr w14:val="tx1"/>
            </w14:solidFill>
          </w14:textFill>
        </w:rPr>
        <w:t>具备</w:t>
      </w:r>
      <w:r>
        <w:rPr>
          <w:rFonts w:hint="default" w:ascii="Times New Roman" w:hAnsi="Times New Roman" w:eastAsia="仿宋" w:cs="Arial"/>
          <w:color w:val="000000" w:themeColor="text1"/>
          <w:kern w:val="21"/>
          <w:sz w:val="28"/>
          <w:szCs w:val="28"/>
          <w:lang w:val="en-US"/>
          <w14:textFill>
            <w14:solidFill>
              <w14:schemeClr w14:val="tx1"/>
            </w14:solidFill>
          </w14:textFill>
        </w:rPr>
        <w:t>开展非公开发行公司债券承销业务的</w:t>
      </w:r>
      <w:r>
        <w:rPr>
          <w:rFonts w:hint="eastAsia" w:ascii="Times New Roman" w:hAnsi="Times New Roman" w:eastAsia="仿宋" w:cs="Arial"/>
          <w:color w:val="000000" w:themeColor="text1"/>
          <w:kern w:val="21"/>
          <w:sz w:val="28"/>
          <w:szCs w:val="28"/>
          <w14:textFill>
            <w14:solidFill>
              <w14:schemeClr w14:val="tx1"/>
            </w14:solidFill>
          </w14:textFill>
        </w:rPr>
        <w:t>资格，可以作为非公开发行公司债券之承销商</w:t>
      </w:r>
      <w:r>
        <w:rPr>
          <w:rFonts w:ascii="Times New Roman" w:hAnsi="Times New Roman" w:eastAsia="仿宋" w:cs="Arial"/>
          <w:color w:val="000000" w:themeColor="text1"/>
          <w:kern w:val="21"/>
          <w:sz w:val="28"/>
          <w:szCs w:val="28"/>
          <w14:textFill>
            <w14:solidFill>
              <w14:schemeClr w14:val="tx1"/>
            </w14:solidFill>
          </w14:textFill>
        </w:rPr>
        <w:t>；</w:t>
      </w:r>
    </w:p>
    <w:p w14:paraId="4A1EF83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4. 甲方拟委任乙方为本次发行的承销商，负责以</w:t>
      </w:r>
      <w:r>
        <w:rPr>
          <w:rFonts w:hint="eastAsia" w:ascii="Times New Roman" w:hAnsi="Times New Roman" w:eastAsia="仿宋" w:cs="Arial"/>
          <w:color w:val="000000" w:themeColor="text1"/>
          <w:kern w:val="21"/>
          <w:sz w:val="28"/>
          <w:szCs w:val="28"/>
          <w14:textFill>
            <w14:solidFill>
              <w14:schemeClr w14:val="tx1"/>
            </w14:solidFill>
          </w14:textFill>
        </w:rPr>
        <w:t>余额包销</w:t>
      </w:r>
      <w:r>
        <w:rPr>
          <w:rFonts w:ascii="Times New Roman" w:hAnsi="Times New Roman" w:eastAsia="仿宋" w:cs="Arial"/>
          <w:color w:val="000000" w:themeColor="text1"/>
          <w:kern w:val="21"/>
          <w:sz w:val="28"/>
          <w:szCs w:val="28"/>
          <w14:textFill>
            <w14:solidFill>
              <w14:schemeClr w14:val="tx1"/>
            </w14:solidFill>
          </w14:textFill>
        </w:rPr>
        <w:t>的方式承销本</w:t>
      </w:r>
      <w:r>
        <w:rPr>
          <w:rFonts w:hint="eastAsia" w:ascii="Times New Roman" w:hAnsi="Times New Roman" w:eastAsia="仿宋" w:cs="Arial"/>
          <w:color w:val="000000" w:themeColor="text1"/>
          <w:kern w:val="21"/>
          <w:sz w:val="28"/>
          <w:szCs w:val="28"/>
          <w14:textFill>
            <w14:solidFill>
              <w14:schemeClr w14:val="tx1"/>
            </w14:solidFill>
          </w14:textFill>
        </w:rPr>
        <w:t>次</w:t>
      </w:r>
      <w:r>
        <w:rPr>
          <w:rFonts w:ascii="Times New Roman" w:hAnsi="Times New Roman" w:eastAsia="仿宋" w:cs="Arial"/>
          <w:color w:val="000000" w:themeColor="text1"/>
          <w:kern w:val="21"/>
          <w:sz w:val="28"/>
          <w:szCs w:val="28"/>
          <w14:textFill>
            <w14:solidFill>
              <w14:schemeClr w14:val="tx1"/>
            </w14:solidFill>
          </w14:textFill>
        </w:rPr>
        <w:t>债券</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乙方同意接受此项</w:t>
      </w:r>
      <w:r>
        <w:rPr>
          <w:rFonts w:hint="eastAsia" w:ascii="Times New Roman" w:hAnsi="Times New Roman" w:eastAsia="仿宋" w:cs="Arial"/>
          <w:color w:val="000000" w:themeColor="text1"/>
          <w:kern w:val="21"/>
          <w:sz w:val="28"/>
          <w:szCs w:val="28"/>
          <w14:textFill>
            <w14:solidFill>
              <w14:schemeClr w14:val="tx1"/>
            </w14:solidFill>
          </w14:textFill>
        </w:rPr>
        <w:t>委任</w:t>
      </w:r>
      <w:r>
        <w:rPr>
          <w:rFonts w:ascii="Times New Roman" w:hAnsi="Times New Roman" w:eastAsia="仿宋" w:cs="Arial"/>
          <w:color w:val="000000" w:themeColor="text1"/>
          <w:kern w:val="21"/>
          <w:sz w:val="28"/>
          <w:szCs w:val="28"/>
          <w14:textFill>
            <w14:solidFill>
              <w14:schemeClr w14:val="tx1"/>
            </w14:solidFill>
          </w14:textFill>
        </w:rPr>
        <w:t>。</w:t>
      </w:r>
    </w:p>
    <w:p w14:paraId="4E54DD9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default" w:ascii="Times New Roman" w:hAnsi="Times New Roman" w:eastAsia="仿宋" w:cs="Arial"/>
          <w:color w:val="000000" w:themeColor="text1"/>
          <w:kern w:val="21"/>
          <w:sz w:val="28"/>
          <w:szCs w:val="28"/>
          <w:lang w:val="en-US"/>
          <w14:textFill>
            <w14:solidFill>
              <w14:schemeClr w14:val="tx1"/>
            </w14:solidFill>
          </w14:textFill>
        </w:rPr>
        <w:t>依据《中华人民共和国证券法》、《中华人民共和国公司法》、《公司债券发行与交易管理办法》、《非公开发行公司债券报备管理办法》以及其他有关法律法规和证券监督管理规定，</w:t>
      </w:r>
      <w:r>
        <w:rPr>
          <w:rFonts w:ascii="Times New Roman" w:hAnsi="Times New Roman" w:eastAsia="仿宋" w:cs="Arial"/>
          <w:color w:val="000000" w:themeColor="text1"/>
          <w:kern w:val="21"/>
          <w:sz w:val="28"/>
          <w:szCs w:val="28"/>
          <w14:textFill>
            <w14:solidFill>
              <w14:schemeClr w14:val="tx1"/>
            </w14:solidFill>
          </w14:textFill>
        </w:rPr>
        <w:t>甲、乙双方经友好协商一致，达成如下协议，以资共同遵守执行：</w:t>
      </w:r>
    </w:p>
    <w:p w14:paraId="3B4279D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74D4E40">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0" w:name="_Toc22089"/>
      <w:bookmarkStart w:id="1" w:name="_Toc326697835"/>
      <w:r>
        <w:rPr>
          <w:rFonts w:hint="eastAsia" w:ascii="Times New Roman" w:hAnsi="Times New Roman" w:eastAsia="仿宋"/>
          <w:color w:val="000000" w:themeColor="text1"/>
          <w:szCs w:val="28"/>
          <w14:textFill>
            <w14:solidFill>
              <w14:schemeClr w14:val="tx1"/>
            </w14:solidFill>
          </w14:textFill>
        </w:rPr>
        <w:t xml:space="preserve">第一条  </w:t>
      </w:r>
      <w:r>
        <w:rPr>
          <w:rFonts w:ascii="Times New Roman" w:hAnsi="Times New Roman" w:eastAsia="仿宋"/>
          <w:color w:val="000000" w:themeColor="text1"/>
          <w:szCs w:val="28"/>
          <w14:textFill>
            <w14:solidFill>
              <w14:schemeClr w14:val="tx1"/>
            </w14:solidFill>
          </w14:textFill>
        </w:rPr>
        <w:t>释义</w:t>
      </w:r>
      <w:bookmarkEnd w:id="0"/>
      <w:bookmarkEnd w:id="1"/>
    </w:p>
    <w:p w14:paraId="7D963B9C">
      <w:pPr>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1.1  </w:t>
      </w:r>
      <w:r>
        <w:rPr>
          <w:rFonts w:ascii="Times New Roman" w:hAnsi="Times New Roman" w:eastAsia="仿宋" w:cs="Arial"/>
          <w:color w:val="000000" w:themeColor="text1"/>
          <w:kern w:val="21"/>
          <w:sz w:val="28"/>
          <w:szCs w:val="28"/>
          <w14:textFill>
            <w14:solidFill>
              <w14:schemeClr w14:val="tx1"/>
            </w14:solidFill>
          </w14:textFill>
        </w:rPr>
        <w:t>在本协议中，除非上下文另有规定，下列词语具有以下含义：</w:t>
      </w:r>
    </w:p>
    <w:tbl>
      <w:tblPr>
        <w:tblStyle w:val="15"/>
        <w:tblW w:w="84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98"/>
        <w:gridCol w:w="588"/>
        <w:gridCol w:w="5839"/>
      </w:tblGrid>
      <w:tr w14:paraId="48B94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998" w:type="dxa"/>
            <w:shd w:val="clear" w:color="auto" w:fill="auto"/>
            <w:vAlign w:val="top"/>
          </w:tcPr>
          <w:p w14:paraId="7B4F3B4D">
            <w:pPr>
              <w:keepNext w:val="0"/>
              <w:keepLines w:val="0"/>
              <w:widowControl/>
              <w:suppressLineNumbers w:val="0"/>
              <w:jc w:val="both"/>
              <w:textAlignment w:val="top"/>
              <w:rPr>
                <w:rFonts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发行人</w:t>
            </w:r>
          </w:p>
        </w:tc>
        <w:tc>
          <w:tcPr>
            <w:tcW w:w="588" w:type="dxa"/>
            <w:shd w:val="clear" w:color="auto" w:fill="auto"/>
            <w:vAlign w:val="top"/>
          </w:tcPr>
          <w:p w14:paraId="0424A181">
            <w:pPr>
              <w:keepNext w:val="0"/>
              <w:keepLines w:val="0"/>
              <w:widowControl/>
              <w:suppressLineNumbers w:val="0"/>
              <w:jc w:val="both"/>
              <w:textAlignment w:val="top"/>
              <w:rPr>
                <w:rFonts w:hint="default"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655FD60F">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长沙综保投资有限公司，即甲方</w:t>
            </w:r>
          </w:p>
        </w:tc>
      </w:tr>
      <w:tr w14:paraId="72E2E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998" w:type="dxa"/>
            <w:shd w:val="clear" w:color="auto" w:fill="auto"/>
            <w:vAlign w:val="top"/>
          </w:tcPr>
          <w:p w14:paraId="1BAE09DE">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承销商</w:t>
            </w:r>
          </w:p>
        </w:tc>
        <w:tc>
          <w:tcPr>
            <w:tcW w:w="588" w:type="dxa"/>
            <w:shd w:val="clear" w:color="auto" w:fill="auto"/>
            <w:vAlign w:val="top"/>
          </w:tcPr>
          <w:p w14:paraId="4D9ABD5E">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65C3D12C">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财信证券股份有限公司，即乙方</w:t>
            </w:r>
          </w:p>
        </w:tc>
      </w:tr>
      <w:tr w14:paraId="7F044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1998" w:type="dxa"/>
            <w:shd w:val="clear" w:color="auto" w:fill="auto"/>
            <w:vAlign w:val="top"/>
          </w:tcPr>
          <w:p w14:paraId="6141B019">
            <w:pPr>
              <w:keepNext w:val="0"/>
              <w:keepLines w:val="0"/>
              <w:widowControl/>
              <w:suppressLineNumbers w:val="0"/>
              <w:jc w:val="left"/>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非公开发行公司债券</w:t>
            </w:r>
          </w:p>
        </w:tc>
        <w:tc>
          <w:tcPr>
            <w:tcW w:w="588" w:type="dxa"/>
            <w:shd w:val="clear" w:color="auto" w:fill="auto"/>
            <w:vAlign w:val="top"/>
          </w:tcPr>
          <w:p w14:paraId="3DE1B364">
            <w:pPr>
              <w:keepNext w:val="0"/>
              <w:keepLines w:val="0"/>
              <w:widowControl/>
              <w:suppressLineNumbers w:val="0"/>
              <w:jc w:val="left"/>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0C2EED30">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根据《公司债券发行与交易管理办法》等相关规定，在中国境内以非公开方式向具备相应风险识别和承担能力的专业投资者发行的公司债券</w:t>
            </w:r>
          </w:p>
        </w:tc>
      </w:tr>
      <w:tr w14:paraId="0D944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8" w:hRule="atLeast"/>
        </w:trPr>
        <w:tc>
          <w:tcPr>
            <w:tcW w:w="1998" w:type="dxa"/>
            <w:shd w:val="clear" w:color="auto" w:fill="auto"/>
            <w:vAlign w:val="top"/>
          </w:tcPr>
          <w:p w14:paraId="3167A29F">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本次债券</w:t>
            </w:r>
          </w:p>
        </w:tc>
        <w:tc>
          <w:tcPr>
            <w:tcW w:w="588" w:type="dxa"/>
            <w:shd w:val="clear" w:color="auto" w:fill="auto"/>
            <w:vAlign w:val="top"/>
          </w:tcPr>
          <w:p w14:paraId="03E63352">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7B10B25E">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发行人拟非公开发行的“</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长沙综保投资有限公司2026年面向专业投资者非公开发行一带一路公司债券</w:t>
            </w: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”（暂用名），每张面值为人民币</w:t>
            </w:r>
            <w:r>
              <w:rPr>
                <w:rStyle w:val="27"/>
                <w:rFonts w:eastAsia="仿宋"/>
                <w:color w:val="000000" w:themeColor="text1"/>
                <w:lang w:val="en-US" w:eastAsia="zh-CN" w:bidi="ar"/>
                <w14:textFill>
                  <w14:solidFill>
                    <w14:schemeClr w14:val="tx1"/>
                  </w14:solidFill>
                </w14:textFill>
              </w:rPr>
              <w:t>100</w:t>
            </w:r>
            <w:r>
              <w:rPr>
                <w:rStyle w:val="28"/>
                <w:color w:val="000000" w:themeColor="text1"/>
                <w:lang w:val="en-US" w:eastAsia="zh-CN" w:bidi="ar"/>
                <w14:textFill>
                  <w14:solidFill>
                    <w14:schemeClr w14:val="tx1"/>
                  </w14:solidFill>
                </w14:textFill>
              </w:rPr>
              <w:t>元。如发行人未能在</w:t>
            </w:r>
            <w:r>
              <w:rPr>
                <w:rFonts w:hint="eastAsia" w:ascii="Times New Roman" w:hAnsi="Times New Roman" w:eastAsia="仿宋" w:cs="Arial"/>
                <w:color w:val="000000" w:themeColor="text1"/>
                <w:kern w:val="21"/>
                <w:sz w:val="28"/>
                <w:szCs w:val="28"/>
                <w14:textFill>
                  <w14:solidFill>
                    <w14:schemeClr w14:val="tx1"/>
                  </w14:solidFill>
                </w14:textFill>
              </w:rPr>
              <w:t>202</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6</w:t>
            </w:r>
            <w:r>
              <w:rPr>
                <w:rStyle w:val="28"/>
                <w:color w:val="000000" w:themeColor="text1"/>
                <w:lang w:val="en-US" w:eastAsia="zh-CN" w:bidi="ar"/>
                <w14:textFill>
                  <w14:solidFill>
                    <w14:schemeClr w14:val="tx1"/>
                  </w14:solidFill>
                </w14:textFill>
              </w:rPr>
              <w:t>年发行</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w:t>
            </w:r>
            <w:r>
              <w:rPr>
                <w:rFonts w:hint="eastAsia" w:ascii="Times New Roman" w:hAnsi="Times New Roman" w:eastAsia="仿宋" w:cs="Arial"/>
                <w:color w:val="000000" w:themeColor="text1"/>
                <w:kern w:val="21"/>
                <w:sz w:val="28"/>
                <w:szCs w:val="28"/>
                <w14:textFill>
                  <w14:solidFill>
                    <w14:schemeClr w14:val="tx1"/>
                  </w14:solidFill>
                </w14:textFill>
              </w:rPr>
              <w:t>面向专业投资者非公开发行公司</w:t>
            </w:r>
            <w:r>
              <w:rPr>
                <w:rStyle w:val="28"/>
                <w:color w:val="000000" w:themeColor="text1"/>
                <w:lang w:val="en-US" w:eastAsia="zh-CN" w:bidi="ar"/>
                <w14:textFill>
                  <w14:solidFill>
                    <w14:schemeClr w14:val="tx1"/>
                  </w14:solidFill>
                </w14:textFill>
              </w:rPr>
              <w:t>债券，则本次债券指自本协议签署之日起发行人最近发行的</w:t>
            </w:r>
            <w:r>
              <w:rPr>
                <w:rStyle w:val="28"/>
                <w:rFonts w:hint="eastAsia"/>
                <w:color w:val="000000" w:themeColor="text1"/>
                <w:lang w:val="en-US" w:eastAsia="zh-CN" w:bidi="ar"/>
                <w14:textFill>
                  <w14:solidFill>
                    <w14:schemeClr w14:val="tx1"/>
                  </w14:solidFill>
                </w14:textFill>
              </w:rPr>
              <w:t>非公开发行</w:t>
            </w:r>
            <w:r>
              <w:rPr>
                <w:rStyle w:val="28"/>
                <w:rFonts w:hint="eastAsia"/>
                <w:color w:val="000000" w:themeColor="text1"/>
                <w:lang w:bidi="ar"/>
                <w14:textFill>
                  <w14:solidFill>
                    <w14:schemeClr w14:val="tx1"/>
                  </w14:solidFill>
                </w14:textFill>
              </w:rPr>
              <w:t>公司债券</w:t>
            </w:r>
          </w:p>
        </w:tc>
      </w:tr>
      <w:tr w14:paraId="0FE94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998" w:type="dxa"/>
            <w:shd w:val="clear" w:color="auto" w:fill="auto"/>
            <w:vAlign w:val="top"/>
          </w:tcPr>
          <w:p w14:paraId="538CDF7A">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承销费用</w:t>
            </w:r>
          </w:p>
        </w:tc>
        <w:tc>
          <w:tcPr>
            <w:tcW w:w="588" w:type="dxa"/>
            <w:shd w:val="clear" w:color="auto" w:fill="auto"/>
            <w:vAlign w:val="top"/>
          </w:tcPr>
          <w:p w14:paraId="27E06942">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381F74C6">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承销商向发行人提供本次债券承销服务的对价，即发行人同意向承销商支付的费用</w:t>
            </w:r>
          </w:p>
        </w:tc>
      </w:tr>
      <w:tr w14:paraId="64E01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998" w:type="dxa"/>
            <w:shd w:val="clear" w:color="auto" w:fill="auto"/>
            <w:vAlign w:val="top"/>
          </w:tcPr>
          <w:p w14:paraId="16F44393">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募集款项</w:t>
            </w:r>
          </w:p>
        </w:tc>
        <w:tc>
          <w:tcPr>
            <w:tcW w:w="588" w:type="dxa"/>
            <w:shd w:val="clear" w:color="auto" w:fill="auto"/>
            <w:vAlign w:val="top"/>
          </w:tcPr>
          <w:p w14:paraId="6042C006">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452CC192">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本次债券发行所募集的部分或全部款项（根据上下文确定）</w:t>
            </w:r>
          </w:p>
        </w:tc>
      </w:tr>
      <w:tr w14:paraId="283B8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998" w:type="dxa"/>
            <w:shd w:val="clear" w:color="auto" w:fill="auto"/>
            <w:vAlign w:val="top"/>
          </w:tcPr>
          <w:p w14:paraId="68D09A8F">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登记公司</w:t>
            </w:r>
          </w:p>
        </w:tc>
        <w:tc>
          <w:tcPr>
            <w:tcW w:w="588" w:type="dxa"/>
            <w:shd w:val="clear" w:color="auto" w:fill="auto"/>
            <w:vAlign w:val="top"/>
          </w:tcPr>
          <w:p w14:paraId="281358C5">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1353AE38">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 xml:space="preserve">中国证券登记结算有限责任公司及其分公司 </w:t>
            </w:r>
          </w:p>
        </w:tc>
      </w:tr>
      <w:tr w14:paraId="75FB9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1998" w:type="dxa"/>
            <w:shd w:val="clear" w:color="auto" w:fill="auto"/>
            <w:vAlign w:val="top"/>
          </w:tcPr>
          <w:p w14:paraId="7DABEE24">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余额包销</w:t>
            </w:r>
          </w:p>
        </w:tc>
        <w:tc>
          <w:tcPr>
            <w:tcW w:w="588" w:type="dxa"/>
            <w:shd w:val="clear" w:color="auto" w:fill="auto"/>
            <w:vAlign w:val="top"/>
          </w:tcPr>
          <w:p w14:paraId="268C396B">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15001992">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承销商按承销协议所规定的承销本次债券的金额承担债券发行的风险，即在发行期结束后，将未售出的债券全部买入的承销方式</w:t>
            </w:r>
          </w:p>
        </w:tc>
      </w:tr>
      <w:tr w14:paraId="6C7E1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2" w:hRule="atLeast"/>
        </w:trPr>
        <w:tc>
          <w:tcPr>
            <w:tcW w:w="1998" w:type="dxa"/>
            <w:shd w:val="clear" w:color="auto" w:fill="auto"/>
            <w:vAlign w:val="top"/>
          </w:tcPr>
          <w:p w14:paraId="32CD0CCB">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代销</w:t>
            </w:r>
          </w:p>
        </w:tc>
        <w:tc>
          <w:tcPr>
            <w:tcW w:w="588" w:type="dxa"/>
            <w:shd w:val="clear" w:color="auto" w:fill="auto"/>
            <w:vAlign w:val="top"/>
          </w:tcPr>
          <w:p w14:paraId="497A4138">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5A169A37">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承销商代发行人发售证券，在承销期结束时，将未售出的证券全部退还给发行人的承销方式，如由于市场原因导致本次债券未足额认购，承销商有权选择取消未足额认购部分的债券发行</w:t>
            </w:r>
          </w:p>
        </w:tc>
      </w:tr>
      <w:tr w14:paraId="3E99F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1998" w:type="dxa"/>
            <w:shd w:val="clear" w:color="auto" w:fill="auto"/>
            <w:vAlign w:val="top"/>
          </w:tcPr>
          <w:p w14:paraId="54E96C4D">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法律法规</w:t>
            </w:r>
          </w:p>
        </w:tc>
        <w:tc>
          <w:tcPr>
            <w:tcW w:w="588" w:type="dxa"/>
            <w:shd w:val="clear" w:color="auto" w:fill="auto"/>
            <w:vAlign w:val="top"/>
          </w:tcPr>
          <w:p w14:paraId="3FA7D30F">
            <w:pPr>
              <w:keepNext w:val="0"/>
              <w:keepLines w:val="0"/>
              <w:widowControl/>
              <w:suppressLineNumbers w:val="0"/>
              <w:jc w:val="both"/>
              <w:textAlignment w:val="top"/>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指</w:t>
            </w:r>
          </w:p>
        </w:tc>
        <w:tc>
          <w:tcPr>
            <w:tcW w:w="5839" w:type="dxa"/>
            <w:shd w:val="clear" w:color="auto" w:fill="auto"/>
            <w:vAlign w:val="top"/>
          </w:tcPr>
          <w:p w14:paraId="50F8D97F">
            <w:pPr>
              <w:keepNext w:val="0"/>
              <w:keepLines w:val="0"/>
              <w:widowControl/>
              <w:suppressLineNumbers w:val="0"/>
              <w:jc w:val="both"/>
              <w:textAlignment w:val="top"/>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kern w:val="0"/>
                <w:sz w:val="28"/>
                <w:szCs w:val="28"/>
                <w:u w:val="none"/>
                <w:lang w:val="en-US" w:eastAsia="zh-CN" w:bidi="ar"/>
                <w14:textFill>
                  <w14:solidFill>
                    <w14:schemeClr w14:val="tx1"/>
                  </w14:solidFill>
                </w14:textFill>
              </w:rPr>
              <w:t>中华人民共和国法律、行政法规、</w:t>
            </w:r>
            <w:r>
              <w:rPr>
                <w:rStyle w:val="28"/>
                <w:color w:val="000000" w:themeColor="text1"/>
                <w:lang w:val="en-US" w:eastAsia="zh-CN" w:bidi="ar"/>
                <w14:textFill>
                  <w14:solidFill>
                    <w14:schemeClr w14:val="tx1"/>
                  </w14:solidFill>
                </w14:textFill>
              </w:rPr>
              <w:t>部门规章、规范性文件及自律规则等（不包括香港特别行政区、澳门特别行政区及台湾地区相关法律）</w:t>
            </w:r>
          </w:p>
        </w:tc>
      </w:tr>
    </w:tbl>
    <w:p w14:paraId="6E09FC84">
      <w:pPr>
        <w:adjustRightInd w:val="0"/>
        <w:snapToGrid w:val="0"/>
        <w:spacing w:line="360" w:lineRule="auto"/>
        <w:ind w:left="420" w:leftChars="200"/>
        <w:rPr>
          <w:rFonts w:hint="eastAsia" w:ascii="Times New Roman" w:hAnsi="Times New Roman" w:eastAsia="仿宋" w:cs="Arial"/>
          <w:color w:val="000000" w:themeColor="text1"/>
          <w:kern w:val="21"/>
          <w:sz w:val="28"/>
          <w:szCs w:val="28"/>
          <w14:textFill>
            <w14:solidFill>
              <w14:schemeClr w14:val="tx1"/>
            </w14:solidFill>
          </w14:textFill>
        </w:rPr>
      </w:pPr>
    </w:p>
    <w:p w14:paraId="7A687E3E">
      <w:pPr>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1.2  </w:t>
      </w:r>
      <w:r>
        <w:rPr>
          <w:rFonts w:ascii="Times New Roman" w:hAnsi="Times New Roman" w:eastAsia="仿宋" w:cs="Arial"/>
          <w:color w:val="000000" w:themeColor="text1"/>
          <w:kern w:val="21"/>
          <w:sz w:val="28"/>
          <w:szCs w:val="28"/>
          <w14:textFill>
            <w14:solidFill>
              <w14:schemeClr w14:val="tx1"/>
            </w14:solidFill>
          </w14:textFill>
        </w:rPr>
        <w:t>在本协议中，除非另有规定：</w:t>
      </w:r>
    </w:p>
    <w:p w14:paraId="738AC402">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w:t>
      </w:r>
      <w:r>
        <w:rPr>
          <w:rFonts w:hint="eastAsia" w:ascii="Times New Roman" w:hAnsi="Times New Roman" w:eastAsia="仿宋" w:cs="仿宋"/>
          <w:color w:val="000000" w:themeColor="text1"/>
          <w:sz w:val="28"/>
          <w:szCs w:val="28"/>
          <w14:textFill>
            <w14:solidFill>
              <w14:schemeClr w14:val="tx1"/>
            </w14:solidFill>
          </w14:textFill>
        </w:rPr>
        <w:t>凡提</w:t>
      </w:r>
      <w:r>
        <w:rPr>
          <w:rFonts w:hint="eastAsia" w:ascii="Times New Roman" w:hAnsi="Times New Roman" w:eastAsia="仿宋" w:cs="仿宋"/>
          <w:color w:val="000000" w:themeColor="text1"/>
          <w:sz w:val="28"/>
          <w:szCs w:val="28"/>
          <w:lang w:val="en-US" w:eastAsia="zh-CN"/>
          <w14:textFill>
            <w14:solidFill>
              <w14:schemeClr w14:val="tx1"/>
            </w14:solidFill>
          </w14:textFill>
        </w:rPr>
        <w:t>到</w:t>
      </w:r>
      <w:r>
        <w:rPr>
          <w:rFonts w:hint="eastAsia" w:ascii="Times New Roman" w:hAnsi="Times New Roman" w:eastAsia="仿宋" w:cs="仿宋"/>
          <w:color w:val="000000" w:themeColor="text1"/>
          <w:sz w:val="28"/>
          <w:szCs w:val="28"/>
          <w14:textFill>
            <w14:solidFill>
              <w14:schemeClr w14:val="tx1"/>
            </w14:solidFill>
          </w14:textFill>
        </w:rPr>
        <w:t>本协议应包括对本协议的修订或补充的文件</w:t>
      </w:r>
      <w:r>
        <w:rPr>
          <w:rFonts w:hint="eastAsia" w:ascii="Times New Roman" w:hAnsi="Times New Roman" w:eastAsia="仿宋" w:cs="仿宋"/>
          <w:color w:val="000000" w:themeColor="text1"/>
          <w:sz w:val="28"/>
          <w:szCs w:val="28"/>
          <w:lang w:eastAsia="zh-CN"/>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凡提到条、款、项及附件，均指本协议的条、款、项及附件；</w:t>
      </w:r>
    </w:p>
    <w:p w14:paraId="0848CD6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w:t>
      </w:r>
      <w:r>
        <w:rPr>
          <w:rFonts w:ascii="Times New Roman" w:hAnsi="Times New Roman" w:eastAsia="仿宋" w:cs="Arial"/>
          <w:color w:val="000000" w:themeColor="text1"/>
          <w:kern w:val="21"/>
          <w:sz w:val="28"/>
          <w:szCs w:val="28"/>
          <w14:textFill>
            <w14:solidFill>
              <w14:schemeClr w14:val="tx1"/>
            </w14:solidFill>
          </w14:textFill>
        </w:rPr>
        <w:t>本协议中各条款的标题仅为方便阅读而设，在任何情况下均不应影响对本协议的解释；</w:t>
      </w:r>
    </w:p>
    <w:p w14:paraId="6E0825F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ascii="Times New Roman" w:hAnsi="Times New Roman" w:eastAsia="仿宋" w:cs="Arial"/>
          <w:color w:val="000000" w:themeColor="text1"/>
          <w:kern w:val="21"/>
          <w:sz w:val="28"/>
          <w:szCs w:val="28"/>
          <w14:textFill>
            <w14:solidFill>
              <w14:schemeClr w14:val="tx1"/>
            </w14:solidFill>
          </w14:textFill>
        </w:rPr>
        <w:t>凡提到书面形式，均指协议、信件和数据电文（包括电报、电传、传真、电子数据交换和电子邮件）等可以有形地表现所载内容的形式；</w:t>
      </w:r>
    </w:p>
    <w:p w14:paraId="5FA25BF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w:t>
      </w:r>
      <w:r>
        <w:rPr>
          <w:rFonts w:ascii="Times New Roman" w:hAnsi="Times New Roman" w:eastAsia="仿宋" w:cs="Arial"/>
          <w:color w:val="000000" w:themeColor="text1"/>
          <w:kern w:val="21"/>
          <w:sz w:val="28"/>
          <w:szCs w:val="28"/>
          <w14:textFill>
            <w14:solidFill>
              <w14:schemeClr w14:val="tx1"/>
            </w14:solidFill>
          </w14:textFill>
        </w:rPr>
        <w:t>各附件</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如有</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构成本协议的组成部分，与明示写入本协议的条款具有同等的效力及效果，凡提到本协议均应包括各附件</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p>
    <w:p w14:paraId="6672D06F">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（5）</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本次债券名称的前置定语“</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2026</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年”系双方预计本次债券在</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2026</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年发行的可能性较大的情况下设定的，本次债券</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5.00亿元</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的发行规模是发行人拟申请的发行规模，均不应构成对本协议的任何解释，不对本协议的内容有任何限定。</w:t>
      </w:r>
    </w:p>
    <w:p w14:paraId="2B3705F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0D64441E">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2" w:name="_Toc6824"/>
      <w:bookmarkStart w:id="3" w:name="_Toc326697836"/>
      <w:r>
        <w:rPr>
          <w:rFonts w:hint="eastAsia" w:ascii="Times New Roman" w:hAnsi="Times New Roman" w:eastAsia="仿宋"/>
          <w:color w:val="000000" w:themeColor="text1"/>
          <w:szCs w:val="28"/>
          <w14:textFill>
            <w14:solidFill>
              <w14:schemeClr w14:val="tx1"/>
            </w14:solidFill>
          </w14:textFill>
        </w:rPr>
        <w:t>第二条  承销商的委任</w:t>
      </w:r>
      <w:bookmarkEnd w:id="2"/>
      <w:bookmarkEnd w:id="3"/>
    </w:p>
    <w:p w14:paraId="7488AEE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2.1  </w:t>
      </w:r>
      <w:r>
        <w:rPr>
          <w:rFonts w:ascii="Times New Roman" w:hAnsi="Times New Roman" w:eastAsia="仿宋" w:cs="Arial"/>
          <w:color w:val="000000" w:themeColor="text1"/>
          <w:kern w:val="21"/>
          <w:sz w:val="28"/>
          <w:szCs w:val="28"/>
          <w14:textFill>
            <w14:solidFill>
              <w14:schemeClr w14:val="tx1"/>
            </w14:solidFill>
          </w14:textFill>
        </w:rPr>
        <w:t>甲方委任乙方为本次发行的承销商，乙方按本协议</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约定</w:t>
      </w:r>
      <w:r>
        <w:rPr>
          <w:rFonts w:ascii="Times New Roman" w:hAnsi="Times New Roman" w:eastAsia="仿宋" w:cs="Arial"/>
          <w:color w:val="000000" w:themeColor="text1"/>
          <w:kern w:val="21"/>
          <w:sz w:val="28"/>
          <w:szCs w:val="28"/>
          <w14:textFill>
            <w14:solidFill>
              <w14:schemeClr w14:val="tx1"/>
            </w14:solidFill>
          </w14:textFill>
        </w:rPr>
        <w:t>全面负责甲方本次发行的承销工作。乙方特接受此委任。</w:t>
      </w:r>
    </w:p>
    <w:p w14:paraId="6E8C7E0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2.2  </w:t>
      </w:r>
      <w:r>
        <w:rPr>
          <w:rFonts w:ascii="Times New Roman" w:hAnsi="Times New Roman" w:eastAsia="仿宋" w:cs="Arial"/>
          <w:color w:val="000000" w:themeColor="text1"/>
          <w:kern w:val="21"/>
          <w:sz w:val="28"/>
          <w:szCs w:val="28"/>
          <w14:textFill>
            <w14:solidFill>
              <w14:schemeClr w14:val="tx1"/>
            </w14:solidFill>
          </w14:textFill>
        </w:rPr>
        <w:t>甲方承诺：在本协议有效期内，甲方不再聘任其他任何公司或机构担任与乙方</w:t>
      </w:r>
      <w:r>
        <w:rPr>
          <w:rFonts w:hint="eastAsia" w:ascii="Times New Roman" w:hAnsi="Times New Roman" w:eastAsia="仿宋" w:cs="Arial"/>
          <w:color w:val="000000" w:themeColor="text1"/>
          <w:kern w:val="21"/>
          <w:sz w:val="28"/>
          <w:szCs w:val="28"/>
          <w14:textFill>
            <w14:solidFill>
              <w14:schemeClr w14:val="tx1"/>
            </w14:solidFill>
          </w14:textFill>
        </w:rPr>
        <w:t>在本协议下</w:t>
      </w:r>
      <w:r>
        <w:rPr>
          <w:rFonts w:ascii="Times New Roman" w:hAnsi="Times New Roman" w:eastAsia="仿宋" w:cs="Arial"/>
          <w:color w:val="000000" w:themeColor="text1"/>
          <w:kern w:val="21"/>
          <w:sz w:val="28"/>
          <w:szCs w:val="28"/>
          <w14:textFill>
            <w14:solidFill>
              <w14:schemeClr w14:val="tx1"/>
            </w14:solidFill>
          </w14:textFill>
        </w:rPr>
        <w:t>相同或类似的角色。</w:t>
      </w:r>
    </w:p>
    <w:p w14:paraId="2F27D92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559F5915">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4" w:name="_Toc22936"/>
      <w:bookmarkStart w:id="5" w:name="_Toc326697837"/>
      <w:r>
        <w:rPr>
          <w:rFonts w:hint="eastAsia" w:ascii="Times New Roman" w:hAnsi="Times New Roman" w:eastAsia="仿宋"/>
          <w:color w:val="000000" w:themeColor="text1"/>
          <w:szCs w:val="28"/>
          <w14:textFill>
            <w14:solidFill>
              <w14:schemeClr w14:val="tx1"/>
            </w14:solidFill>
          </w14:textFill>
        </w:rPr>
        <w:t>第三条  先决条件</w:t>
      </w:r>
      <w:bookmarkEnd w:id="4"/>
      <w:bookmarkEnd w:id="5"/>
    </w:p>
    <w:p w14:paraId="11FFB82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承销商履行其在本协议项下承销义务均以下列先决条件的全部满足为前提。在该等先决条件未获全部满足之前，承销商有权决定是否开始履行本协议项下的承销义务。该等先决条件的全部满足是承销商履行承销义务的必要而非充分条件。</w:t>
      </w:r>
    </w:p>
    <w:p w14:paraId="78D75E0A">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3.1  本次发行已取得证券交易所出具的挂牌转让无异议函，已获得</w:t>
      </w:r>
      <w:r>
        <w:rPr>
          <w:rFonts w:hint="eastAsia" w:ascii="Times New Roman" w:hAnsi="Times New Roman" w:eastAsia="仿宋" w:cs="仿宋"/>
          <w:color w:val="000000" w:themeColor="text1"/>
          <w:sz w:val="28"/>
          <w:szCs w:val="28"/>
          <w14:textFill>
            <w14:solidFill>
              <w14:schemeClr w14:val="tx1"/>
            </w14:solidFill>
          </w14:textFill>
        </w:rPr>
        <w:t>所有相关政府部门的批准且符合有关法律</w:t>
      </w:r>
      <w:r>
        <w:rPr>
          <w:rFonts w:hint="eastAsia" w:ascii="Times New Roman" w:hAnsi="Times New Roman" w:eastAsia="仿宋" w:cs="仿宋"/>
          <w:color w:val="000000" w:themeColor="text1"/>
          <w:sz w:val="28"/>
          <w:szCs w:val="28"/>
          <w:lang w:val="en-US" w:eastAsia="zh-CN"/>
          <w14:textFill>
            <w14:solidFill>
              <w14:schemeClr w14:val="tx1"/>
            </w14:solidFill>
          </w14:textFill>
        </w:rPr>
        <w:t>法规</w:t>
      </w:r>
      <w:r>
        <w:rPr>
          <w:rFonts w:hint="eastAsia" w:ascii="Times New Roman" w:hAnsi="Times New Roman" w:eastAsia="仿宋" w:cs="仿宋"/>
          <w:color w:val="000000" w:themeColor="text1"/>
          <w:sz w:val="28"/>
          <w:szCs w:val="28"/>
          <w14:textFill>
            <w14:solidFill>
              <w14:schemeClr w14:val="tx1"/>
            </w14:solidFill>
          </w14:textFill>
        </w:rPr>
        <w:t>的要求，甲方为本次债券的发行主体，同时亦为还本付息的偿债主体</w:t>
      </w:r>
      <w:r>
        <w:rPr>
          <w:rFonts w:hint="eastAsia" w:ascii="Times New Roman" w:hAnsi="Times New Roman" w:eastAsia="仿宋" w:cs="Arial"/>
          <w:color w:val="000000" w:themeColor="text1"/>
          <w:kern w:val="21"/>
          <w:sz w:val="28"/>
          <w:szCs w:val="28"/>
          <w14:textFill>
            <w14:solidFill>
              <w14:schemeClr w14:val="tx1"/>
            </w14:solidFill>
          </w14:textFill>
        </w:rPr>
        <w:t>；</w:t>
      </w:r>
    </w:p>
    <w:p w14:paraId="167DA748">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3.2  发行人及其控股股东、实际控制人</w:t>
      </w:r>
      <w:r>
        <w:rPr>
          <w:rFonts w:hint="eastAsia" w:ascii="Times New Roman" w:hAnsi="Times New Roman" w:eastAsia="仿宋" w:cs="Arial"/>
          <w:color w:val="000000" w:themeColor="text1"/>
          <w:kern w:val="21"/>
          <w:sz w:val="28"/>
          <w:szCs w:val="28"/>
          <w14:textFill>
            <w14:solidFill>
              <w14:schemeClr w14:val="tx1"/>
            </w14:solidFill>
          </w14:textFill>
        </w:rPr>
        <w:t>向</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承销商</w:t>
      </w:r>
      <w:r>
        <w:rPr>
          <w:rFonts w:hint="eastAsia" w:ascii="Times New Roman" w:hAnsi="Times New Roman" w:eastAsia="仿宋" w:cs="Arial"/>
          <w:color w:val="000000" w:themeColor="text1"/>
          <w:kern w:val="21"/>
          <w:sz w:val="28"/>
          <w:szCs w:val="28"/>
          <w14:textFill>
            <w14:solidFill>
              <w14:schemeClr w14:val="tx1"/>
            </w14:solidFill>
          </w14:textFill>
        </w:rPr>
        <w:t>提供了与本次发行有关的所有资料，并保证此类资料没有虚假记载、误导性陈述及重大遗漏；</w:t>
      </w:r>
    </w:p>
    <w:p w14:paraId="416357D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hint="default" w:ascii="Times New Roman" w:hAnsi="Times New Roman" w:eastAsia="仿宋" w:cs="Arial"/>
          <w:color w:val="000000" w:themeColor="text1"/>
          <w:kern w:val="21"/>
          <w:sz w:val="28"/>
          <w:szCs w:val="28"/>
          <w:lang w:val="en-US"/>
          <w14:textFill>
            <w14:solidFill>
              <w14:schemeClr w14:val="tx1"/>
            </w14:solidFill>
          </w14:textFill>
        </w:rPr>
        <w:t>发行人和承销商</w:t>
      </w:r>
      <w:r>
        <w:rPr>
          <w:rFonts w:hint="eastAsia" w:ascii="Times New Roman" w:hAnsi="Times New Roman" w:eastAsia="仿宋" w:cs="Arial"/>
          <w:color w:val="000000" w:themeColor="text1"/>
          <w:kern w:val="21"/>
          <w:sz w:val="28"/>
          <w:szCs w:val="28"/>
          <w14:textFill>
            <w14:solidFill>
              <w14:schemeClr w14:val="tx1"/>
            </w14:solidFill>
          </w14:textFill>
        </w:rPr>
        <w:t>就本次债券的发行条款和发行方案细节（包括但不限于发行方式、利率、债券期限、承销方式、有关资金的支付等事项）协商一致，</w:t>
      </w:r>
      <w:r>
        <w:rPr>
          <w:rFonts w:hint="eastAsia" w:ascii="Times New Roman" w:hAnsi="Times New Roman" w:eastAsia="仿宋" w:cs="仿宋"/>
          <w:color w:val="000000" w:themeColor="text1"/>
          <w:sz w:val="28"/>
          <w:szCs w:val="28"/>
          <w14:textFill>
            <w14:solidFill>
              <w14:schemeClr w14:val="tx1"/>
            </w14:solidFill>
          </w14:textFill>
        </w:rPr>
        <w:t>且本次发行及本次债券发行条款和发行方案已经证券交易所备案通过</w:t>
      </w:r>
      <w:r>
        <w:rPr>
          <w:rFonts w:hint="eastAsia" w:ascii="Times New Roman" w:hAnsi="Times New Roman" w:eastAsia="仿宋" w:cs="仿宋"/>
          <w:color w:val="000000" w:themeColor="text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如债券分期发行的，一期债券的</w:t>
      </w:r>
      <w:bookmarkStart w:id="6" w:name="_Hlk4161225"/>
      <w:r>
        <w:rPr>
          <w:rFonts w:hint="eastAsia" w:ascii="Times New Roman" w:hAnsi="Times New Roman" w:eastAsia="仿宋" w:cs="Arial"/>
          <w:color w:val="000000" w:themeColor="text1"/>
          <w:kern w:val="21"/>
          <w:sz w:val="28"/>
          <w:szCs w:val="28"/>
          <w14:textFill>
            <w14:solidFill>
              <w14:schemeClr w14:val="tx1"/>
            </w14:solidFill>
          </w14:textFill>
        </w:rPr>
        <w:t>发行条款和发行方案细节</w:t>
      </w:r>
      <w:bookmarkEnd w:id="6"/>
      <w:r>
        <w:rPr>
          <w:rFonts w:hint="eastAsia" w:ascii="Times New Roman" w:hAnsi="Times New Roman" w:eastAsia="仿宋" w:cs="Arial"/>
          <w:color w:val="000000" w:themeColor="text1"/>
          <w:kern w:val="21"/>
          <w:sz w:val="28"/>
          <w:szCs w:val="28"/>
          <w14:textFill>
            <w14:solidFill>
              <w14:schemeClr w14:val="tx1"/>
            </w14:solidFill>
          </w14:textFill>
        </w:rPr>
        <w:t>不构成对其他各期债券发行条款和发行方案细节的约束</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p>
    <w:p w14:paraId="1F4AA38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4</w:t>
      </w:r>
      <w:r>
        <w:rPr>
          <w:rFonts w:hint="eastAsia" w:ascii="Times New Roman" w:hAnsi="Times New Roman" w:eastAsia="仿宋" w:cs="Arial"/>
          <w:color w:val="000000" w:themeColor="text1"/>
          <w:kern w:val="21"/>
          <w:sz w:val="28"/>
          <w:szCs w:val="28"/>
          <w14:textFill>
            <w14:solidFill>
              <w14:schemeClr w14:val="tx1"/>
            </w14:solidFill>
          </w14:textFill>
        </w:rPr>
        <w:t xml:space="preserve">  依据法律法规及债券发行文件规定，本次债券项下应当取得的所有批准、决议、承诺、担保、确认和授权等文件均已适当作出，并为</w:t>
      </w:r>
      <w:r>
        <w:rPr>
          <w:rFonts w:hint="default" w:ascii="Times New Roman" w:hAnsi="Times New Roman" w:eastAsia="仿宋" w:cs="Arial"/>
          <w:color w:val="000000" w:themeColor="text1"/>
          <w:kern w:val="21"/>
          <w:sz w:val="28"/>
          <w:szCs w:val="28"/>
          <w:lang w:val="en-US"/>
          <w14:textFill>
            <w14:solidFill>
              <w14:schemeClr w14:val="tx1"/>
            </w14:solidFill>
          </w14:textFill>
        </w:rPr>
        <w:t>发行人</w:t>
      </w:r>
      <w:r>
        <w:rPr>
          <w:rFonts w:hint="eastAsia" w:ascii="Times New Roman" w:hAnsi="Times New Roman" w:eastAsia="仿宋" w:cs="Arial"/>
          <w:color w:val="000000" w:themeColor="text1"/>
          <w:kern w:val="21"/>
          <w:sz w:val="28"/>
          <w:szCs w:val="28"/>
          <w14:textFill>
            <w14:solidFill>
              <w14:schemeClr w14:val="tx1"/>
            </w14:solidFill>
          </w14:textFill>
        </w:rPr>
        <w:t>实际取得，且发行人取得该等文件后已向承销商及时提供了经发行人</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或其相关方</w:t>
      </w:r>
      <w:r>
        <w:rPr>
          <w:rFonts w:hint="eastAsia" w:ascii="Times New Roman" w:hAnsi="Times New Roman" w:eastAsia="仿宋" w:cs="Arial"/>
          <w:color w:val="000000" w:themeColor="text1"/>
          <w:kern w:val="21"/>
          <w:sz w:val="28"/>
          <w:szCs w:val="28"/>
          <w14:textFill>
            <w14:solidFill>
              <w14:schemeClr w14:val="tx1"/>
            </w14:solidFill>
          </w14:textFill>
        </w:rPr>
        <w:t>签章确认的该等文件；</w:t>
      </w:r>
    </w:p>
    <w:p w14:paraId="3871424F">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5</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hint="default" w:ascii="Times New Roman" w:hAnsi="Times New Roman" w:eastAsia="仿宋" w:cs="Arial"/>
          <w:color w:val="000000" w:themeColor="text1"/>
          <w:kern w:val="21"/>
          <w:sz w:val="28"/>
          <w:szCs w:val="28"/>
          <w:lang w:val="en-US"/>
          <w14:textFill>
            <w14:solidFill>
              <w14:schemeClr w14:val="tx1"/>
            </w14:solidFill>
          </w14:textFill>
        </w:rPr>
        <w:t>发行人</w:t>
      </w:r>
      <w:r>
        <w:rPr>
          <w:rFonts w:hint="eastAsia" w:ascii="Times New Roman" w:hAnsi="Times New Roman" w:eastAsia="仿宋" w:cs="Arial"/>
          <w:color w:val="000000" w:themeColor="text1"/>
          <w:kern w:val="21"/>
          <w:sz w:val="28"/>
          <w:szCs w:val="28"/>
          <w14:textFill>
            <w14:solidFill>
              <w14:schemeClr w14:val="tx1"/>
            </w14:solidFill>
          </w14:textFill>
        </w:rPr>
        <w:t>的股东/股东会或其</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有权</w:t>
      </w:r>
      <w:r>
        <w:rPr>
          <w:rFonts w:hint="eastAsia" w:ascii="Times New Roman" w:hAnsi="Times New Roman" w:eastAsia="仿宋" w:cs="Arial"/>
          <w:color w:val="000000" w:themeColor="text1"/>
          <w:kern w:val="21"/>
          <w:sz w:val="28"/>
          <w:szCs w:val="28"/>
          <w14:textFill>
            <w14:solidFill>
              <w14:schemeClr w14:val="tx1"/>
            </w14:solidFill>
          </w14:textFill>
        </w:rPr>
        <w:t>机关已批准本次债券发行</w:t>
      </w:r>
      <w:r>
        <w:rPr>
          <w:rFonts w:hint="eastAsia" w:ascii="Times New Roman" w:hAnsi="Times New Roman" w:eastAsia="仿宋" w:cs="仿宋"/>
          <w:color w:val="000000" w:themeColor="text1"/>
          <w:sz w:val="28"/>
          <w:szCs w:val="28"/>
          <w:lang w:eastAsia="zh-CN"/>
          <w14:textFill>
            <w14:solidFill>
              <w14:schemeClr w14:val="tx1"/>
            </w14:solidFill>
          </w14:textFill>
        </w:rPr>
        <w:t>，</w:t>
      </w:r>
      <w:r>
        <w:rPr>
          <w:rFonts w:hint="eastAsia" w:ascii="Times New Roman" w:hAnsi="Times New Roman" w:eastAsia="仿宋" w:cs="仿宋"/>
          <w:color w:val="000000" w:themeColor="text1"/>
          <w:sz w:val="28"/>
          <w:szCs w:val="28"/>
          <w:lang w:val="en-US" w:eastAsia="zh-CN"/>
          <w14:textFill>
            <w14:solidFill>
              <w14:schemeClr w14:val="tx1"/>
            </w14:solidFill>
          </w14:textFill>
        </w:rPr>
        <w:t>并已在决议事项中载明了</w:t>
      </w:r>
      <w:r>
        <w:rPr>
          <w:rFonts w:hint="eastAsia" w:ascii="Times New Roman" w:hAnsi="Times New Roman" w:eastAsia="仿宋" w:cs="仿宋"/>
          <w:color w:val="000000" w:themeColor="text1"/>
          <w:sz w:val="28"/>
          <w:szCs w:val="28"/>
          <w:lang w:eastAsia="zh-CN"/>
          <w14:textFill>
            <w14:solidFill>
              <w14:schemeClr w14:val="tx1"/>
            </w14:solidFill>
          </w14:textFill>
        </w:rPr>
        <w:t>增信机制、偿债保障措施</w:t>
      </w:r>
      <w:r>
        <w:rPr>
          <w:rFonts w:hint="eastAsia" w:ascii="Times New Roman" w:hAnsi="Times New Roman" w:eastAsia="仿宋" w:cs="仿宋"/>
          <w:color w:val="000000" w:themeColor="text1"/>
          <w:sz w:val="28"/>
          <w:szCs w:val="28"/>
          <w:lang w:val="en-US" w:eastAsia="zh-CN"/>
          <w14:textFill>
            <w14:solidFill>
              <w14:schemeClr w14:val="tx1"/>
            </w14:solidFill>
          </w14:textFill>
        </w:rPr>
        <w:t>等相关安排</w:t>
      </w:r>
      <w:r>
        <w:rPr>
          <w:rFonts w:hint="eastAsia" w:ascii="Times New Roman" w:hAnsi="Times New Roman" w:eastAsia="仿宋" w:cs="仿宋"/>
          <w:color w:val="000000" w:themeColor="text1"/>
          <w:sz w:val="28"/>
          <w:szCs w:val="28"/>
          <w:lang w:eastAsia="zh-CN"/>
          <w14:textFill>
            <w14:solidFill>
              <w14:schemeClr w14:val="tx1"/>
            </w14:solidFill>
          </w14:textFill>
        </w:rPr>
        <w:t>（</w:t>
      </w:r>
      <w:r>
        <w:rPr>
          <w:rFonts w:hint="eastAsia" w:ascii="Times New Roman" w:hAnsi="Times New Roman" w:eastAsia="仿宋" w:cs="仿宋"/>
          <w:color w:val="000000" w:themeColor="text1"/>
          <w:sz w:val="28"/>
          <w:szCs w:val="28"/>
          <w:lang w:val="en-US" w:eastAsia="zh-CN"/>
          <w14:textFill>
            <w14:solidFill>
              <w14:schemeClr w14:val="tx1"/>
            </w14:solidFill>
          </w14:textFill>
        </w:rPr>
        <w:t>如有</w:t>
      </w:r>
      <w:r>
        <w:rPr>
          <w:rFonts w:hint="eastAsia" w:ascii="Times New Roman" w:hAnsi="Times New Roman" w:eastAsia="仿宋" w:cs="仿宋"/>
          <w:color w:val="000000" w:themeColor="text1"/>
          <w:sz w:val="28"/>
          <w:szCs w:val="28"/>
          <w:lang w:eastAsia="zh-CN"/>
          <w14:textFill>
            <w14:solidFill>
              <w14:schemeClr w14:val="tx1"/>
            </w14:solidFill>
          </w14:textFill>
        </w:rPr>
        <w:t>）；</w:t>
      </w:r>
      <w:r>
        <w:rPr>
          <w:rFonts w:hint="eastAsia" w:ascii="Times New Roman" w:hAnsi="Times New Roman" w:eastAsia="仿宋" w:cs="仿宋"/>
          <w:color w:val="000000" w:themeColor="text1"/>
          <w:sz w:val="28"/>
          <w:szCs w:val="28"/>
          <w:lang w:val="en-US" w:eastAsia="zh-CN"/>
          <w14:textFill>
            <w14:solidFill>
              <w14:schemeClr w14:val="tx1"/>
            </w14:solidFill>
          </w14:textFill>
        </w:rPr>
        <w:t>与本次发行相关的承诺、担保已生效或已具备必要的生效要件，或本次发行成功便可生效（如有）</w:t>
      </w:r>
      <w:r>
        <w:rPr>
          <w:rFonts w:hint="eastAsia" w:ascii="Times New Roman" w:hAnsi="Times New Roman" w:eastAsia="仿宋" w:cs="Arial"/>
          <w:color w:val="000000" w:themeColor="text1"/>
          <w:kern w:val="21"/>
          <w:sz w:val="28"/>
          <w:szCs w:val="28"/>
          <w14:textFill>
            <w14:solidFill>
              <w14:schemeClr w14:val="tx1"/>
            </w14:solidFill>
          </w14:textFill>
        </w:rPr>
        <w:t>；</w:t>
      </w:r>
    </w:p>
    <w:p w14:paraId="4B5F250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6</w:t>
      </w:r>
      <w:r>
        <w:rPr>
          <w:rFonts w:hint="eastAsia" w:ascii="Times New Roman" w:hAnsi="Times New Roman" w:eastAsia="仿宋" w:cs="Arial"/>
          <w:color w:val="000000" w:themeColor="text1"/>
          <w:kern w:val="21"/>
          <w:sz w:val="28"/>
          <w:szCs w:val="28"/>
          <w14:textFill>
            <w14:solidFill>
              <w14:schemeClr w14:val="tx1"/>
            </w14:solidFill>
          </w14:textFill>
        </w:rPr>
        <w:t xml:space="preserve">  发行人与承销商已就本次债券发行有关的其他承销要件协商一致；</w:t>
      </w:r>
    </w:p>
    <w:p w14:paraId="79E4839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7</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发行人</w:t>
      </w:r>
      <w:r>
        <w:rPr>
          <w:rFonts w:hint="eastAsia" w:ascii="Times New Roman" w:hAnsi="Times New Roman" w:eastAsia="仿宋" w:cs="Arial"/>
          <w:color w:val="000000" w:themeColor="text1"/>
          <w:kern w:val="21"/>
          <w:sz w:val="28"/>
          <w:szCs w:val="28"/>
          <w14:textFill>
            <w14:solidFill>
              <w14:schemeClr w14:val="tx1"/>
            </w14:solidFill>
          </w14:textFill>
        </w:rPr>
        <w:t>在本协议中所做出的任何声明、保证和承诺均持续真实、完整和准确，并不存在虚假记载、重大遗漏或者误导性陈述；</w:t>
      </w:r>
    </w:p>
    <w:p w14:paraId="3832E93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8</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发行人</w:t>
      </w:r>
      <w:r>
        <w:rPr>
          <w:rFonts w:hint="eastAsia" w:ascii="Times New Roman" w:hAnsi="Times New Roman" w:eastAsia="仿宋" w:cs="Arial"/>
          <w:color w:val="000000" w:themeColor="text1"/>
          <w:kern w:val="21"/>
          <w:sz w:val="28"/>
          <w:szCs w:val="28"/>
          <w14:textFill>
            <w14:solidFill>
              <w14:schemeClr w14:val="tx1"/>
            </w14:solidFill>
          </w14:textFill>
        </w:rPr>
        <w:t>本次发行所聘请的其他证券服务机构均已依据相关法律法规的规定出具了符合监管机关要求的专业意见或标准无保留意见的报告，且该等意见或报告均在募集说明书刊登日前生效并持续有效；</w:t>
      </w:r>
      <w:r>
        <w:rPr>
          <w:rFonts w:hint="eastAsia" w:ascii="Times New Roman" w:hAnsi="Times New Roman" w:eastAsia="仿宋" w:cs="仿宋"/>
          <w:color w:val="000000" w:themeColor="text1"/>
          <w:sz w:val="28"/>
          <w:szCs w:val="28"/>
          <w14:textFill>
            <w14:solidFill>
              <w14:schemeClr w14:val="tx1"/>
            </w14:solidFill>
          </w14:textFill>
        </w:rPr>
        <w:t>国家主管机关</w:t>
      </w:r>
      <w:r>
        <w:rPr>
          <w:rFonts w:hint="eastAsia" w:ascii="Times New Roman" w:hAnsi="Times New Roman" w:eastAsia="仿宋" w:cs="仿宋"/>
          <w:color w:val="000000" w:themeColor="text1"/>
          <w:sz w:val="28"/>
          <w:szCs w:val="28"/>
          <w:lang w:val="en-US" w:eastAsia="zh-CN"/>
          <w14:textFill>
            <w14:solidFill>
              <w14:schemeClr w14:val="tx1"/>
            </w14:solidFill>
          </w14:textFill>
        </w:rPr>
        <w:t>要求提供补充文件或相关说明的，前述证券服务机构已恰当履行其要求；</w:t>
      </w:r>
    </w:p>
    <w:p w14:paraId="787D4EE4">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9</w:t>
      </w:r>
      <w:r>
        <w:rPr>
          <w:rFonts w:hint="eastAsia" w:ascii="Times New Roman" w:hAnsi="Times New Roman" w:eastAsia="仿宋" w:cs="Arial"/>
          <w:color w:val="000000" w:themeColor="text1"/>
          <w:kern w:val="21"/>
          <w:sz w:val="28"/>
          <w:szCs w:val="28"/>
          <w14:textFill>
            <w14:solidFill>
              <w14:schemeClr w14:val="tx1"/>
            </w14:solidFill>
          </w14:textFill>
        </w:rPr>
        <w:t xml:space="preserve">  经过</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承销商</w:t>
      </w:r>
      <w:r>
        <w:rPr>
          <w:rFonts w:hint="eastAsia" w:ascii="Times New Roman" w:hAnsi="Times New Roman" w:eastAsia="仿宋" w:cs="Arial"/>
          <w:color w:val="000000" w:themeColor="text1"/>
          <w:kern w:val="21"/>
          <w:sz w:val="28"/>
          <w:szCs w:val="28"/>
          <w14:textFill>
            <w14:solidFill>
              <w14:schemeClr w14:val="tx1"/>
            </w14:solidFill>
          </w14:textFill>
        </w:rPr>
        <w:t>对</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发行人</w:t>
      </w:r>
      <w:r>
        <w:rPr>
          <w:rFonts w:hint="eastAsia" w:ascii="Times New Roman" w:hAnsi="Times New Roman" w:eastAsia="仿宋" w:cs="Arial"/>
          <w:color w:val="000000" w:themeColor="text1"/>
          <w:kern w:val="21"/>
          <w:sz w:val="28"/>
          <w:szCs w:val="28"/>
          <w14:textFill>
            <w14:solidFill>
              <w14:schemeClr w14:val="tx1"/>
            </w14:solidFill>
          </w14:textFill>
        </w:rPr>
        <w:t>进行的尽职调查或其他合理情形下，</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承销商</w:t>
      </w:r>
      <w:r>
        <w:rPr>
          <w:rFonts w:hint="eastAsia" w:ascii="Times New Roman" w:hAnsi="Times New Roman" w:eastAsia="仿宋" w:cs="Arial"/>
          <w:color w:val="000000" w:themeColor="text1"/>
          <w:kern w:val="21"/>
          <w:sz w:val="28"/>
          <w:szCs w:val="28"/>
          <w14:textFill>
            <w14:solidFill>
              <w14:schemeClr w14:val="tx1"/>
            </w14:solidFill>
          </w14:textFill>
        </w:rPr>
        <w:t>并未得知任何依其专业判断认为可能导致本次发行无法进行</w:t>
      </w:r>
      <w:r>
        <w:rPr>
          <w:rFonts w:hint="eastAsia" w:ascii="Times New Roman" w:hAnsi="Times New Roman" w:eastAsia="仿宋" w:cs="仿宋"/>
          <w:color w:val="000000" w:themeColor="text1"/>
          <w:sz w:val="28"/>
          <w:szCs w:val="28"/>
          <w:lang w:val="en-US" w:eastAsia="zh-CN"/>
          <w14:textFill>
            <w14:solidFill>
              <w14:schemeClr w14:val="tx1"/>
            </w14:solidFill>
          </w14:textFill>
        </w:rPr>
        <w:t>或有重大负面影响</w:t>
      </w:r>
      <w:r>
        <w:rPr>
          <w:rFonts w:hint="eastAsia" w:ascii="Times New Roman" w:hAnsi="Times New Roman" w:eastAsia="仿宋" w:cs="Arial"/>
          <w:color w:val="000000" w:themeColor="text1"/>
          <w:kern w:val="21"/>
          <w:sz w:val="28"/>
          <w:szCs w:val="28"/>
          <w14:textFill>
            <w14:solidFill>
              <w14:schemeClr w14:val="tx1"/>
            </w14:solidFill>
          </w14:textFill>
        </w:rPr>
        <w:t>的其他情形</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p>
    <w:p w14:paraId="3E88E0E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10</w:t>
      </w:r>
      <w:r>
        <w:rPr>
          <w:rFonts w:hint="eastAsia" w:ascii="Times New Roman" w:hAnsi="Times New Roman" w:eastAsia="仿宋" w:cs="Arial"/>
          <w:color w:val="000000" w:themeColor="text1"/>
          <w:kern w:val="21"/>
          <w:sz w:val="28"/>
          <w:szCs w:val="28"/>
          <w14:textFill>
            <w14:solidFill>
              <w14:schemeClr w14:val="tx1"/>
            </w14:solidFill>
          </w14:textFill>
        </w:rPr>
        <w:t xml:space="preserve">  法律法规及债券发行主管机关规定的非公开发行公司债券的其他必备条件已经具备。</w:t>
      </w:r>
    </w:p>
    <w:p w14:paraId="4B39DF9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7BBCD035">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7" w:name="_Toc326697838"/>
      <w:r>
        <w:rPr>
          <w:rFonts w:hint="eastAsia" w:ascii="Times New Roman" w:hAnsi="Times New Roman" w:eastAsia="仿宋"/>
          <w:color w:val="000000" w:themeColor="text1"/>
          <w:szCs w:val="28"/>
          <w14:textFill>
            <w14:solidFill>
              <w14:schemeClr w14:val="tx1"/>
            </w14:solidFill>
          </w14:textFill>
        </w:rPr>
        <w:t xml:space="preserve">第四条  </w:t>
      </w:r>
      <w:r>
        <w:rPr>
          <w:rFonts w:hint="eastAsia" w:eastAsia="仿宋"/>
          <w:color w:val="000000" w:themeColor="text1"/>
          <w:szCs w:val="28"/>
          <w:lang w:val="en-US" w:eastAsia="zh-CN"/>
          <w14:textFill>
            <w14:solidFill>
              <w14:schemeClr w14:val="tx1"/>
            </w14:solidFill>
          </w14:textFill>
        </w:rPr>
        <w:t>债券基本要素</w:t>
      </w:r>
      <w:bookmarkEnd w:id="7"/>
    </w:p>
    <w:p w14:paraId="57E7196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4.1  本次债券的名称为</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长沙综保投资有限公司2026年面向专业投资者非公开发行一带一路公司债券</w:t>
      </w:r>
      <w:r>
        <w:rPr>
          <w:rFonts w:hint="eastAsia" w:ascii="Times New Roman" w:hAnsi="Times New Roman" w:eastAsia="仿宋" w:cs="Arial"/>
          <w:color w:val="000000" w:themeColor="text1"/>
          <w:kern w:val="21"/>
          <w:sz w:val="28"/>
          <w:szCs w:val="28"/>
          <w14:textFill>
            <w14:solidFill>
              <w14:schemeClr w14:val="tx1"/>
            </w14:solidFill>
          </w14:textFill>
        </w:rPr>
        <w:t>，种类为实名制记</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账</w:t>
      </w:r>
      <w:r>
        <w:rPr>
          <w:rFonts w:hint="eastAsia" w:ascii="Times New Roman" w:hAnsi="Times New Roman" w:eastAsia="仿宋" w:cs="Arial"/>
          <w:color w:val="000000" w:themeColor="text1"/>
          <w:kern w:val="21"/>
          <w:sz w:val="28"/>
          <w:szCs w:val="28"/>
          <w14:textFill>
            <w14:solidFill>
              <w14:schemeClr w14:val="tx1"/>
            </w14:solidFill>
          </w14:textFill>
        </w:rPr>
        <w:t>式债券，每张面值为人民币100元，发行金额为不超过</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人民币5.00亿</w:t>
      </w:r>
      <w:r>
        <w:rPr>
          <w:rFonts w:hint="eastAsia" w:ascii="Times New Roman" w:hAnsi="Times New Roman" w:eastAsia="仿宋" w:cs="Arial"/>
          <w:color w:val="000000" w:themeColor="text1"/>
          <w:kern w:val="21"/>
          <w:sz w:val="28"/>
          <w:szCs w:val="28"/>
          <w14:textFill>
            <w14:solidFill>
              <w14:schemeClr w14:val="tx1"/>
            </w14:solidFill>
          </w14:textFill>
        </w:rPr>
        <w:t>元（大写人民币</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陆亿</w:t>
      </w:r>
      <w:r>
        <w:rPr>
          <w:rFonts w:hint="eastAsia" w:ascii="Times New Roman" w:hAnsi="Times New Roman" w:eastAsia="仿宋" w:cs="Arial"/>
          <w:color w:val="000000" w:themeColor="text1"/>
          <w:kern w:val="21"/>
          <w:sz w:val="28"/>
          <w:szCs w:val="28"/>
          <w14:textFill>
            <w14:solidFill>
              <w14:schemeClr w14:val="tx1"/>
            </w14:solidFill>
          </w14:textFill>
        </w:rPr>
        <w:t>元整）（最终发行数量上限以交易所同意或备案的额度为准）。发行价格按面值发行。</w:t>
      </w:r>
    </w:p>
    <w:p w14:paraId="52CA7AB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4.2  债券期限：本次债券期限为不超过</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5</w:t>
      </w:r>
      <w:r>
        <w:rPr>
          <w:rFonts w:hint="eastAsia" w:ascii="Times New Roman" w:hAnsi="Times New Roman" w:eastAsia="仿宋" w:cs="Arial"/>
          <w:color w:val="000000" w:themeColor="text1"/>
          <w:kern w:val="21"/>
          <w:sz w:val="28"/>
          <w:szCs w:val="28"/>
          <w14:textFill>
            <w14:solidFill>
              <w14:schemeClr w14:val="tx1"/>
            </w14:solidFill>
          </w14:textFill>
        </w:rPr>
        <w:t>年（以最终证券监管机构/交易所同意或备案的期限为准）。</w:t>
      </w:r>
    </w:p>
    <w:p w14:paraId="6EEDFC0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4.3  担保方式：无担保（以最终证券监管机构/交易所同意或备案的担保方式为准）。</w:t>
      </w:r>
    </w:p>
    <w:p w14:paraId="6B024B2D">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eastAsia="zh-CN"/>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4.4  信用级别：</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主体评级AA+，</w:t>
      </w:r>
      <w:r>
        <w:rPr>
          <w:rFonts w:hint="eastAsia" w:ascii="Times New Roman" w:hAnsi="Times New Roman" w:eastAsia="仿宋" w:cs="Arial"/>
          <w:color w:val="000000" w:themeColor="text1"/>
          <w:kern w:val="21"/>
          <w:sz w:val="28"/>
          <w:szCs w:val="28"/>
          <w14:textFill>
            <w14:solidFill>
              <w14:schemeClr w14:val="tx1"/>
            </w14:solidFill>
          </w14:textFill>
        </w:rPr>
        <w:t>本次债券</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申报阶段</w:t>
      </w:r>
      <w:r>
        <w:rPr>
          <w:rFonts w:hint="eastAsia" w:ascii="Times New Roman" w:hAnsi="Times New Roman" w:eastAsia="仿宋" w:cs="Arial"/>
          <w:color w:val="000000" w:themeColor="text1"/>
          <w:kern w:val="21"/>
          <w:sz w:val="28"/>
          <w:szCs w:val="28"/>
          <w14:textFill>
            <w14:solidFill>
              <w14:schemeClr w14:val="tx1"/>
            </w14:solidFill>
          </w14:textFill>
        </w:rPr>
        <w:t>未进行评级</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若后续有担保，则进行债项评级</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p>
    <w:p w14:paraId="52E9C8E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4.5  发行时机：在本次债券获得证券交易所出具挂牌转让无异议函后的有效期限内，由发行人与承销商确定发行时机。</w:t>
      </w:r>
    </w:p>
    <w:p w14:paraId="6BE622C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4.6  </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发行利率：</w:t>
      </w:r>
      <w:r>
        <w:rPr>
          <w:rFonts w:hint="eastAsia" w:ascii="Times New Roman" w:hAnsi="Times New Roman" w:eastAsia="仿宋" w:cs="Arial"/>
          <w:color w:val="000000" w:themeColor="text1"/>
          <w:kern w:val="21"/>
          <w:sz w:val="28"/>
          <w:szCs w:val="28"/>
          <w14:textFill>
            <w14:solidFill>
              <w14:schemeClr w14:val="tx1"/>
            </w14:solidFill>
          </w14:textFill>
        </w:rPr>
        <w:t>本次债券的发行利率由发行人与承销商根据</w:t>
      </w:r>
      <w:r>
        <w:rPr>
          <w:rFonts w:hint="eastAsia" w:ascii="Times New Roman" w:hAnsi="Times New Roman" w:eastAsia="仿宋" w:cs="Arial"/>
          <w:color w:val="000000" w:themeColor="text1"/>
          <w:kern w:val="21"/>
          <w:sz w:val="28"/>
          <w:szCs w:val="28"/>
          <w:highlight w:val="none"/>
          <w14:textFill>
            <w14:solidFill>
              <w14:schemeClr w14:val="tx1"/>
            </w14:solidFill>
          </w14:textFill>
        </w:rPr>
        <w:t>以簿记建档方式确定</w:t>
      </w:r>
      <w:r>
        <w:rPr>
          <w:rFonts w:hint="eastAsia" w:ascii="Times New Roman" w:hAnsi="Times New Roman" w:eastAsia="仿宋" w:cs="Arial"/>
          <w:color w:val="000000" w:themeColor="text1"/>
          <w:kern w:val="21"/>
          <w:sz w:val="28"/>
          <w:szCs w:val="28"/>
          <w14:textFill>
            <w14:solidFill>
              <w14:schemeClr w14:val="tx1"/>
            </w14:solidFill>
          </w14:textFill>
        </w:rPr>
        <w:t>。</w:t>
      </w:r>
    </w:p>
    <w:p w14:paraId="3AF53B20">
      <w:pPr>
        <w:adjustRightInd w:val="0"/>
        <w:snapToGrid w:val="0"/>
        <w:spacing w:line="360" w:lineRule="auto"/>
        <w:ind w:firstLine="560" w:firstLineChars="200"/>
        <w:rPr>
          <w:rFonts w:hint="eastAsia" w:ascii="Times New Roman" w:hAnsi="Times New Roman" w:eastAsia="仿宋" w:cs="Arial"/>
          <w:color w:val="000000" w:themeColor="text1"/>
          <w:kern w:val="21"/>
          <w:sz w:val="28"/>
          <w:lang w:val="en-US" w:eastAsia="zh-CN"/>
          <w14:textFill>
            <w14:solidFill>
              <w14:schemeClr w14:val="tx1"/>
            </w14:solidFill>
          </w14:textFill>
        </w:rPr>
      </w:pPr>
      <w:r>
        <w:rPr>
          <w:rFonts w:hint="eastAsia" w:ascii="Times New Roman" w:hAnsi="Times New Roman" w:eastAsia="仿宋" w:cs="Arial"/>
          <w:color w:val="000000" w:themeColor="text1"/>
          <w:kern w:val="21"/>
          <w:sz w:val="28"/>
          <w14:textFill>
            <w14:solidFill>
              <w14:schemeClr w14:val="tx1"/>
            </w14:solidFill>
          </w14:textFill>
        </w:rPr>
        <w:t>4</w:t>
      </w:r>
      <w:r>
        <w:rPr>
          <w:rFonts w:ascii="Times New Roman" w:hAnsi="Times New Roman" w:eastAsia="仿宋" w:cs="Arial"/>
          <w:color w:val="000000" w:themeColor="text1"/>
          <w:kern w:val="21"/>
          <w:sz w:val="28"/>
          <w14:textFill>
            <w14:solidFill>
              <w14:schemeClr w14:val="tx1"/>
            </w14:solidFill>
          </w14:textFill>
        </w:rPr>
        <w:t xml:space="preserve">.7  </w:t>
      </w:r>
      <w:r>
        <w:rPr>
          <w:rFonts w:hint="eastAsia" w:ascii="Times New Roman" w:hAnsi="Times New Roman" w:eastAsia="仿宋" w:cs="Arial"/>
          <w:color w:val="000000" w:themeColor="text1"/>
          <w:kern w:val="21"/>
          <w:sz w:val="28"/>
          <w:lang w:val="en-US" w:eastAsia="zh-CN"/>
          <w14:textFill>
            <w14:solidFill>
              <w14:schemeClr w14:val="tx1"/>
            </w14:solidFill>
          </w14:textFill>
        </w:rPr>
        <w:t>挂牌转让场所：上海证券交易所。</w:t>
      </w:r>
    </w:p>
    <w:p w14:paraId="4AA06A6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 xml:space="preserve">4.8  </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上述发行方案为拟申报发行方案，乙方可根据实际情况向甲方提供申报发行方案调整的建议，由双方协商确定，并以</w:t>
      </w:r>
      <w:r>
        <w:rPr>
          <w:rFonts w:hint="eastAsia" w:ascii="Times New Roman" w:hAnsi="Times New Roman" w:eastAsia="仿宋" w:cs="Arial"/>
          <w:color w:val="000000" w:themeColor="text1"/>
          <w:kern w:val="21"/>
          <w:sz w:val="28"/>
          <w:szCs w:val="28"/>
          <w14:textFill>
            <w14:solidFill>
              <w14:schemeClr w14:val="tx1"/>
            </w14:solidFill>
          </w14:textFill>
        </w:rPr>
        <w:t>证券监管机构/交易所</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最终备案的方案为准。</w:t>
      </w:r>
    </w:p>
    <w:p w14:paraId="34985A98">
      <w:pPr>
        <w:adjustRightInd w:val="0"/>
        <w:snapToGrid w:val="0"/>
        <w:spacing w:line="360" w:lineRule="auto"/>
        <w:ind w:left="564"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D02EE89">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8" w:name="_Toc326697839"/>
      <w:bookmarkStart w:id="9" w:name="_Toc22671"/>
      <w:r>
        <w:rPr>
          <w:rFonts w:hint="eastAsia" w:ascii="Times New Roman" w:hAnsi="Times New Roman" w:eastAsia="仿宋"/>
          <w:color w:val="000000" w:themeColor="text1"/>
          <w:szCs w:val="28"/>
          <w14:textFill>
            <w14:solidFill>
              <w14:schemeClr w14:val="tx1"/>
            </w14:solidFill>
          </w14:textFill>
        </w:rPr>
        <w:t>第五条  募集资金用途</w:t>
      </w:r>
      <w:bookmarkEnd w:id="8"/>
      <w:bookmarkEnd w:id="9"/>
    </w:p>
    <w:p w14:paraId="527CB0CD">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5.1  本次发行所募集资金扣除承销费用后发行人将用于一带一路项目相关贷款偿还、一带一路项目建设</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default" w:ascii="Times New Roman" w:hAnsi="Times New Roman" w:eastAsia="仿宋" w:cs="Times New Roman"/>
          <w:kern w:val="21"/>
          <w:sz w:val="28"/>
          <w:szCs w:val="28"/>
        </w:rPr>
        <w:t>偿还公司债务（具体以募集说明书约定为准）</w:t>
      </w:r>
      <w:r>
        <w:rPr>
          <w:rFonts w:hint="eastAsia" w:ascii="Times New Roman" w:hAnsi="Times New Roman" w:eastAsia="仿宋" w:cs="Arial"/>
          <w:color w:val="000000" w:themeColor="text1"/>
          <w:kern w:val="21"/>
          <w:sz w:val="28"/>
          <w:szCs w:val="28"/>
          <w14:textFill>
            <w14:solidFill>
              <w14:schemeClr w14:val="tx1"/>
            </w14:solidFill>
          </w14:textFill>
        </w:rPr>
        <w:t>。</w:t>
      </w:r>
    </w:p>
    <w:p w14:paraId="50B31E0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77627223">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10" w:name="_Toc326697840"/>
      <w:bookmarkStart w:id="11" w:name="_Toc13645"/>
      <w:r>
        <w:rPr>
          <w:rFonts w:hint="eastAsia" w:ascii="Times New Roman" w:hAnsi="Times New Roman" w:eastAsia="仿宋"/>
          <w:color w:val="000000" w:themeColor="text1"/>
          <w:szCs w:val="28"/>
          <w14:textFill>
            <w14:solidFill>
              <w14:schemeClr w14:val="tx1"/>
            </w14:solidFill>
          </w14:textFill>
        </w:rPr>
        <w:t>第六条  发行对象的范围和条件</w:t>
      </w:r>
      <w:bookmarkEnd w:id="10"/>
      <w:bookmarkEnd w:id="11"/>
    </w:p>
    <w:p w14:paraId="77C2B6EE">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6.1  本次债券仅向符合《公司债券发行与交易管理办法》</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eastAsia="zh-CN"/>
          <w14:textFill>
            <w14:solidFill>
              <w14:schemeClr w14:val="tx1"/>
            </w14:solidFill>
          </w14:textFill>
        </w:rPr>
        <w:fldChar w:fldCharType="begin"/>
      </w:r>
      <w:r>
        <w:rPr>
          <w:rFonts w:hint="eastAsia" w:ascii="Times New Roman" w:hAnsi="Times New Roman" w:eastAsia="仿宋" w:cs="Arial"/>
          <w:color w:val="000000" w:themeColor="text1"/>
          <w:kern w:val="21"/>
          <w:sz w:val="28"/>
          <w:szCs w:val="28"/>
          <w:lang w:eastAsia="zh-CN"/>
          <w14:textFill>
            <w14:solidFill>
              <w14:schemeClr w14:val="tx1"/>
            </w14:solidFill>
          </w14:textFill>
        </w:rPr>
        <w:instrText xml:space="preserve"> HYPERLINK "https://www.pkulaw.com/chl/74d7e5f9ae16de45bdfb.html?way=textSlc" \t "https://www.pkulaw.com/chl/_blank" </w:instrText>
      </w:r>
      <w:r>
        <w:rPr>
          <w:rFonts w:hint="eastAsia" w:ascii="Times New Roman" w:hAnsi="Times New Roman" w:eastAsia="仿宋" w:cs="Arial"/>
          <w:color w:val="000000" w:themeColor="text1"/>
          <w:kern w:val="21"/>
          <w:sz w:val="28"/>
          <w:szCs w:val="28"/>
          <w:lang w:eastAsia="zh-CN"/>
          <w14:textFill>
            <w14:solidFill>
              <w14:schemeClr w14:val="tx1"/>
            </w14:solidFill>
          </w14:textFill>
        </w:rPr>
        <w:fldChar w:fldCharType="separate"/>
      </w:r>
      <w:r>
        <w:rPr>
          <w:rFonts w:hint="eastAsia" w:ascii="Times New Roman" w:hAnsi="Times New Roman" w:eastAsia="仿宋" w:cs="Arial"/>
          <w:color w:val="000000" w:themeColor="text1"/>
          <w:kern w:val="21"/>
          <w:sz w:val="28"/>
          <w:szCs w:val="28"/>
          <w:lang w:eastAsia="zh-CN"/>
          <w14:textFill>
            <w14:solidFill>
              <w14:schemeClr w14:val="tx1"/>
            </w14:solidFill>
          </w14:textFill>
        </w:rPr>
        <w:t>证券期货投资者适当性管理办法</w:t>
      </w:r>
      <w:r>
        <w:rPr>
          <w:rFonts w:hint="eastAsia" w:ascii="Times New Roman" w:hAnsi="Times New Roman" w:eastAsia="仿宋" w:cs="Arial"/>
          <w:color w:val="000000" w:themeColor="text1"/>
          <w:kern w:val="21"/>
          <w:sz w:val="28"/>
          <w:szCs w:val="28"/>
          <w:lang w:eastAsia="zh-CN"/>
          <w14:textFill>
            <w14:solidFill>
              <w14:schemeClr w14:val="tx1"/>
            </w14:solidFill>
          </w14:textFill>
        </w:rPr>
        <w:fldChar w:fldCharType="end"/>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及拟申报</w:t>
      </w:r>
      <w:r>
        <w:rPr>
          <w:rFonts w:hint="eastAsia" w:ascii="Times New Roman" w:hAnsi="Times New Roman" w:eastAsia="仿宋" w:cs="Arial"/>
          <w:color w:val="000000" w:themeColor="text1"/>
          <w:kern w:val="21"/>
          <w:sz w:val="28"/>
          <w:szCs w:val="28"/>
          <w14:textFill>
            <w14:solidFill>
              <w14:schemeClr w14:val="tx1"/>
            </w14:solidFill>
          </w14:textFill>
        </w:rPr>
        <w:t>证券交易所</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关于</w:t>
      </w:r>
      <w:r>
        <w:rPr>
          <w:rFonts w:hint="eastAsia" w:ascii="Times New Roman" w:hAnsi="Times New Roman" w:eastAsia="仿宋" w:cs="Arial"/>
          <w:color w:val="000000" w:themeColor="text1"/>
          <w:kern w:val="21"/>
          <w:sz w:val="28"/>
          <w:szCs w:val="28"/>
          <w14:textFill>
            <w14:solidFill>
              <w14:schemeClr w14:val="tx1"/>
            </w14:solidFill>
          </w14:textFill>
        </w:rPr>
        <w:t>债券市场投资者适当性管理规定的专业投资者销售。</w:t>
      </w:r>
    </w:p>
    <w:p w14:paraId="50D8CE8F">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653C32C4">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12" w:name="_Toc20094"/>
      <w:bookmarkStart w:id="13" w:name="_Toc326697841"/>
      <w:r>
        <w:rPr>
          <w:rFonts w:hint="eastAsia" w:ascii="Times New Roman" w:hAnsi="Times New Roman" w:eastAsia="仿宋"/>
          <w:color w:val="000000" w:themeColor="text1"/>
          <w:szCs w:val="28"/>
          <w14:textFill>
            <w14:solidFill>
              <w14:schemeClr w14:val="tx1"/>
            </w14:solidFill>
          </w14:textFill>
        </w:rPr>
        <w:t>第七条  承销方式与承销责任</w:t>
      </w:r>
      <w:bookmarkEnd w:id="12"/>
      <w:bookmarkEnd w:id="13"/>
    </w:p>
    <w:p w14:paraId="2F6F530E">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7.1  本次发行的承销方式为余额包销。甲方特此确认，在乙方按照本协议的规定向发行人划付了本次债券所募集的全部款项（扣除本协议第八条约定之费用后的净额）且甲方实际已收到了全部募集款项（扣除本协议第八条约定之费用后的净额），并且乙方已按照本协议的规定向甲方提供了</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与其实际收取的</w:t>
      </w:r>
      <w:r>
        <w:rPr>
          <w:rFonts w:hint="eastAsia" w:ascii="Times New Roman" w:hAnsi="Times New Roman" w:eastAsia="仿宋" w:cs="Arial"/>
          <w:color w:val="000000" w:themeColor="text1"/>
          <w:kern w:val="21"/>
          <w:sz w:val="28"/>
          <w:szCs w:val="28"/>
          <w14:textFill>
            <w14:solidFill>
              <w14:schemeClr w14:val="tx1"/>
            </w14:solidFill>
          </w14:textFill>
        </w:rPr>
        <w:t>承销费用</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金额相等的</w:t>
      </w:r>
      <w:r>
        <w:rPr>
          <w:rFonts w:hint="eastAsia" w:ascii="Times New Roman" w:hAnsi="Times New Roman" w:eastAsia="仿宋" w:cs="Arial"/>
          <w:color w:val="000000" w:themeColor="text1"/>
          <w:kern w:val="21"/>
          <w:sz w:val="28"/>
          <w:szCs w:val="28"/>
          <w14:textFill>
            <w14:solidFill>
              <w14:schemeClr w14:val="tx1"/>
            </w14:solidFill>
          </w14:textFill>
        </w:rPr>
        <w:t>发票之后，乙方在本协议项下作为承销商的承销义务和责任即告终止，但乙方在本协议项下的其他义务和责任并不因此而终止。</w:t>
      </w:r>
    </w:p>
    <w:p w14:paraId="1947C98A">
      <w:pPr>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51B0C702">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r>
        <w:rPr>
          <w:rFonts w:hint="eastAsia" w:ascii="Times New Roman" w:hAnsi="Times New Roman" w:eastAsia="仿宋"/>
          <w:color w:val="000000" w:themeColor="text1"/>
          <w:szCs w:val="28"/>
          <w14:textFill>
            <w14:solidFill>
              <w14:schemeClr w14:val="tx1"/>
            </w14:solidFill>
          </w14:textFill>
        </w:rPr>
        <w:t>第八条  承</w:t>
      </w:r>
      <w:bookmarkStart w:id="14" w:name="_Toc28062"/>
      <w:bookmarkStart w:id="15" w:name="_Toc326697842"/>
      <w:r>
        <w:rPr>
          <w:rFonts w:hint="eastAsia" w:ascii="Times New Roman" w:hAnsi="Times New Roman" w:eastAsia="仿宋"/>
          <w:color w:val="000000" w:themeColor="text1"/>
          <w:szCs w:val="28"/>
          <w14:textFill>
            <w14:solidFill>
              <w14:schemeClr w14:val="tx1"/>
            </w14:solidFill>
          </w14:textFill>
        </w:rPr>
        <w:t>销费用</w:t>
      </w:r>
      <w:bookmarkEnd w:id="14"/>
      <w:bookmarkEnd w:id="15"/>
    </w:p>
    <w:p w14:paraId="4E49990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8.1  </w:t>
      </w:r>
      <w:r>
        <w:rPr>
          <w:rFonts w:hint="eastAsia" w:ascii="Times New Roman" w:hAnsi="Times New Roman" w:eastAsia="仿宋" w:cs="仿宋"/>
          <w:color w:val="000000" w:themeColor="text1"/>
          <w:sz w:val="28"/>
          <w:szCs w:val="28"/>
          <w14:textFill>
            <w14:solidFill>
              <w14:schemeClr w14:val="tx1"/>
            </w14:solidFill>
          </w14:textFill>
        </w:rPr>
        <w:t>基于乙方就本次发行为甲方提供的承销服务，甲方向乙方支付承销费用，</w:t>
      </w:r>
      <w:r>
        <w:rPr>
          <w:rFonts w:hint="eastAsia" w:ascii="Times New Roman" w:hAnsi="Times New Roman" w:eastAsia="仿宋" w:cs="Arial"/>
          <w:color w:val="000000" w:themeColor="text1"/>
          <w:kern w:val="21"/>
          <w:sz w:val="28"/>
          <w:szCs w:val="28"/>
          <w14:textFill>
            <w14:solidFill>
              <w14:schemeClr w14:val="tx1"/>
            </w14:solidFill>
          </w14:textFill>
        </w:rPr>
        <w:t>承销费用（含税）按照以下方式计算：</w:t>
      </w:r>
    </w:p>
    <w:p w14:paraId="0803BF4B">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pP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承销费用根据含权情况分别计算：</w:t>
      </w:r>
    </w:p>
    <w:p w14:paraId="2BDA9E64">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pP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（1）</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若本次债券未设置</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含权条款</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即存续期内</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不附带</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发行人调整票面利率选择权和</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/或</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投资者回售选择权，</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则承销费用=本次债券各期实际发行总额×发行年限×</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0.10</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%，由乙方从本次债券募集资金总额中一次性扣收相对应的承销费用。</w:t>
      </w:r>
    </w:p>
    <w:p w14:paraId="5F5670FB">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pP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（2）</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若本次债券设置</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含权条款</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即存续期内</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附带</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发行人调整票面利率选择权和</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/或</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投资者回售选择权，</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则承销费用根据债券存续期内行权事宜分次收取：</w:t>
      </w:r>
    </w:p>
    <w:p w14:paraId="49C9E984">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pP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初始承销费用=本次债券实际发行总额×</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首次</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行权前本次债券</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存续</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年限×</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0.10</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%，由乙方从本次债券募集资金总额中一次性扣收相对应的初始承销费用；</w:t>
      </w:r>
    </w:p>
    <w:p w14:paraId="2CCBB06D">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pP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后续承销费用由发行人在调整票面利率选择权及投资者回售选择权当年还本付息日（以下简称“该时点”）后5个工作日内，向承销商支付该时点至下一个发行人调整票面利率选择权及投资者回售选择权发生年度或债券到期年度（以下简称“间隔年度”）的后续期间承销费用。后续各期</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承销费用=行权后本次债券余额×</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间隔年度</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w:t>
      </w:r>
      <w:r>
        <w:rPr>
          <w:rFonts w:hint="eastAsia" w:ascii="Times New Roman" w:hAnsi="Times New Roman" w:eastAsia="仿宋" w:cs="Arial"/>
          <w:color w:val="000000" w:themeColor="text1"/>
          <w:kern w:val="21"/>
          <w:sz w:val="28"/>
          <w:szCs w:val="28"/>
          <w:u w:val="none"/>
          <w:lang w:val="en-US" w:eastAsia="zh-CN"/>
          <w14:textFill>
            <w14:solidFill>
              <w14:schemeClr w14:val="tx1"/>
            </w14:solidFill>
          </w14:textFill>
        </w:rPr>
        <w:t>0.10</w:t>
      </w:r>
      <w:r>
        <w:rPr>
          <w:rFonts w:hint="eastAsia" w:ascii="Times New Roman" w:hAnsi="Times New Roman" w:eastAsia="仿宋" w:cs="Arial"/>
          <w:color w:val="000000" w:themeColor="text1"/>
          <w:kern w:val="21"/>
          <w:sz w:val="28"/>
          <w:szCs w:val="28"/>
          <w:u w:val="none"/>
          <w:lang w:eastAsia="zh-CN"/>
          <w14:textFill>
            <w14:solidFill>
              <w14:schemeClr w14:val="tx1"/>
            </w14:solidFill>
          </w14:textFill>
        </w:rPr>
        <w:t>%。</w:t>
      </w:r>
    </w:p>
    <w:p w14:paraId="552C88EA">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8.2  </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上述承销费用由承销商</w:t>
      </w:r>
      <w:r>
        <w:rPr>
          <w:rFonts w:hint="eastAsia" w:ascii="Times New Roman" w:hAnsi="Times New Roman" w:eastAsia="仿宋" w:cs="Arial"/>
          <w:color w:val="000000" w:themeColor="text1"/>
          <w:kern w:val="21"/>
          <w:sz w:val="28"/>
          <w:szCs w:val="28"/>
          <w14:textFill>
            <w14:solidFill>
              <w14:schemeClr w14:val="tx1"/>
            </w14:solidFill>
          </w14:textFill>
        </w:rPr>
        <w:t>从募集资金总额中</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直接</w:t>
      </w:r>
      <w:r>
        <w:rPr>
          <w:rFonts w:hint="eastAsia" w:ascii="Times New Roman" w:hAnsi="Times New Roman" w:eastAsia="仿宋" w:cs="Arial"/>
          <w:color w:val="000000" w:themeColor="text1"/>
          <w:kern w:val="21"/>
          <w:sz w:val="28"/>
          <w:szCs w:val="28"/>
          <w14:textFill>
            <w14:solidFill>
              <w14:schemeClr w14:val="tx1"/>
            </w14:solidFill>
          </w14:textFill>
        </w:rPr>
        <w:t>扣收</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如本次债券分期发行的，承销费用由承销商按照</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第</w:t>
      </w:r>
      <w:r>
        <w:rPr>
          <w:rFonts w:hint="eastAsia" w:ascii="Times New Roman" w:hAnsi="Times New Roman" w:eastAsia="仿宋" w:cs="Arial"/>
          <w:color w:val="000000" w:themeColor="text1"/>
          <w:kern w:val="21"/>
          <w:sz w:val="28"/>
          <w:szCs w:val="28"/>
          <w14:textFill>
            <w14:solidFill>
              <w14:schemeClr w14:val="tx1"/>
            </w14:solidFill>
          </w14:textFill>
        </w:rPr>
        <w:t>8.1</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款</w:t>
      </w:r>
      <w:r>
        <w:rPr>
          <w:rFonts w:hint="eastAsia" w:ascii="Times New Roman" w:hAnsi="Times New Roman" w:eastAsia="仿宋" w:cs="Arial"/>
          <w:color w:val="000000" w:themeColor="text1"/>
          <w:kern w:val="21"/>
          <w:sz w:val="28"/>
          <w:szCs w:val="28"/>
          <w14:textFill>
            <w14:solidFill>
              <w14:schemeClr w14:val="tx1"/>
            </w14:solidFill>
          </w14:textFill>
        </w:rPr>
        <w:t>约定的收费标准从每期债券募集资金总额中分别扣收。</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如本次债券含权，本协议对行权后承销费用的收取方式另有约定的，从其约定。</w:t>
      </w:r>
    </w:p>
    <w:p w14:paraId="48783FA9">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8.</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根据第8.1、8.2款计算得出的承销费用，扣减</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第8.</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款</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约定的</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相关中介机构</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费用（如涉及）后的净额，为实收承销费用</w:t>
      </w:r>
      <w:r>
        <w:rPr>
          <w:rFonts w:hint="eastAsia" w:ascii="Times New Roman" w:hAnsi="Times New Roman" w:eastAsia="仿宋" w:cs="Arial"/>
          <w:color w:val="000000" w:themeColor="text1"/>
          <w:kern w:val="21"/>
          <w:sz w:val="28"/>
          <w:szCs w:val="28"/>
          <w14:textFill>
            <w14:solidFill>
              <w14:schemeClr w14:val="tx1"/>
            </w14:solidFill>
          </w14:textFill>
        </w:rPr>
        <w:t>。</w:t>
      </w:r>
    </w:p>
    <w:p w14:paraId="114A602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8.</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4</w:t>
      </w:r>
      <w:r>
        <w:rPr>
          <w:rFonts w:hint="eastAsia" w:ascii="Times New Roman" w:hAnsi="Times New Roman" w:eastAsia="仿宋" w:cs="Arial"/>
          <w:color w:val="000000" w:themeColor="text1"/>
          <w:kern w:val="21"/>
          <w:sz w:val="28"/>
          <w:szCs w:val="28"/>
          <w14:textFill>
            <w14:solidFill>
              <w14:schemeClr w14:val="tx1"/>
            </w14:solidFill>
          </w14:textFill>
        </w:rPr>
        <w:t xml:space="preserve">  承销费用包括以下项目的</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开支</w:t>
      </w:r>
      <w:r>
        <w:rPr>
          <w:rFonts w:hint="eastAsia" w:ascii="Times New Roman" w:hAnsi="Times New Roman" w:eastAsia="仿宋" w:cs="Arial"/>
          <w:color w:val="000000" w:themeColor="text1"/>
          <w:kern w:val="21"/>
          <w:sz w:val="28"/>
          <w:szCs w:val="28"/>
          <w14:textFill>
            <w14:solidFill>
              <w14:schemeClr w14:val="tx1"/>
            </w14:solidFill>
          </w14:textFill>
        </w:rPr>
        <w:t>：</w:t>
      </w:r>
    </w:p>
    <w:p w14:paraId="79669E2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（1）承销商的顾问策划和方案设计费；</w:t>
      </w:r>
    </w:p>
    <w:p w14:paraId="0BB8E11B">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val="en-US" w:eastAsia="zh-CN"/>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（2）申报材料撰写费；</w:t>
      </w:r>
    </w:p>
    <w:p w14:paraId="0BB9C90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（3）本次债券的销售费；</w:t>
      </w:r>
    </w:p>
    <w:p w14:paraId="0880359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（4）乙方工作人员在</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发行人现场及</w:t>
      </w:r>
      <w:r>
        <w:rPr>
          <w:rFonts w:hint="eastAsia" w:ascii="Times New Roman" w:hAnsi="Times New Roman" w:eastAsia="仿宋" w:cs="Arial"/>
          <w:color w:val="000000" w:themeColor="text1"/>
          <w:kern w:val="21"/>
          <w:sz w:val="28"/>
          <w:szCs w:val="28"/>
          <w14:textFill>
            <w14:solidFill>
              <w14:schemeClr w14:val="tx1"/>
            </w14:solidFill>
          </w14:textFill>
        </w:rPr>
        <w:t>非发行人所在地的交通费、差旅费等费用；</w:t>
      </w:r>
    </w:p>
    <w:p w14:paraId="460E9C9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（5）承销团费用</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如有</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w:t>
      </w:r>
    </w:p>
    <w:p w14:paraId="64DD8F53">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6</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法律法规规定及双方协议约定的由乙方承担的其他费用。</w:t>
      </w:r>
    </w:p>
    <w:p w14:paraId="457F744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8.</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5</w:t>
      </w:r>
      <w:r>
        <w:rPr>
          <w:rFonts w:hint="eastAsia" w:ascii="Times New Roman" w:hAnsi="Times New Roman" w:eastAsia="仿宋" w:cs="Arial"/>
          <w:color w:val="000000" w:themeColor="text1"/>
          <w:kern w:val="21"/>
          <w:sz w:val="28"/>
          <w:szCs w:val="28"/>
          <w14:textFill>
            <w14:solidFill>
              <w14:schemeClr w14:val="tx1"/>
            </w14:solidFill>
          </w14:textFill>
        </w:rPr>
        <w:t xml:space="preserve">  承销费用不包括以下项目的开支，</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下列各项开支</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涉及的</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相关费用由发行人另行支付</w:t>
      </w:r>
      <w:r>
        <w:rPr>
          <w:rFonts w:hint="eastAsia" w:ascii="Times New Roman" w:hAnsi="Times New Roman" w:eastAsia="仿宋" w:cs="Arial"/>
          <w:color w:val="000000" w:themeColor="text1"/>
          <w:kern w:val="21"/>
          <w:sz w:val="28"/>
          <w:szCs w:val="28"/>
          <w14:textFill>
            <w14:solidFill>
              <w14:schemeClr w14:val="tx1"/>
            </w14:solidFill>
          </w14:textFill>
        </w:rPr>
        <w:t>：</w:t>
      </w:r>
    </w:p>
    <w:p w14:paraId="6160A37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）发行人所聘请的</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会计师、</w:t>
      </w:r>
      <w:r>
        <w:rPr>
          <w:rFonts w:hint="eastAsia" w:ascii="Times New Roman" w:hAnsi="Times New Roman" w:eastAsia="仿宋" w:cs="Arial"/>
          <w:color w:val="000000" w:themeColor="text1"/>
          <w:kern w:val="21"/>
          <w:sz w:val="28"/>
          <w:szCs w:val="28"/>
          <w14:textFill>
            <w14:solidFill>
              <w14:schemeClr w14:val="tx1"/>
            </w14:solidFill>
          </w14:textFill>
        </w:rPr>
        <w:t>律师、评级、评估等其他中介机构的服务费用</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其中律师服务费用包括对本次债券发行见证的服务费用</w:t>
      </w:r>
      <w:r>
        <w:rPr>
          <w:rFonts w:hint="eastAsia" w:ascii="Times New Roman" w:hAnsi="Times New Roman" w:eastAsia="仿宋" w:cs="Arial"/>
          <w:color w:val="000000" w:themeColor="text1"/>
          <w:kern w:val="21"/>
          <w:sz w:val="28"/>
          <w:szCs w:val="28"/>
          <w14:textFill>
            <w14:solidFill>
              <w14:schemeClr w14:val="tx1"/>
            </w14:solidFill>
          </w14:textFill>
        </w:rPr>
        <w:t>；</w:t>
      </w:r>
    </w:p>
    <w:p w14:paraId="7EDD7AA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2</w:t>
      </w:r>
      <w:r>
        <w:rPr>
          <w:rFonts w:hint="eastAsia" w:ascii="Times New Roman" w:hAnsi="Times New Roman" w:eastAsia="仿宋" w:cs="Arial"/>
          <w:color w:val="000000" w:themeColor="text1"/>
          <w:kern w:val="21"/>
          <w:sz w:val="28"/>
          <w:szCs w:val="28"/>
          <w14:textFill>
            <w14:solidFill>
              <w14:schemeClr w14:val="tx1"/>
            </w14:solidFill>
          </w14:textFill>
        </w:rPr>
        <w:t>）发行人因融资活动而发生的其他中介机构费用，如财务顾问、行业研究、业务调研、管理咨询、战略顾问、资金保管等费用；</w:t>
      </w:r>
    </w:p>
    <w:p w14:paraId="733F458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）未在本协议中列示但与本次发行有关的所有其他费用，包括但不限于：交易所规费、交易所系统手续费、登记公司登记结算费等费用；</w:t>
      </w:r>
    </w:p>
    <w:p w14:paraId="7C2DD23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4</w:t>
      </w:r>
      <w:r>
        <w:rPr>
          <w:rFonts w:hint="eastAsia" w:ascii="Times New Roman" w:hAnsi="Times New Roman" w:eastAsia="仿宋" w:cs="Arial"/>
          <w:color w:val="000000" w:themeColor="text1"/>
          <w:kern w:val="21"/>
          <w:sz w:val="28"/>
          <w:szCs w:val="28"/>
          <w14:textFill>
            <w14:solidFill>
              <w14:schemeClr w14:val="tx1"/>
            </w14:solidFill>
          </w14:textFill>
        </w:rPr>
        <w:t>）其它承销费用以外的应由甲方承担的费用。</w:t>
      </w:r>
    </w:p>
    <w:p w14:paraId="128A065C">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8.</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6</w:t>
      </w:r>
      <w:r>
        <w:rPr>
          <w:rFonts w:hint="eastAsia" w:ascii="Times New Roman" w:hAnsi="Times New Roman" w:eastAsia="仿宋" w:cs="Arial"/>
          <w:color w:val="000000" w:themeColor="text1"/>
          <w:kern w:val="21"/>
          <w:sz w:val="28"/>
          <w:szCs w:val="28"/>
          <w14:textFill>
            <w14:solidFill>
              <w14:schemeClr w14:val="tx1"/>
            </w14:solidFill>
          </w14:textFill>
        </w:rPr>
        <w:t xml:space="preserve">  承销商应及时开具与承销费用数额相等、抬头为发行人的</w:t>
      </w:r>
      <w:r>
        <w:rPr>
          <w:rFonts w:hint="eastAsia" w:ascii="Times New Roman" w:hAnsi="Times New Roman" w:eastAsia="仿宋"/>
          <w:color w:val="000000" w:themeColor="text1"/>
          <w:sz w:val="28"/>
          <w:szCs w:val="28"/>
          <w14:textFill>
            <w14:solidFill>
              <w14:schemeClr w14:val="tx1"/>
            </w14:solidFill>
          </w14:textFill>
        </w:rPr>
        <w:t>增值税专用发票</w:t>
      </w:r>
      <w:r>
        <w:rPr>
          <w:rFonts w:hint="eastAsia" w:ascii="Times New Roman" w:hAnsi="Times New Roman" w:eastAsia="仿宋" w:cs="Arial"/>
          <w:color w:val="000000" w:themeColor="text1"/>
          <w:kern w:val="21"/>
          <w:sz w:val="28"/>
          <w:szCs w:val="28"/>
          <w14:textFill>
            <w14:solidFill>
              <w14:schemeClr w14:val="tx1"/>
            </w14:solidFill>
          </w14:textFill>
        </w:rPr>
        <w:t>，在乙方收到承销费用之日起</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3个</w:t>
      </w:r>
      <w:r>
        <w:rPr>
          <w:rFonts w:hint="eastAsia" w:ascii="Times New Roman" w:hAnsi="Times New Roman" w:eastAsia="仿宋" w:cs="Arial"/>
          <w:color w:val="000000" w:themeColor="text1"/>
          <w:kern w:val="21"/>
          <w:sz w:val="28"/>
          <w:szCs w:val="28"/>
          <w14:textFill>
            <w14:solidFill>
              <w14:schemeClr w14:val="tx1"/>
            </w14:solidFill>
          </w14:textFill>
        </w:rPr>
        <w:t>工作日内提供给甲方。</w:t>
      </w:r>
      <w:bookmarkStart w:id="49" w:name="_GoBack"/>
      <w:bookmarkEnd w:id="49"/>
    </w:p>
    <w:p w14:paraId="5D7A6B5C">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highlight w:val="none"/>
          <w14:textFill>
            <w14:solidFill>
              <w14:schemeClr w14:val="tx1"/>
            </w14:solidFill>
          </w14:textFill>
        </w:rPr>
        <w:t>8.</w:t>
      </w:r>
      <w:r>
        <w:rPr>
          <w:rFonts w:hint="eastAsia" w:ascii="Times New Roman" w:hAnsi="Times New Roman" w:eastAsia="仿宋" w:cs="Arial"/>
          <w:color w:val="000000" w:themeColor="text1"/>
          <w:kern w:val="21"/>
          <w:sz w:val="28"/>
          <w:szCs w:val="28"/>
          <w:highlight w:val="none"/>
          <w:lang w:val="en-US" w:eastAsia="zh-CN"/>
          <w14:textFill>
            <w14:solidFill>
              <w14:schemeClr w14:val="tx1"/>
            </w14:solidFill>
          </w14:textFill>
        </w:rPr>
        <w:t>7</w:t>
      </w:r>
      <w:r>
        <w:rPr>
          <w:rFonts w:hint="eastAsia" w:ascii="Times New Roman" w:hAnsi="Times New Roman" w:eastAsia="仿宋" w:cs="Arial"/>
          <w:color w:val="000000" w:themeColor="text1"/>
          <w:kern w:val="21"/>
          <w:sz w:val="28"/>
          <w:szCs w:val="28"/>
          <w:highlight w:val="none"/>
          <w14:textFill>
            <w14:solidFill>
              <w14:schemeClr w14:val="tx1"/>
            </w14:solidFill>
          </w14:textFill>
        </w:rPr>
        <w:t xml:space="preserve">  </w:t>
      </w:r>
      <w:r>
        <w:rPr>
          <w:rFonts w:hint="eastAsia" w:ascii="Times New Roman" w:hAnsi="Times New Roman" w:eastAsia="仿宋" w:cs="Arial"/>
          <w:color w:val="000000" w:themeColor="text1"/>
          <w:kern w:val="21"/>
          <w:sz w:val="28"/>
          <w:szCs w:val="28"/>
          <w:highlight w:val="none"/>
          <w:lang w:val="en-US" w:eastAsia="zh-CN"/>
          <w14:textFill>
            <w14:solidFill>
              <w14:schemeClr w14:val="tx1"/>
            </w14:solidFill>
          </w14:textFill>
        </w:rPr>
        <w:t>如乙方担任本次债券受托管理人，甲方向乙方支付</w:t>
      </w:r>
      <w:r>
        <w:rPr>
          <w:rFonts w:hint="eastAsia" w:ascii="Times New Roman" w:hAnsi="Times New Roman" w:eastAsia="仿宋" w:cs="Arial"/>
          <w:color w:val="000000" w:themeColor="text1"/>
          <w:kern w:val="21"/>
          <w:sz w:val="28"/>
          <w:szCs w:val="28"/>
          <w:highlight w:val="none"/>
          <w14:textFill>
            <w14:solidFill>
              <w14:schemeClr w14:val="tx1"/>
            </w14:solidFill>
          </w14:textFill>
        </w:rPr>
        <w:t>债券受托管理</w:t>
      </w:r>
      <w:r>
        <w:rPr>
          <w:rFonts w:hint="eastAsia" w:ascii="Times New Roman" w:hAnsi="Times New Roman" w:eastAsia="仿宋" w:cs="Arial"/>
          <w:color w:val="000000" w:themeColor="text1"/>
          <w:kern w:val="21"/>
          <w:sz w:val="28"/>
          <w:szCs w:val="28"/>
          <w:highlight w:val="none"/>
          <w:lang w:val="en-US" w:eastAsia="zh-CN"/>
          <w14:textFill>
            <w14:solidFill>
              <w14:schemeClr w14:val="tx1"/>
            </w14:solidFill>
          </w14:textFill>
        </w:rPr>
        <w:t>费用10万元，</w:t>
      </w:r>
      <w:r>
        <w:rPr>
          <w:rFonts w:hint="eastAsia" w:ascii="Times New Roman" w:hAnsi="Times New Roman" w:eastAsia="仿宋" w:cs="Times New Roman"/>
          <w:color w:val="000000" w:themeColor="text1"/>
          <w:kern w:val="21"/>
          <w:sz w:val="28"/>
          <w:szCs w:val="28"/>
          <w:highlight w:val="none"/>
          <w:lang w:val="en-US" w:eastAsia="zh-CN"/>
          <w14:textFill>
            <w14:solidFill>
              <w14:schemeClr w14:val="tx1"/>
            </w14:solidFill>
          </w14:textFill>
        </w:rPr>
        <w:t>最终以</w:t>
      </w:r>
      <w:r>
        <w:rPr>
          <w:rFonts w:hint="eastAsia" w:ascii="Times New Roman" w:hAnsi="Times New Roman" w:eastAsia="仿宋" w:cs="Arial"/>
          <w:color w:val="000000" w:themeColor="text1"/>
          <w:kern w:val="21"/>
          <w:sz w:val="28"/>
          <w:szCs w:val="28"/>
          <w:highlight w:val="none"/>
          <w:lang w:val="en-US" w:eastAsia="zh-CN"/>
          <w14:textFill>
            <w14:solidFill>
              <w14:schemeClr w14:val="tx1"/>
            </w14:solidFill>
          </w14:textFill>
        </w:rPr>
        <w:t>甲方与乙方另行签署受托管理协议为准</w:t>
      </w:r>
      <w:r>
        <w:rPr>
          <w:rFonts w:hint="eastAsia" w:ascii="Times New Roman" w:hAnsi="Times New Roman" w:eastAsia="仿宋" w:cs="Times New Roman"/>
          <w:color w:val="000000" w:themeColor="text1"/>
          <w:kern w:val="21"/>
          <w:sz w:val="28"/>
          <w:szCs w:val="28"/>
          <w:highlight w:val="none"/>
          <w:lang w:val="en-US" w:eastAsia="zh-CN"/>
          <w14:textFill>
            <w14:solidFill>
              <w14:schemeClr w14:val="tx1"/>
            </w14:solidFill>
          </w14:textFill>
        </w:rPr>
        <w:t>。各方理解并同意：如涉及承销费用包含受托管理费用，仅是基于便利各方扣收/划付之需，不影响受托管理费用应当单独支付/收取的业务实质。</w:t>
      </w:r>
    </w:p>
    <w:p w14:paraId="6C70268E">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16" w:name="_Toc326697843"/>
      <w:bookmarkStart w:id="17" w:name="_Toc9555"/>
      <w:r>
        <w:rPr>
          <w:rFonts w:hint="eastAsia" w:ascii="Times New Roman" w:hAnsi="Times New Roman" w:eastAsia="仿宋"/>
          <w:color w:val="000000" w:themeColor="text1"/>
          <w:szCs w:val="28"/>
          <w14:textFill>
            <w14:solidFill>
              <w14:schemeClr w14:val="tx1"/>
            </w14:solidFill>
          </w14:textFill>
        </w:rPr>
        <w:t xml:space="preserve">第九条  </w:t>
      </w:r>
      <w:bookmarkEnd w:id="16"/>
      <w:bookmarkEnd w:id="17"/>
      <w:r>
        <w:rPr>
          <w:rFonts w:hint="eastAsia" w:ascii="Times New Roman" w:hAnsi="Times New Roman" w:eastAsia="仿宋"/>
          <w:color w:val="000000" w:themeColor="text1"/>
          <w:szCs w:val="28"/>
          <w14:textFill>
            <w14:solidFill>
              <w14:schemeClr w14:val="tx1"/>
            </w14:solidFill>
          </w14:textFill>
        </w:rPr>
        <w:t>募集资金的划付</w:t>
      </w:r>
    </w:p>
    <w:p w14:paraId="394EB03D">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bookmarkStart w:id="18" w:name="_Hlt437463616"/>
      <w:bookmarkEnd w:id="18"/>
      <w:bookmarkStart w:id="19" w:name="_Hlt437463617"/>
      <w:bookmarkEnd w:id="19"/>
      <w:r>
        <w:rPr>
          <w:rFonts w:hint="eastAsia" w:ascii="Times New Roman" w:hAnsi="Times New Roman" w:eastAsia="仿宋" w:cs="Arial"/>
          <w:color w:val="000000" w:themeColor="text1"/>
          <w:kern w:val="21"/>
          <w:sz w:val="28"/>
          <w:szCs w:val="28"/>
          <w14:textFill>
            <w14:solidFill>
              <w14:schemeClr w14:val="tx1"/>
            </w14:solidFill>
          </w14:textFill>
        </w:rPr>
        <w:t>9.1  乙方应在发行期满</w:t>
      </w:r>
      <w:r>
        <w:rPr>
          <w:rFonts w:hint="eastAsia" w:ascii="Times New Roman" w:hAnsi="Times New Roman" w:eastAsia="仿宋" w:cs="Times New Roman"/>
          <w:color w:val="000000" w:themeColor="text1"/>
          <w:kern w:val="21"/>
          <w:sz w:val="28"/>
          <w:szCs w:val="28"/>
          <w14:textFill>
            <w14:solidFill>
              <w14:schemeClr w14:val="tx1"/>
            </w14:solidFill>
          </w14:textFill>
        </w:rPr>
        <w:t>且在甲方提供账户信息</w:t>
      </w:r>
      <w:r>
        <w:rPr>
          <w:rFonts w:hint="eastAsia" w:ascii="Times New Roman" w:hAnsi="Times New Roman" w:eastAsia="仿宋" w:cs="Arial"/>
          <w:color w:val="000000" w:themeColor="text1"/>
          <w:kern w:val="21"/>
          <w:sz w:val="28"/>
          <w:szCs w:val="28"/>
          <w14:textFill>
            <w14:solidFill>
              <w14:schemeClr w14:val="tx1"/>
            </w14:solidFill>
          </w14:textFill>
        </w:rPr>
        <w:t>后</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个工作日内，将</w:t>
      </w:r>
      <w:r>
        <w:rPr>
          <w:rFonts w:hint="default" w:ascii="Times New Roman" w:hAnsi="Times New Roman" w:eastAsia="仿宋" w:cs="Arial"/>
          <w:color w:val="000000" w:themeColor="text1"/>
          <w:kern w:val="21"/>
          <w:sz w:val="28"/>
          <w:szCs w:val="28"/>
          <w:lang w:val="en-US"/>
          <w14:textFill>
            <w14:solidFill>
              <w14:schemeClr w14:val="tx1"/>
            </w14:solidFill>
          </w14:textFill>
        </w:rPr>
        <w:t>扣除承销费用后的实际</w:t>
      </w:r>
      <w:r>
        <w:rPr>
          <w:rFonts w:hint="eastAsia" w:ascii="Times New Roman" w:hAnsi="Times New Roman" w:eastAsia="仿宋" w:cs="Arial"/>
          <w:color w:val="000000" w:themeColor="text1"/>
          <w:kern w:val="21"/>
          <w:sz w:val="28"/>
          <w:szCs w:val="28"/>
          <w14:textFill>
            <w14:solidFill>
              <w14:schemeClr w14:val="tx1"/>
            </w14:solidFill>
          </w14:textFill>
        </w:rPr>
        <w:t>募集资金净额划入甲方指定的银行账户。</w:t>
      </w:r>
    </w:p>
    <w:p w14:paraId="4B8FC214">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256D2384">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20" w:name="_Toc122143696"/>
      <w:bookmarkStart w:id="21" w:name="_Toc32613"/>
      <w:bookmarkStart w:id="22" w:name="_Toc326697844"/>
      <w:r>
        <w:rPr>
          <w:rFonts w:hint="eastAsia" w:ascii="Times New Roman" w:hAnsi="Times New Roman" w:eastAsia="仿宋"/>
          <w:color w:val="000000" w:themeColor="text1"/>
          <w:szCs w:val="28"/>
          <w14:textFill>
            <w14:solidFill>
              <w14:schemeClr w14:val="tx1"/>
            </w14:solidFill>
          </w14:textFill>
        </w:rPr>
        <w:t>第十条  付息和本金兑付</w:t>
      </w:r>
      <w:bookmarkEnd w:id="20"/>
      <w:bookmarkEnd w:id="21"/>
      <w:bookmarkEnd w:id="22"/>
    </w:p>
    <w:p w14:paraId="430F269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10.1  在本次债券发行之后，本次债券的付息和本金兑付将通过登记公司办理。</w:t>
      </w:r>
    </w:p>
    <w:p w14:paraId="2B69924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10.2  发行人应根据与登记公司签订的有关协议将有关的本金或利息款项按期足额划至登记公司指定的账户。</w:t>
      </w:r>
    </w:p>
    <w:p w14:paraId="07B8EF26">
      <w:pPr>
        <w:adjustRightInd w:val="0"/>
        <w:snapToGrid w:val="0"/>
        <w:spacing w:line="360" w:lineRule="auto"/>
        <w:ind w:left="564"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62B677C0">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23" w:name="_Toc20795"/>
      <w:bookmarkStart w:id="24" w:name="_Toc326697847"/>
      <w:r>
        <w:rPr>
          <w:rFonts w:hint="eastAsia" w:ascii="Times New Roman" w:hAnsi="Times New Roman" w:eastAsia="仿宋"/>
          <w:color w:val="000000" w:themeColor="text1"/>
          <w:szCs w:val="28"/>
          <w14:textFill>
            <w14:solidFill>
              <w14:schemeClr w14:val="tx1"/>
            </w14:solidFill>
          </w14:textFill>
        </w:rPr>
        <w:t>第十一条  声明、保证和承诺</w:t>
      </w:r>
      <w:bookmarkEnd w:id="23"/>
      <w:bookmarkEnd w:id="24"/>
    </w:p>
    <w:p w14:paraId="35F184C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11.1  甲、乙双方的各项声明、保证和承诺被视为依据本协议签署日存在的事实情况而作出，并在本协议有效期内始终恪守。在本次债券发行期限结束前的任何时候，若协议任何一方了解到任何使其声明、保证和承诺不真实、不确定或有误导性的事实情况，应立即通知对方共商对策，以防止损失扩大，并按双方协商确定的结果采取必要措施予以补救或披露。对于业已发生的损失，由责任方承担。</w:t>
      </w:r>
    </w:p>
    <w:p w14:paraId="08CC276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11.2  甲方向乙方作出下列声明、保证和承诺：</w:t>
      </w:r>
    </w:p>
    <w:p w14:paraId="4432A5D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w:t>
      </w:r>
      <w:r>
        <w:rPr>
          <w:rFonts w:hint="eastAsia" w:ascii="Times New Roman" w:hAnsi="Times New Roman" w:eastAsia="仿宋" w:cs="仿宋"/>
          <w:color w:val="000000" w:themeColor="text1"/>
          <w:sz w:val="28"/>
          <w:szCs w:val="28"/>
          <w14:textFill>
            <w14:solidFill>
              <w14:schemeClr w14:val="tx1"/>
            </w14:solidFill>
          </w14:textFill>
        </w:rPr>
        <w:t>甲方</w:t>
      </w:r>
      <w:r>
        <w:rPr>
          <w:rFonts w:hint="eastAsia" w:ascii="Times New Roman" w:hAnsi="Times New Roman" w:eastAsia="仿宋" w:cs="仿宋"/>
          <w:color w:val="000000" w:themeColor="text1"/>
          <w:sz w:val="28"/>
          <w:szCs w:val="28"/>
          <w:lang w:val="en-US" w:eastAsia="zh-CN"/>
          <w14:textFill>
            <w14:solidFill>
              <w14:schemeClr w14:val="tx1"/>
            </w14:solidFill>
          </w14:textFill>
        </w:rPr>
        <w:t>依法具备</w:t>
      </w:r>
      <w:r>
        <w:rPr>
          <w:rFonts w:hint="eastAsia" w:ascii="Times New Roman" w:hAnsi="Times New Roman" w:eastAsia="仿宋" w:cs="Arial"/>
          <w:color w:val="000000" w:themeColor="text1"/>
          <w:kern w:val="21"/>
          <w:sz w:val="28"/>
          <w:szCs w:val="28"/>
          <w14:textFill>
            <w14:solidFill>
              <w14:schemeClr w14:val="tx1"/>
            </w14:solidFill>
          </w14:textFill>
        </w:rPr>
        <w:t>《公司债券发行</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与</w:t>
      </w:r>
      <w:r>
        <w:rPr>
          <w:rFonts w:hint="eastAsia" w:ascii="Times New Roman" w:hAnsi="Times New Roman" w:eastAsia="仿宋" w:cs="Arial"/>
          <w:color w:val="000000" w:themeColor="text1"/>
          <w:kern w:val="21"/>
          <w:sz w:val="28"/>
          <w:szCs w:val="28"/>
          <w14:textFill>
            <w14:solidFill>
              <w14:schemeClr w14:val="tx1"/>
            </w14:solidFill>
          </w14:textFill>
        </w:rPr>
        <w:t>交易管理办法》、《非公开发行公司债券报备管理办法》</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等法律法规规定的非公开发行公司债券的主体资格</w:t>
      </w:r>
      <w:r>
        <w:rPr>
          <w:rFonts w:hint="eastAsia" w:ascii="Times New Roman" w:hAnsi="Times New Roman" w:eastAsia="仿宋" w:cs="Arial"/>
          <w:color w:val="000000" w:themeColor="text1"/>
          <w:kern w:val="21"/>
          <w:sz w:val="28"/>
          <w:szCs w:val="28"/>
          <w14:textFill>
            <w14:solidFill>
              <w14:schemeClr w14:val="tx1"/>
            </w14:solidFill>
          </w14:textFill>
        </w:rPr>
        <w:t>，且不属于《非公开发行公司债券项目承接负面清单指引》的范畴，具备签署本协议的权利能力和行为能力，本协议一经签署即对甲方具有法律约束力。</w:t>
      </w:r>
    </w:p>
    <w:p w14:paraId="7067C6B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（2）甲方公司治理符合我国法律法规所规定的要求，本次发行不与甲方承担的任何合同义务相冲突，亦不违反任何法律法规等。</w:t>
      </w:r>
    </w:p>
    <w:p w14:paraId="0F30D03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（3）甲方依本协议而承担的义务是合法有效的义务，本协议的签署及履行与甲方依据其他协议或文件而承担的义务不相冲突，与我国的法律法规亦无抵触。</w:t>
      </w:r>
    </w:p>
    <w:p w14:paraId="3EECC474">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（4）甲方</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及其</w:t>
      </w:r>
      <w:r>
        <w:rPr>
          <w:rFonts w:hint="eastAsia" w:ascii="Times New Roman" w:hAnsi="Times New Roman" w:eastAsia="仿宋" w:cs="仿宋"/>
          <w:color w:val="000000" w:themeColor="text1"/>
          <w:sz w:val="28"/>
          <w:szCs w:val="28"/>
          <w:lang w:val="en-US" w:eastAsia="zh-CN"/>
          <w14:textFill>
            <w14:solidFill>
              <w14:schemeClr w14:val="tx1"/>
            </w14:solidFill>
          </w14:textFill>
        </w:rPr>
        <w:t>控股股东、实际控制人</w:t>
      </w:r>
      <w:r>
        <w:rPr>
          <w:rFonts w:hint="eastAsia" w:ascii="Times New Roman" w:hAnsi="Times New Roman" w:eastAsia="仿宋" w:cs="Arial"/>
          <w:color w:val="000000" w:themeColor="text1"/>
          <w:kern w:val="21"/>
          <w:sz w:val="28"/>
          <w:szCs w:val="28"/>
          <w14:textFill>
            <w14:solidFill>
              <w14:schemeClr w14:val="tx1"/>
            </w14:solidFill>
          </w14:textFill>
        </w:rPr>
        <w:t>将及时向乙方、会计师、律师等中介机构提供本次债券发行工作所需的全部文件、资料、证明等，保证该等文件、资料、证明等的真实性、完整性和准确性，并确保本次债券的募集说明书及其他发行申请文件不会因引用该等资料而产生任何虚假记载、误导性陈述或重大遗漏。</w:t>
      </w:r>
    </w:p>
    <w:p w14:paraId="258177A2">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（5）甲方保证债券募集说明书中：</w:t>
      </w:r>
    </w:p>
    <w:p w14:paraId="358DABE9">
      <w:pPr>
        <w:adjustRightInd w:val="0"/>
        <w:snapToGrid w:val="0"/>
        <w:spacing w:line="360" w:lineRule="auto"/>
        <w:ind w:firstLine="840" w:firstLineChars="3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）已包括有关甲方的全部实质性问题；</w:t>
      </w:r>
    </w:p>
    <w:p w14:paraId="032115F0">
      <w:pPr>
        <w:adjustRightInd w:val="0"/>
        <w:snapToGrid w:val="0"/>
        <w:spacing w:line="360" w:lineRule="auto"/>
        <w:ind w:firstLine="840" w:firstLineChars="3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2</w:t>
      </w:r>
      <w:r>
        <w:rPr>
          <w:rFonts w:hint="eastAsia" w:ascii="Times New Roman" w:hAnsi="Times New Roman" w:eastAsia="仿宋" w:cs="Arial"/>
          <w:color w:val="000000" w:themeColor="text1"/>
          <w:kern w:val="21"/>
          <w:sz w:val="28"/>
          <w:szCs w:val="28"/>
          <w14:textFill>
            <w14:solidFill>
              <w14:schemeClr w14:val="tx1"/>
            </w14:solidFill>
          </w14:textFill>
        </w:rPr>
        <w:t>）所有陈述均真实、完整、准确，无任何虚假记载、误导性陈述或重大遗漏；</w:t>
      </w:r>
    </w:p>
    <w:p w14:paraId="3E7EBE4E">
      <w:pPr>
        <w:adjustRightInd w:val="0"/>
        <w:snapToGrid w:val="0"/>
        <w:spacing w:line="360" w:lineRule="auto"/>
        <w:ind w:firstLine="840" w:firstLineChars="3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）所述及的意见、意向、期望等均建立在诚信、公平的基础上，并是在认真、适当地考虑了所有相关情况后才作出的，反映了合理的预期。</w:t>
      </w:r>
    </w:p>
    <w:p w14:paraId="5A9B687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（6）除债券募集说明书已披露的信息外，不存在对甲方的生产经营、财务状况或未来发展具有重大不利影响的任何其他未予披露的重大事件和重大合同。</w:t>
      </w:r>
    </w:p>
    <w:p w14:paraId="608A94E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（7）据甲方所知，不存在对甲方声誉、业务活动、经营成果、财务状况、未来前景可能产生较大影响的诉讼、仲裁或者有被提起上述诉讼、仲裁的可能或威胁，甲方的自然人控股股东、董事、监事</w:t>
      </w:r>
      <w:r>
        <w:rPr>
          <w:rFonts w:hint="eastAsia" w:ascii="Times New Roman" w:hAnsi="Times New Roman" w:eastAsia="仿宋" w:cs="Arial"/>
          <w:color w:val="000000" w:themeColor="text1"/>
          <w:kern w:val="21"/>
          <w:sz w:val="28"/>
          <w:szCs w:val="28"/>
          <w:lang w:eastAsia="zh-CN"/>
          <w14:textFill>
            <w14:solidFill>
              <w14:schemeClr w14:val="tx1"/>
            </w14:solidFill>
          </w14:textFill>
        </w:rPr>
        <w:t>（如有）</w:t>
      </w:r>
      <w:r>
        <w:rPr>
          <w:rFonts w:hint="eastAsia" w:ascii="Times New Roman" w:hAnsi="Times New Roman" w:eastAsia="仿宋" w:cs="Arial"/>
          <w:color w:val="000000" w:themeColor="text1"/>
          <w:kern w:val="21"/>
          <w:sz w:val="28"/>
          <w:szCs w:val="28"/>
          <w14:textFill>
            <w14:solidFill>
              <w14:schemeClr w14:val="tx1"/>
            </w14:solidFill>
          </w14:textFill>
        </w:rPr>
        <w:t>及其高级管理人员</w:t>
      </w:r>
      <w:r>
        <w:rPr>
          <w:rFonts w:hint="eastAsia" w:ascii="Times New Roman" w:hAnsi="Times New Roman" w:eastAsia="仿宋" w:cs="仿宋_GB2312"/>
          <w:color w:val="000000"/>
          <w:kern w:val="0"/>
          <w:sz w:val="28"/>
          <w:szCs w:val="28"/>
          <w:lang w:bidi="ar"/>
        </w:rPr>
        <w:t>或者履行同等职责的人员</w:t>
      </w:r>
      <w:r>
        <w:rPr>
          <w:rFonts w:hint="eastAsia" w:ascii="Times New Roman" w:hAnsi="Times New Roman" w:eastAsia="仿宋" w:cs="Arial"/>
          <w:color w:val="000000" w:themeColor="text1"/>
          <w:kern w:val="21"/>
          <w:sz w:val="28"/>
          <w:szCs w:val="28"/>
          <w14:textFill>
            <w14:solidFill>
              <w14:schemeClr w14:val="tx1"/>
            </w14:solidFill>
          </w14:textFill>
        </w:rPr>
        <w:t>没有受到刑事诉讼或涉及较大金额给付义务的民事诉讼或者有受到该等诉讼的可能或威胁。</w:t>
      </w:r>
    </w:p>
    <w:p w14:paraId="5B18C40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（8）自律师为本次债券发行事宜出具专项法律意见书以来：</w:t>
      </w:r>
    </w:p>
    <w:p w14:paraId="272D6D48">
      <w:pPr>
        <w:adjustRightInd w:val="0"/>
        <w:snapToGrid w:val="0"/>
        <w:spacing w:line="360" w:lineRule="auto"/>
        <w:ind w:firstLine="840" w:firstLineChars="3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）甲方未通过签订合同或其他方式承担反常的法律义务；</w:t>
      </w:r>
    </w:p>
    <w:p w14:paraId="1A0ACB46">
      <w:pPr>
        <w:adjustRightInd w:val="0"/>
        <w:snapToGrid w:val="0"/>
        <w:spacing w:line="360" w:lineRule="auto"/>
        <w:ind w:firstLine="840" w:firstLineChars="3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2</w:t>
      </w:r>
      <w:r>
        <w:rPr>
          <w:rFonts w:hint="eastAsia" w:ascii="Times New Roman" w:hAnsi="Times New Roman" w:eastAsia="仿宋" w:cs="Arial"/>
          <w:color w:val="000000" w:themeColor="text1"/>
          <w:kern w:val="21"/>
          <w:sz w:val="28"/>
          <w:szCs w:val="28"/>
          <w14:textFill>
            <w14:solidFill>
              <w14:schemeClr w14:val="tx1"/>
            </w14:solidFill>
          </w14:textFill>
        </w:rPr>
        <w:t>）甲方的财务状况、发展前景、生产经营没有发生实质性的不利变化。</w:t>
      </w:r>
    </w:p>
    <w:p w14:paraId="5C6C4A5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（9）甲方进一步承诺：</w:t>
      </w:r>
    </w:p>
    <w:p w14:paraId="7A3907E3">
      <w:pPr>
        <w:adjustRightInd w:val="0"/>
        <w:snapToGrid w:val="0"/>
        <w:spacing w:line="360" w:lineRule="auto"/>
        <w:ind w:firstLine="840" w:firstLineChars="3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）除我国法律法规另有规定外，从本协议签署之日起至承销期结束之日止，甲方在事先未与承销商就内容、形式和时机进行协商并认可的情况下，将不以新闻发布或散发文件等形式，向</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投资者</w:t>
      </w:r>
      <w:r>
        <w:rPr>
          <w:rFonts w:hint="eastAsia" w:ascii="Times New Roman" w:hAnsi="Times New Roman" w:eastAsia="仿宋" w:cs="Arial"/>
          <w:color w:val="000000" w:themeColor="text1"/>
          <w:kern w:val="21"/>
          <w:sz w:val="28"/>
          <w:szCs w:val="28"/>
          <w14:textFill>
            <w14:solidFill>
              <w14:schemeClr w14:val="tx1"/>
            </w14:solidFill>
          </w14:textFill>
        </w:rPr>
        <w:t>披露本次债券募集说明书之外的、可能影响本次发行成功的信息。</w:t>
      </w:r>
    </w:p>
    <w:p w14:paraId="79B9ACD3">
      <w:pPr>
        <w:adjustRightInd w:val="0"/>
        <w:snapToGrid w:val="0"/>
        <w:spacing w:line="360" w:lineRule="auto"/>
        <w:ind w:firstLine="840" w:firstLineChars="3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2</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olor w:val="000000" w:themeColor="text1"/>
          <w:sz w:val="28"/>
          <w:szCs w:val="28"/>
          <w14:textFill>
            <w14:solidFill>
              <w14:schemeClr w14:val="tx1"/>
            </w14:solidFill>
          </w14:textFill>
        </w:rPr>
        <w:t>甲方本次发行取得交易所无异议函后，如发生对其经营、财务状况及未来发展前景构成实质性不利影响的事项，或发生任何对其本次发行、上市和投资者判断构成重大影响的事项，应及时告知乙方，并按规定履行信息披露和报告等义务。</w:t>
      </w:r>
    </w:p>
    <w:p w14:paraId="32C557FF">
      <w:pPr>
        <w:adjustRightInd w:val="0"/>
        <w:snapToGrid w:val="0"/>
        <w:spacing w:line="360" w:lineRule="auto"/>
        <w:ind w:firstLine="840" w:firstLineChars="3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甲方</w:t>
      </w:r>
      <w:r>
        <w:rPr>
          <w:rFonts w:hint="eastAsia" w:ascii="Times New Roman" w:hAnsi="Times New Roman" w:eastAsia="仿宋" w:cs="Arial"/>
          <w:color w:val="000000" w:themeColor="text1"/>
          <w:kern w:val="21"/>
          <w:sz w:val="28"/>
          <w:szCs w:val="28"/>
          <w14:textFill>
            <w14:solidFill>
              <w14:schemeClr w14:val="tx1"/>
            </w14:solidFill>
          </w14:textFill>
        </w:rPr>
        <w:t>将根据本协议双方的合理要求，采取必要的行动和措施，以保障本协议的目的得以实现。并且在本次债券存续期间，按照</w:t>
      </w:r>
      <w:r>
        <w:rPr>
          <w:rFonts w:hint="default" w:ascii="Times New Roman" w:hAnsi="Times New Roman" w:eastAsia="仿宋" w:cs="Arial"/>
          <w:color w:val="000000" w:themeColor="text1"/>
          <w:kern w:val="21"/>
          <w:sz w:val="28"/>
          <w:szCs w:val="28"/>
          <w:lang w:val="en-US"/>
          <w14:textFill>
            <w14:solidFill>
              <w14:schemeClr w14:val="tx1"/>
            </w14:solidFill>
          </w14:textFill>
        </w:rPr>
        <w:t>《公司债券发行</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与</w:t>
      </w:r>
      <w:r>
        <w:rPr>
          <w:rFonts w:hint="default" w:ascii="Times New Roman" w:hAnsi="Times New Roman" w:eastAsia="仿宋" w:cs="Arial"/>
          <w:color w:val="000000" w:themeColor="text1"/>
          <w:kern w:val="21"/>
          <w:sz w:val="28"/>
          <w:szCs w:val="28"/>
          <w:lang w:val="en-US"/>
          <w14:textFill>
            <w14:solidFill>
              <w14:schemeClr w14:val="tx1"/>
            </w14:solidFill>
          </w14:textFill>
        </w:rPr>
        <w:t>交易管理办法》、《非公开发行公司债券报备管理办法》</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等</w:t>
      </w:r>
      <w:r>
        <w:rPr>
          <w:rFonts w:hint="eastAsia" w:ascii="Times New Roman" w:hAnsi="Times New Roman" w:eastAsia="仿宋" w:cs="Arial"/>
          <w:color w:val="000000" w:themeColor="text1"/>
          <w:kern w:val="21"/>
          <w:sz w:val="28"/>
          <w:szCs w:val="28"/>
          <w14:textFill>
            <w14:solidFill>
              <w14:schemeClr w14:val="tx1"/>
            </w14:solidFill>
          </w14:textFill>
        </w:rPr>
        <w:t>的相关规定，及时履行信息披露义务。</w:t>
      </w:r>
    </w:p>
    <w:p w14:paraId="4019B17E">
      <w:pPr>
        <w:adjustRightInd w:val="0"/>
        <w:snapToGrid w:val="0"/>
        <w:spacing w:line="360" w:lineRule="auto"/>
        <w:ind w:firstLine="840" w:firstLineChars="300"/>
        <w:rPr>
          <w:rFonts w:hint="eastAsia" w:ascii="Times New Roman" w:hAnsi="Times New Roman" w:eastAsia="仿宋" w:cs="Arial"/>
          <w:color w:val="000000" w:themeColor="text1"/>
          <w:kern w:val="21"/>
          <w:sz w:val="28"/>
          <w:szCs w:val="28"/>
          <w:lang w:val="en-US" w:eastAsia="zh-CN"/>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4）关于本次发行，</w:t>
      </w:r>
      <w:r>
        <w:rPr>
          <w:rFonts w:hint="eastAsia" w:ascii="Times New Roman" w:hAnsi="Times New Roman" w:eastAsia="仿宋" w:cs="Arial"/>
          <w:color w:val="000000" w:themeColor="text1"/>
          <w:kern w:val="21"/>
          <w:sz w:val="28"/>
          <w:szCs w:val="28"/>
          <w14:textFill>
            <w14:solidFill>
              <w14:schemeClr w14:val="tx1"/>
            </w14:solidFill>
          </w14:textFill>
        </w:rPr>
        <w:t>除依法需聘请的律师事务所、会计师事务所、</w:t>
      </w:r>
      <w:r>
        <w:rPr>
          <w:rFonts w:hint="eastAsia" w:ascii="Times New Roman" w:hAnsi="Times New Roman" w:eastAsia="仿宋" w:cs="Arial"/>
          <w:color w:val="000000" w:themeColor="text1"/>
          <w:kern w:val="21"/>
          <w:sz w:val="28"/>
          <w:szCs w:val="28"/>
          <w:highlight w:val="none"/>
          <w14:textFill>
            <w14:solidFill>
              <w14:schemeClr w14:val="tx1"/>
            </w14:solidFill>
          </w14:textFill>
        </w:rPr>
        <w:t>资产评估机构、评级机构</w:t>
      </w:r>
      <w:r>
        <w:rPr>
          <w:rFonts w:hint="eastAsia" w:ascii="Times New Roman" w:hAnsi="Times New Roman" w:eastAsia="仿宋" w:cs="Arial"/>
          <w:color w:val="000000" w:themeColor="text1"/>
          <w:kern w:val="21"/>
          <w:sz w:val="28"/>
          <w:szCs w:val="28"/>
          <w14:textFill>
            <w14:solidFill>
              <w14:schemeClr w14:val="tx1"/>
            </w14:solidFill>
          </w14:textFill>
        </w:rPr>
        <w:t>等证券服务机构之外，甲方</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如存在为本次发行</w:t>
      </w:r>
      <w:r>
        <w:rPr>
          <w:rFonts w:hint="eastAsia" w:ascii="Times New Roman" w:hAnsi="Times New Roman" w:eastAsia="仿宋" w:cs="Arial"/>
          <w:color w:val="000000" w:themeColor="text1"/>
          <w:kern w:val="21"/>
          <w:sz w:val="28"/>
          <w:szCs w:val="28"/>
          <w14:textFill>
            <w14:solidFill>
              <w14:schemeClr w14:val="tx1"/>
            </w14:solidFill>
          </w14:textFill>
        </w:rPr>
        <w:t>直接或间接有偿聘请其他第三方的情况</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应及时告知乙方并根据相关法律法规进行信息披露</w:t>
      </w:r>
      <w:r>
        <w:rPr>
          <w:rFonts w:hint="eastAsia" w:ascii="Times New Roman" w:hAnsi="Times New Roman" w:eastAsia="仿宋" w:cs="Arial"/>
          <w:color w:val="000000" w:themeColor="text1"/>
          <w:kern w:val="21"/>
          <w:sz w:val="28"/>
          <w:szCs w:val="28"/>
          <w14:textFill>
            <w14:solidFill>
              <w14:schemeClr w14:val="tx1"/>
            </w14:solidFill>
          </w14:textFill>
        </w:rPr>
        <w:t>。甲方理解并同意，在承销商根据相关法律、法规及规范性文件的要求对甲方就聘请第三方机构的行为进行核查时，提供必要的协助及配合。</w:t>
      </w:r>
    </w:p>
    <w:p w14:paraId="4AF4CC2F">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11.3  乙方向甲方作出下列声明、保证和承诺：</w:t>
      </w:r>
    </w:p>
    <w:p w14:paraId="57C8CA3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bookmarkStart w:id="25" w:name="_Hlk98706945"/>
      <w:r>
        <w:rPr>
          <w:rFonts w:hint="eastAsia" w:ascii="Times New Roman" w:hAnsi="Times New Roman" w:eastAsia="仿宋" w:cs="Arial"/>
          <w:color w:val="000000" w:themeColor="text1"/>
          <w:kern w:val="21"/>
          <w:sz w:val="28"/>
          <w:szCs w:val="28"/>
          <w14:textFill>
            <w14:solidFill>
              <w14:schemeClr w14:val="tx1"/>
            </w14:solidFill>
          </w14:textFill>
        </w:rPr>
        <w:t>（1）</w:t>
      </w:r>
      <w:bookmarkEnd w:id="25"/>
      <w:r>
        <w:rPr>
          <w:rFonts w:hint="eastAsia" w:ascii="Times New Roman" w:hAnsi="Times New Roman" w:eastAsia="仿宋" w:cs="Arial"/>
          <w:color w:val="000000" w:themeColor="text1"/>
          <w:kern w:val="21"/>
          <w:sz w:val="28"/>
          <w:szCs w:val="28"/>
          <w14:textFill>
            <w14:solidFill>
              <w14:schemeClr w14:val="tx1"/>
            </w14:solidFill>
          </w14:textFill>
        </w:rPr>
        <w:t>乙方为依法成立并有效存续的法人，</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依法</w:t>
      </w:r>
      <w:r>
        <w:rPr>
          <w:rFonts w:hint="eastAsia" w:ascii="Times New Roman" w:hAnsi="Times New Roman" w:eastAsia="仿宋" w:cs="Arial"/>
          <w:color w:val="000000" w:themeColor="text1"/>
          <w:kern w:val="21"/>
          <w:sz w:val="28"/>
          <w:szCs w:val="28"/>
          <w14:textFill>
            <w14:solidFill>
              <w14:schemeClr w14:val="tx1"/>
            </w14:solidFill>
          </w14:textFill>
        </w:rPr>
        <w:t>具有从事中国证监会认可的本次债券发行的承销业务资格，具备签署本协议的权利能力和行为能力，本协议一经签署即对乙方具有法律约束力。</w:t>
      </w:r>
    </w:p>
    <w:p w14:paraId="4DA1EF8B">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（2）乙方依本协议而承担的义务是合法有效的义务，本协议的签署及履行与乙方依据其他协议或文件而承担的义务不相冲突，与我国的法律法规亦无抵触。</w:t>
      </w:r>
    </w:p>
    <w:p w14:paraId="34733C0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（3）乙方将根据国家法律法规</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政策及本协议的规定，勤勉尽责，尽最大努力协助甲方完成本次发行工作。</w:t>
      </w:r>
    </w:p>
    <w:p w14:paraId="77DBD592">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（4）除我国法律法规另有规定外，从本协议</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生效</w:t>
      </w:r>
      <w:r>
        <w:rPr>
          <w:rFonts w:hint="eastAsia" w:ascii="Times New Roman" w:hAnsi="Times New Roman" w:eastAsia="仿宋" w:cs="Arial"/>
          <w:color w:val="000000" w:themeColor="text1"/>
          <w:kern w:val="21"/>
          <w:sz w:val="28"/>
          <w:szCs w:val="28"/>
          <w14:textFill>
            <w14:solidFill>
              <w14:schemeClr w14:val="tx1"/>
            </w14:solidFill>
          </w14:textFill>
        </w:rPr>
        <w:t>之日起至承销期结束之日止，乙方不得以新闻发布或散发文件等形式，向</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投资者</w:t>
      </w:r>
      <w:r>
        <w:rPr>
          <w:rFonts w:hint="eastAsia" w:ascii="Times New Roman" w:hAnsi="Times New Roman" w:eastAsia="仿宋" w:cs="Arial"/>
          <w:color w:val="000000" w:themeColor="text1"/>
          <w:kern w:val="21"/>
          <w:sz w:val="28"/>
          <w:szCs w:val="28"/>
          <w14:textFill>
            <w14:solidFill>
              <w14:schemeClr w14:val="tx1"/>
            </w14:solidFill>
          </w14:textFill>
        </w:rPr>
        <w:t>披露本次债券募集说明书之外的、可能影响本次发行成功的信息。</w:t>
      </w:r>
    </w:p>
    <w:p w14:paraId="151593E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（5）乙方将依据甲方向其提供的、与本次债券募集说明书的制作有关的全部信息，尽快完成本次债券募集说明书的起草，以便由甲方及时审定并公布。</w:t>
      </w:r>
    </w:p>
    <w:p w14:paraId="6FEF7CC2">
      <w:pPr>
        <w:adjustRightInd w:val="0"/>
        <w:snapToGrid w:val="0"/>
        <w:spacing w:line="360" w:lineRule="auto"/>
        <w:ind w:firstLine="560" w:firstLineChars="200"/>
        <w:rPr>
          <w:rFonts w:ascii="Times New Roman" w:hAnsi="Times New Roman" w:eastAsia="仿宋" w:cs="Arial"/>
          <w:color w:val="000000" w:themeColor="text1"/>
          <w:kern w:val="21"/>
          <w:sz w:val="28"/>
          <w:szCs w:val="32"/>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11.4 </w:t>
      </w:r>
      <w:r>
        <w:rPr>
          <w:rFonts w:hint="eastAsia" w:ascii="Times New Roman" w:hAnsi="Times New Roman" w:eastAsia="仿宋" w:cs="Arial"/>
          <w:color w:val="000000" w:themeColor="text1"/>
          <w:kern w:val="21"/>
          <w:sz w:val="40"/>
          <w:szCs w:val="40"/>
          <w14:textFill>
            <w14:solidFill>
              <w14:schemeClr w14:val="tx1"/>
            </w14:solidFill>
          </w14:textFill>
        </w:rPr>
        <w:t xml:space="preserve"> </w:t>
      </w:r>
      <w:r>
        <w:rPr>
          <w:rFonts w:hint="eastAsia" w:ascii="Times New Roman" w:hAnsi="Times New Roman" w:eastAsia="仿宋" w:cs="Arial"/>
          <w:color w:val="000000" w:themeColor="text1"/>
          <w:kern w:val="21"/>
          <w:sz w:val="28"/>
          <w:szCs w:val="32"/>
          <w14:textFill>
            <w14:solidFill>
              <w14:schemeClr w14:val="tx1"/>
            </w14:solidFill>
          </w14:textFill>
        </w:rPr>
        <w:t>廉洁从业</w:t>
      </w:r>
      <w:r>
        <w:rPr>
          <w:rFonts w:hint="eastAsia" w:ascii="Times New Roman" w:hAnsi="Times New Roman" w:eastAsia="仿宋" w:cs="Arial"/>
          <w:color w:val="000000" w:themeColor="text1"/>
          <w:kern w:val="21"/>
          <w:sz w:val="28"/>
          <w:szCs w:val="32"/>
          <w:lang w:eastAsia="zh-CN"/>
          <w14:textFill>
            <w14:solidFill>
              <w14:schemeClr w14:val="tx1"/>
            </w14:solidFill>
          </w14:textFill>
        </w:rPr>
        <w:t>：</w:t>
      </w:r>
      <w:r>
        <w:rPr>
          <w:rFonts w:hint="eastAsia" w:ascii="Times New Roman" w:hAnsi="Times New Roman" w:eastAsia="仿宋" w:cs="Arial"/>
          <w:color w:val="000000" w:themeColor="text1"/>
          <w:kern w:val="21"/>
          <w:sz w:val="28"/>
          <w:szCs w:val="32"/>
          <w14:textFill>
            <w14:solidFill>
              <w14:schemeClr w14:val="tx1"/>
            </w14:solidFill>
          </w14:textFill>
        </w:rPr>
        <w:t>各方均承诺，在开展本协议项下合作的过程中，</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甲方及其控股股东、实际控制人、董事、监事、高级管理人员和乙方及其工作人员</w:t>
      </w:r>
      <w:r>
        <w:rPr>
          <w:rFonts w:hint="eastAsia" w:ascii="Times New Roman" w:hAnsi="Times New Roman" w:eastAsia="仿宋" w:cs="Arial"/>
          <w:color w:val="000000" w:themeColor="text1"/>
          <w:kern w:val="21"/>
          <w:sz w:val="28"/>
          <w:szCs w:val="32"/>
          <w14:textFill>
            <w14:solidFill>
              <w14:schemeClr w14:val="tx1"/>
            </w14:solidFill>
          </w14:textFill>
        </w:rPr>
        <w:t>不得通过以下方式输送或者谋取不正当利益，也不得要求</w:t>
      </w:r>
      <w:r>
        <w:rPr>
          <w:rFonts w:hint="eastAsia" w:ascii="Times New Roman" w:hAnsi="Times New Roman" w:eastAsia="仿宋" w:cs="Arial"/>
          <w:color w:val="000000" w:themeColor="text1"/>
          <w:kern w:val="21"/>
          <w:sz w:val="28"/>
          <w:szCs w:val="32"/>
          <w:lang w:eastAsia="zh-CN"/>
          <w14:textFill>
            <w14:solidFill>
              <w14:schemeClr w14:val="tx1"/>
            </w14:solidFill>
          </w14:textFill>
        </w:rPr>
        <w:t>、</w:t>
      </w:r>
      <w:r>
        <w:rPr>
          <w:rFonts w:hint="eastAsia" w:ascii="Times New Roman" w:hAnsi="Times New Roman" w:eastAsia="仿宋" w:cs="Arial"/>
          <w:color w:val="000000" w:themeColor="text1"/>
          <w:kern w:val="21"/>
          <w:sz w:val="28"/>
          <w:szCs w:val="32"/>
          <w:lang w:val="en-US" w:eastAsia="zh-CN"/>
          <w14:textFill>
            <w14:solidFill>
              <w14:schemeClr w14:val="tx1"/>
            </w14:solidFill>
          </w14:textFill>
        </w:rPr>
        <w:t>组织、指使或协助相关方</w:t>
      </w:r>
      <w:r>
        <w:rPr>
          <w:rFonts w:hint="eastAsia" w:ascii="Times New Roman" w:hAnsi="Times New Roman" w:eastAsia="仿宋" w:cs="Arial"/>
          <w:color w:val="000000" w:themeColor="text1"/>
          <w:kern w:val="21"/>
          <w:sz w:val="28"/>
          <w:szCs w:val="32"/>
          <w14:textFill>
            <w14:solidFill>
              <w14:schemeClr w14:val="tx1"/>
            </w14:solidFill>
          </w14:textFill>
        </w:rPr>
        <w:t>从事下列行为，如有违反</w:t>
      </w:r>
      <w:r>
        <w:rPr>
          <w:rFonts w:hint="eastAsia" w:ascii="Times New Roman" w:hAnsi="Times New Roman" w:eastAsia="仿宋" w:cs="Arial"/>
          <w:color w:val="000000" w:themeColor="text1"/>
          <w:kern w:val="21"/>
          <w:sz w:val="28"/>
          <w:szCs w:val="32"/>
          <w:lang w:eastAsia="zh-CN"/>
          <w14:textFill>
            <w14:solidFill>
              <w14:schemeClr w14:val="tx1"/>
            </w14:solidFill>
          </w14:textFill>
        </w:rPr>
        <w:t>，</w:t>
      </w:r>
      <w:r>
        <w:rPr>
          <w:rFonts w:hint="eastAsia" w:ascii="Times New Roman" w:hAnsi="Times New Roman" w:eastAsia="仿宋" w:cs="Arial"/>
          <w:color w:val="000000" w:themeColor="text1"/>
          <w:kern w:val="21"/>
          <w:sz w:val="28"/>
          <w:szCs w:val="32"/>
          <w14:textFill>
            <w14:solidFill>
              <w14:schemeClr w14:val="tx1"/>
            </w14:solidFill>
          </w14:textFill>
        </w:rPr>
        <w:t>守约方或被侵权人将保留追究相应法律责任的权利：</w:t>
      </w:r>
    </w:p>
    <w:p w14:paraId="1C4380D1">
      <w:pPr>
        <w:ind w:firstLine="560"/>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（1）</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违规收受发行人或者其利益关系人不正当利益，帮助发行人发行证券；</w:t>
      </w:r>
    </w:p>
    <w:p w14:paraId="3463245B">
      <w:pPr>
        <w:ind w:firstLine="560"/>
        <w:rPr>
          <w:rStyle w:val="19"/>
          <w:rFonts w:hint="eastAsia" w:ascii="Times New Roman" w:hAnsi="Times New Roman" w:eastAsia="仿宋" w:cs="仿宋"/>
          <w:color w:val="000000" w:themeColor="text1"/>
          <w:sz w:val="28"/>
          <w:szCs w:val="28"/>
          <w:lang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（2）</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发行人在发行环节直接或间接认购其发行的债券，主承销商</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协助发行人直接或间接认购自己发行的债券，以非公允价格为利益关系人配售债券或者约定回购债券；</w:t>
      </w:r>
    </w:p>
    <w:p w14:paraId="67A7ED8C">
      <w:pPr>
        <w:ind w:firstLine="560"/>
        <w:rPr>
          <w:rStyle w:val="19"/>
          <w:rFonts w:ascii="Times New Roman" w:hAnsi="Times New Roman" w:eastAsia="仿宋" w:cs="仿宋"/>
          <w:color w:val="000000" w:themeColor="text1"/>
          <w:sz w:val="28"/>
          <w:szCs w:val="28"/>
          <w:lang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泄露证券发行询价和定价信息，操纵证券发行价格；</w:t>
      </w:r>
    </w:p>
    <w:p w14:paraId="1BFE66B8">
      <w:pPr>
        <w:ind w:firstLine="560"/>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（4）</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在证券发行和承销过程中暗箱操作，以返费、代持、信托、违规配售等方式输送或谋取不正当利益；</w:t>
      </w:r>
    </w:p>
    <w:p w14:paraId="003AB479">
      <w:pPr>
        <w:numPr>
          <w:ilvl w:val="-1"/>
          <w:numId w:val="0"/>
        </w:numPr>
        <w:ind w:firstLine="560"/>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（5）</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直接或者通过其他</w:t>
      </w:r>
      <w:r>
        <w:rPr>
          <w:rStyle w:val="19"/>
          <w:rFonts w:hint="default" w:ascii="Times New Roman" w:hAnsi="Times New Roman" w:eastAsia="仿宋" w:cs="仿宋"/>
          <w:color w:val="000000" w:themeColor="text1"/>
          <w:sz w:val="28"/>
          <w:szCs w:val="28"/>
          <w:lang w:val="en-US" w:eastAsia="zh-CN"/>
          <w14:textFill>
            <w14:solidFill>
              <w14:schemeClr w14:val="tx1"/>
            </w14:solidFill>
          </w14:textFill>
        </w:rPr>
        <w:t>利益相关方</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向参与认购的投资者提供财务资助、变相返费，或向其他相关利益主体输送利益；</w:t>
      </w:r>
    </w:p>
    <w:p w14:paraId="62F5AB4B">
      <w:pPr>
        <w:numPr>
          <w:ilvl w:val="-1"/>
          <w:numId w:val="0"/>
        </w:numPr>
        <w:ind w:firstLine="560"/>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（6）</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通过发放或者变相发放礼品、礼金、礼券等利益安排诱导投资者，或向投资者做出任何不当承诺；</w:t>
      </w:r>
    </w:p>
    <w:p w14:paraId="1C0B9A50">
      <w:pPr>
        <w:ind w:firstLine="560"/>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（7）</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向公职人员、客户、正在洽谈的潜在客户及其他利益关系人输送不正当利益，直接或者间接通过聘请第三方机构或者个人的方式进行利益输送、商业贿赂；</w:t>
      </w:r>
    </w:p>
    <w:p w14:paraId="28374E4B">
      <w:pPr>
        <w:ind w:firstLine="560"/>
        <w:rPr>
          <w:rStyle w:val="19"/>
          <w:rFonts w:hint="eastAsia" w:ascii="Times New Roman" w:hAnsi="Times New Roman" w:eastAsia="仿宋" w:cs="仿宋"/>
          <w:color w:val="000000" w:themeColor="text1"/>
          <w:sz w:val="28"/>
          <w:szCs w:val="28"/>
          <w:lang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（8）</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以不正当方式教唆、指使、协助他人干预影响审核，在项目申报、审核、注册过程中通过利益输送、行贿等方式“围猎”审核、监管人员，利用证监会系统在职人员或者离职人员及其近亲属等关系或者身份谋取不正当利益；</w:t>
      </w:r>
    </w:p>
    <w:p w14:paraId="4D4B209D">
      <w:pPr>
        <w:ind w:firstLine="560"/>
        <w:rPr>
          <w:rStyle w:val="19"/>
          <w:rFonts w:hint="eastAsia" w:ascii="Times New Roman" w:hAnsi="Times New Roman" w:eastAsia="仿宋" w:cs="仿宋"/>
          <w:color w:val="000000" w:themeColor="text1"/>
          <w:sz w:val="28"/>
          <w:szCs w:val="28"/>
          <w:lang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9</w:t>
      </w: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9"/>
          <w:rFonts w:ascii="Times New Roman" w:hAnsi="Times New Roman" w:eastAsia="仿宋" w:cs="仿宋"/>
          <w:color w:val="000000" w:themeColor="text1"/>
          <w:sz w:val="28"/>
          <w:szCs w:val="28"/>
          <w14:textFill>
            <w14:solidFill>
              <w14:schemeClr w14:val="tx1"/>
            </w14:solidFill>
          </w14:textFill>
        </w:rPr>
        <w:t>私下与审核人员进行接触或者与其有其他不正当利益往来</w:t>
      </w:r>
      <w:r>
        <w:rPr>
          <w:rFonts w:hint="eastAsia" w:ascii="Times New Roman" w:hAnsi="Times New Roman" w:eastAsia="仿宋"/>
          <w:color w:val="000000" w:themeColor="text1"/>
          <w:sz w:val="30"/>
          <w:szCs w:val="30"/>
          <w:lang w:eastAsia="zh-CN"/>
          <w14:textFill>
            <w14:solidFill>
              <w14:schemeClr w14:val="tx1"/>
            </w14:solidFill>
          </w14:textFill>
        </w:rPr>
        <w:t>，</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干扰或者唆使、协助他人干扰证券监督管理或者自律管理工作；</w:t>
      </w:r>
    </w:p>
    <w:p w14:paraId="4DB8E4F5">
      <w:pPr>
        <w:ind w:firstLine="560"/>
        <w:rPr>
          <w:rStyle w:val="19"/>
          <w:rFonts w:hint="eastAsia" w:ascii="Times New Roman" w:hAnsi="Times New Roman" w:eastAsia="仿宋" w:cs="仿宋"/>
          <w:color w:val="000000" w:themeColor="text1"/>
          <w:sz w:val="28"/>
          <w:szCs w:val="28"/>
          <w:lang w:eastAsia="zh-CN"/>
          <w14:textFill>
            <w14:solidFill>
              <w14:schemeClr w14:val="tx1"/>
            </w14:solidFill>
          </w14:textFill>
        </w:rPr>
      </w:pP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10</w:t>
      </w: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以与监管人员或者其他相关人员熟悉，或者以承诺价格、利率、获得批复及获得批复时间等为手段招揽项目、商定服务费或者要求承销商对上述事项做出承诺；</w:t>
      </w:r>
    </w:p>
    <w:p w14:paraId="12FB3085">
      <w:pPr>
        <w:ind w:firstLine="560"/>
        <w:rPr>
          <w:rStyle w:val="19"/>
          <w:rFonts w:hint="eastAsia" w:ascii="Times New Roman" w:hAnsi="Times New Roman" w:eastAsia="仿宋" w:cs="仿宋"/>
          <w:color w:val="000000" w:themeColor="text1"/>
          <w:sz w:val="28"/>
          <w:szCs w:val="28"/>
          <w:lang w:eastAsia="zh-CN"/>
          <w14:textFill>
            <w14:solidFill>
              <w14:schemeClr w14:val="tx1"/>
            </w14:solidFill>
          </w14:textFill>
        </w:rPr>
      </w:pPr>
      <w:r>
        <w:rPr>
          <w:rStyle w:val="19"/>
          <w:rFonts w:hint="eastAsia" w:ascii="Times New Roman" w:hAnsi="Times New Roman" w:eastAsia="仿宋" w:cs="仿宋"/>
          <w:color w:val="000000" w:themeColor="text1"/>
          <w:sz w:val="28"/>
          <w:szCs w:val="28"/>
          <w:lang w:eastAsia="zh-CN"/>
          <w14:textFill>
            <w14:solidFill>
              <w14:schemeClr w14:val="tx1"/>
            </w14:solidFill>
          </w14:textFill>
        </w:rPr>
        <w:t>（</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11</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）出于利益交换的目的通过关联金融机构相互持有彼此发行的债券；</w:t>
      </w:r>
    </w:p>
    <w:p w14:paraId="2EC63B2B">
      <w:pPr>
        <w:adjustRightInd w:val="0"/>
        <w:snapToGrid w:val="0"/>
        <w:spacing w:line="360" w:lineRule="auto"/>
        <w:ind w:firstLine="560" w:firstLineChars="200"/>
        <w:rPr>
          <w:rFonts w:ascii="Times New Roman" w:hAnsi="Times New Roman" w:eastAsia="仿宋" w:cs="Arial"/>
          <w:color w:val="000000" w:themeColor="text1"/>
          <w:kern w:val="21"/>
          <w:sz w:val="28"/>
          <w:szCs w:val="32"/>
          <w14:textFill>
            <w14:solidFill>
              <w14:schemeClr w14:val="tx1"/>
            </w14:solidFill>
          </w14:textFill>
        </w:rPr>
      </w:pP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6"/>
          <w:rFonts w:hint="eastAsia" w:ascii="Times New Roman" w:hAnsi="Times New Roman" w:eastAsia="仿宋" w:cs="Arial"/>
          <w:color w:val="000000" w:themeColor="text1"/>
          <w:kern w:val="21"/>
          <w:sz w:val="28"/>
          <w:szCs w:val="28"/>
          <w:lang w:val="en-US" w:eastAsia="zh-CN"/>
          <w14:textFill>
            <w14:solidFill>
              <w14:schemeClr w14:val="tx1"/>
            </w14:solidFill>
          </w14:textFill>
        </w:rPr>
        <w:t>12</w:t>
      </w:r>
      <w:r>
        <w:rPr>
          <w:rStyle w:val="16"/>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其他输送或者谋取不正当利益的行为。</w:t>
      </w:r>
    </w:p>
    <w:p w14:paraId="2FBFD89D">
      <w:pPr>
        <w:adjustRightInd w:val="0"/>
        <w:snapToGrid w:val="0"/>
        <w:spacing w:line="360" w:lineRule="auto"/>
        <w:ind w:firstLine="560" w:firstLineChars="200"/>
        <w:rPr>
          <w:rFonts w:ascii="Times New Roman" w:hAnsi="Times New Roman" w:eastAsia="仿宋" w:cs="Arial"/>
          <w:color w:val="000000" w:themeColor="text1"/>
          <w:kern w:val="21"/>
          <w:sz w:val="28"/>
          <w:szCs w:val="32"/>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11.5 </w:t>
      </w:r>
      <w:r>
        <w:rPr>
          <w:rFonts w:hint="eastAsia" w:ascii="Times New Roman" w:hAnsi="Times New Roman" w:eastAsia="仿宋" w:cs="Arial"/>
          <w:color w:val="000000" w:themeColor="text1"/>
          <w:kern w:val="21"/>
          <w:sz w:val="40"/>
          <w:szCs w:val="40"/>
          <w14:textFill>
            <w14:solidFill>
              <w14:schemeClr w14:val="tx1"/>
            </w14:solidFill>
          </w14:textFill>
        </w:rPr>
        <w:t xml:space="preserve"> </w:t>
      </w:r>
      <w:r>
        <w:rPr>
          <w:rFonts w:hint="eastAsia" w:ascii="Times New Roman" w:hAnsi="Times New Roman" w:eastAsia="仿宋" w:cs="Arial"/>
          <w:color w:val="000000" w:themeColor="text1"/>
          <w:kern w:val="21"/>
          <w:sz w:val="28"/>
          <w:szCs w:val="32"/>
          <w14:textFill>
            <w14:solidFill>
              <w14:schemeClr w14:val="tx1"/>
            </w14:solidFill>
          </w14:textFill>
        </w:rPr>
        <w:t>反虚假宣传</w:t>
      </w:r>
      <w:r>
        <w:rPr>
          <w:rFonts w:hint="eastAsia" w:ascii="Times New Roman" w:hAnsi="Times New Roman" w:eastAsia="仿宋" w:cs="Arial"/>
          <w:color w:val="000000" w:themeColor="text1"/>
          <w:kern w:val="21"/>
          <w:sz w:val="28"/>
          <w:szCs w:val="32"/>
          <w:lang w:eastAsia="zh-CN"/>
          <w14:textFill>
            <w14:solidFill>
              <w14:schemeClr w14:val="tx1"/>
            </w14:solidFill>
          </w14:textFill>
        </w:rPr>
        <w:t>：</w:t>
      </w:r>
      <w:r>
        <w:rPr>
          <w:rFonts w:hint="eastAsia" w:ascii="Times New Roman" w:hAnsi="Times New Roman" w:eastAsia="仿宋" w:cs="Arial"/>
          <w:color w:val="000000" w:themeColor="text1"/>
          <w:kern w:val="21"/>
          <w:sz w:val="28"/>
          <w:szCs w:val="32"/>
          <w14:textFill>
            <w14:solidFill>
              <w14:schemeClr w14:val="tx1"/>
            </w14:solidFill>
          </w14:textFill>
        </w:rPr>
        <w:t>各方均清楚并愿意严格遵守国家关于反虚假宣传、反不正当竞争的法律法规及监管规定，各方均有权就本合同所约定事项以约定方式在约定范围内进行真实、合理的使用或宣传，但不得涉及合同所约定的保密内容。双方均承认，以捏造、散布虚假事实等手段恶意诋毁竞争对手，损害同业信誉；通过不当评比、不当排序等方式进行金融营销宣传；虚构合作事项；夸大合作范围、内容、效果、规模、程度等，均属对本合同的违反，并可能因虚假宣传构成不正当竞争，守约方或被侵权人将保留追究相应法律责任的权利。</w:t>
      </w:r>
    </w:p>
    <w:p w14:paraId="0DFE1237">
      <w:pPr>
        <w:adjustRightInd w:val="0"/>
        <w:snapToGrid w:val="0"/>
        <w:spacing w:line="360" w:lineRule="auto"/>
        <w:ind w:firstLine="560" w:firstLineChars="200"/>
        <w:rPr>
          <w:rFonts w:ascii="Times New Roman" w:hAnsi="Times New Roman" w:eastAsia="仿宋" w:cs="Arial"/>
          <w:color w:val="000000" w:themeColor="text1"/>
          <w:kern w:val="21"/>
          <w:sz w:val="28"/>
          <w:szCs w:val="32"/>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11.6 </w:t>
      </w:r>
      <w:r>
        <w:rPr>
          <w:rFonts w:hint="eastAsia" w:ascii="Times New Roman" w:hAnsi="Times New Roman" w:eastAsia="仿宋" w:cs="Arial"/>
          <w:color w:val="000000" w:themeColor="text1"/>
          <w:kern w:val="21"/>
          <w:sz w:val="40"/>
          <w:szCs w:val="40"/>
          <w14:textFill>
            <w14:solidFill>
              <w14:schemeClr w14:val="tx1"/>
            </w14:solidFill>
          </w14:textFill>
        </w:rPr>
        <w:t xml:space="preserve"> </w:t>
      </w:r>
      <w:r>
        <w:rPr>
          <w:rFonts w:hint="eastAsia" w:ascii="Times New Roman" w:hAnsi="Times New Roman" w:eastAsia="仿宋" w:cs="Arial"/>
          <w:color w:val="000000" w:themeColor="text1"/>
          <w:kern w:val="21"/>
          <w:sz w:val="28"/>
          <w:szCs w:val="32"/>
          <w14:textFill>
            <w14:solidFill>
              <w14:schemeClr w14:val="tx1"/>
            </w14:solidFill>
          </w14:textFill>
        </w:rPr>
        <w:t>反洗钱</w:t>
      </w:r>
    </w:p>
    <w:p w14:paraId="51C96D7A">
      <w:pPr>
        <w:adjustRightInd w:val="0"/>
        <w:snapToGrid w:val="0"/>
        <w:spacing w:line="360" w:lineRule="auto"/>
        <w:ind w:firstLine="560" w:firstLineChars="200"/>
        <w:rPr>
          <w:rFonts w:ascii="Times New Roman" w:hAnsi="Times New Roman" w:eastAsia="仿宋" w:cs="Arial"/>
          <w:color w:val="000000" w:themeColor="text1"/>
          <w:kern w:val="21"/>
          <w:sz w:val="28"/>
          <w:szCs w:val="32"/>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default" w:ascii="Times New Roman" w:hAnsi="Times New Roman" w:eastAsia="仿宋" w:cs="Arial"/>
          <w:color w:val="000000" w:themeColor="text1"/>
          <w:kern w:val="21"/>
          <w:sz w:val="28"/>
          <w:szCs w:val="32"/>
          <w:lang w:val="en-US"/>
          <w14:textFill>
            <w14:solidFill>
              <w14:schemeClr w14:val="tx1"/>
            </w14:solidFill>
          </w14:textFill>
        </w:rPr>
        <w:t>承销商</w:t>
      </w:r>
      <w:r>
        <w:rPr>
          <w:rFonts w:hint="eastAsia" w:ascii="Times New Roman" w:hAnsi="Times New Roman" w:eastAsia="仿宋" w:cs="Arial"/>
          <w:color w:val="000000" w:themeColor="text1"/>
          <w:kern w:val="21"/>
          <w:sz w:val="28"/>
          <w:szCs w:val="32"/>
          <w14:textFill>
            <w14:solidFill>
              <w14:schemeClr w14:val="tx1"/>
            </w14:solidFill>
          </w14:textFill>
        </w:rPr>
        <w:t>保证均知悉相关法律法规及反洗钱的相关规定，并承诺严格遵守上述规定，不会实施任何违反前述规定的非法行为；</w:t>
      </w:r>
    </w:p>
    <w:p w14:paraId="2A3AFEBB">
      <w:pPr>
        <w:adjustRightInd w:val="0"/>
        <w:snapToGrid w:val="0"/>
        <w:spacing w:line="360" w:lineRule="auto"/>
        <w:ind w:firstLine="560" w:firstLineChars="200"/>
        <w:rPr>
          <w:rFonts w:ascii="Times New Roman" w:hAnsi="Times New Roman" w:eastAsia="仿宋" w:cs="Arial"/>
          <w:color w:val="000000" w:themeColor="text1"/>
          <w:kern w:val="21"/>
          <w:sz w:val="28"/>
          <w:szCs w:val="32"/>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2</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32"/>
          <w14:textFill>
            <w14:solidFill>
              <w14:schemeClr w14:val="tx1"/>
            </w14:solidFill>
          </w14:textFill>
        </w:rPr>
        <w:t>承销商应</w:t>
      </w:r>
      <w:r>
        <w:rPr>
          <w:rFonts w:hint="eastAsia" w:ascii="Times New Roman" w:hAnsi="Times New Roman" w:eastAsia="仿宋" w:cs="Arial"/>
          <w:color w:val="000000" w:themeColor="text1"/>
          <w:kern w:val="21"/>
          <w:sz w:val="28"/>
          <w:szCs w:val="32"/>
          <w:lang w:val="en-US" w:eastAsia="zh-CN"/>
          <w14:textFill>
            <w14:solidFill>
              <w14:schemeClr w14:val="tx1"/>
            </w14:solidFill>
          </w14:textFill>
        </w:rPr>
        <w:t>积极履行金融机构反洗钱义务，</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发行人</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应配合</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承销商</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上述工作，并在</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相关</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主体信息发生变更时</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及时</w:t>
      </w:r>
      <w:r>
        <w:rPr>
          <w:rStyle w:val="19"/>
          <w:rFonts w:hint="eastAsia" w:ascii="Times New Roman" w:hAnsi="Times New Roman" w:eastAsia="仿宋" w:cs="仿宋"/>
          <w:color w:val="000000" w:themeColor="text1"/>
          <w:sz w:val="28"/>
          <w:szCs w:val="28"/>
          <w:lang w:eastAsia="zh-CN"/>
          <w14:textFill>
            <w14:solidFill>
              <w14:schemeClr w14:val="tx1"/>
            </w14:solidFill>
          </w14:textFill>
        </w:rPr>
        <w:t>通知</w:t>
      </w:r>
      <w:r>
        <w:rPr>
          <w:rStyle w:val="19"/>
          <w:rFonts w:hint="eastAsia" w:ascii="Times New Roman" w:hAnsi="Times New Roman" w:eastAsia="仿宋" w:cs="仿宋"/>
          <w:color w:val="000000" w:themeColor="text1"/>
          <w:sz w:val="28"/>
          <w:szCs w:val="28"/>
          <w:lang w:val="en-US" w:eastAsia="zh-CN"/>
          <w14:textFill>
            <w14:solidFill>
              <w14:schemeClr w14:val="tx1"/>
            </w14:solidFill>
          </w14:textFill>
        </w:rPr>
        <w:t>承销商</w:t>
      </w:r>
      <w:r>
        <w:rPr>
          <w:rFonts w:hint="eastAsia" w:ascii="Times New Roman" w:hAnsi="Times New Roman" w:eastAsia="仿宋" w:cs="Arial"/>
          <w:color w:val="000000" w:themeColor="text1"/>
          <w:kern w:val="21"/>
          <w:sz w:val="28"/>
          <w:szCs w:val="32"/>
          <w14:textFill>
            <w14:solidFill>
              <w14:schemeClr w14:val="tx1"/>
            </w14:solidFill>
          </w14:textFill>
        </w:rPr>
        <w:t>；</w:t>
      </w:r>
    </w:p>
    <w:p w14:paraId="7572288A">
      <w:pPr>
        <w:adjustRightInd w:val="0"/>
        <w:snapToGrid w:val="0"/>
        <w:spacing w:line="360" w:lineRule="auto"/>
        <w:ind w:firstLine="560" w:firstLineChars="200"/>
        <w:rPr>
          <w:rFonts w:ascii="Times New Roman" w:hAnsi="Times New Roman" w:eastAsia="仿宋" w:cs="Arial"/>
          <w:color w:val="000000" w:themeColor="text1"/>
          <w:kern w:val="21"/>
          <w:sz w:val="28"/>
          <w:szCs w:val="32"/>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32"/>
          <w14:textFill>
            <w14:solidFill>
              <w14:schemeClr w14:val="tx1"/>
            </w14:solidFill>
          </w14:textFill>
        </w:rPr>
        <w:t>若</w:t>
      </w:r>
      <w:r>
        <w:rPr>
          <w:rFonts w:hint="default" w:ascii="Times New Roman" w:hAnsi="Times New Roman" w:eastAsia="仿宋" w:cs="Arial"/>
          <w:color w:val="000000" w:themeColor="text1"/>
          <w:kern w:val="21"/>
          <w:sz w:val="28"/>
          <w:szCs w:val="32"/>
          <w:lang w:val="en-US"/>
          <w14:textFill>
            <w14:solidFill>
              <w14:schemeClr w14:val="tx1"/>
            </w14:solidFill>
          </w14:textFill>
        </w:rPr>
        <w:t>承销商某一</w:t>
      </w:r>
      <w:r>
        <w:rPr>
          <w:rFonts w:hint="eastAsia" w:ascii="Times New Roman" w:hAnsi="Times New Roman" w:eastAsia="仿宋" w:cs="Arial"/>
          <w:color w:val="000000" w:themeColor="text1"/>
          <w:kern w:val="21"/>
          <w:sz w:val="28"/>
          <w:szCs w:val="32"/>
          <w14:textFill>
            <w14:solidFill>
              <w14:schemeClr w14:val="tx1"/>
            </w14:solidFill>
          </w14:textFill>
        </w:rPr>
        <w:t>方因接受监管机构或国家有权机关进行反洗钱检查和调查时，需要其他方补充提供相关材料或作出相关说明的，其他方应积极予以提供或协助。</w:t>
      </w:r>
    </w:p>
    <w:p w14:paraId="1D3EBDD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11.7</w:t>
      </w:r>
      <w:r>
        <w:rPr>
          <w:rFonts w:ascii="Times New Roman" w:hAnsi="Times New Roman" w:eastAsia="仿宋" w:cs="Arial"/>
          <w:color w:val="000000" w:themeColor="text1"/>
          <w:kern w:val="21"/>
          <w:sz w:val="28"/>
          <w:szCs w:val="28"/>
          <w14:textFill>
            <w14:solidFill>
              <w14:schemeClr w14:val="tx1"/>
            </w14:solidFill>
          </w14:textFill>
        </w:rPr>
        <w:t xml:space="preserve"> </w:t>
      </w:r>
      <w:r>
        <w:rPr>
          <w:rFonts w:hint="eastAsia" w:ascii="Times New Roman" w:hAnsi="Times New Roman" w:eastAsia="仿宋" w:cs="Arial"/>
          <w:color w:val="000000" w:themeColor="text1"/>
          <w:kern w:val="21"/>
          <w:sz w:val="40"/>
          <w:szCs w:val="40"/>
          <w14:textFill>
            <w14:solidFill>
              <w14:schemeClr w14:val="tx1"/>
            </w14:solidFill>
          </w14:textFill>
        </w:rPr>
        <w:t xml:space="preserve"> </w:t>
      </w:r>
      <w:r>
        <w:rPr>
          <w:rFonts w:hint="eastAsia" w:ascii="Times New Roman" w:hAnsi="Times New Roman" w:eastAsia="仿宋" w:cs="Arial"/>
          <w:color w:val="000000" w:themeColor="text1"/>
          <w:kern w:val="21"/>
          <w:sz w:val="28"/>
          <w:szCs w:val="28"/>
          <w14:textFill>
            <w14:solidFill>
              <w14:schemeClr w14:val="tx1"/>
            </w14:solidFill>
          </w14:textFill>
        </w:rPr>
        <w:t>个人信息保护</w:t>
      </w:r>
    </w:p>
    <w:p w14:paraId="7831411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乙方基于《证券法》</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反洗钱法》等法律法规的规定，为全面、充分履行尽职调查等职责和义务，顺利实现本协议的缔约目的，在履约过程中可能涉及处理甲方及其相关方有关自然人的个人信息，包括个人信息的收集、存储、使用、加工、传输、提供、公开。</w:t>
      </w:r>
    </w:p>
    <w:p w14:paraId="210E9C14">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2</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乙方履约所需要获取的甲方及其相关方有关自然人的个人信息，包括但不限于甲方股东、实际控制人、董事、监事、高管、核心技术人员，以及财务、采购、销售、生产人员等其他乙方认为有必要的相关主体的个人信息，由甲方负责收集并向乙方提供。甲方收集上述自然人的个人信息，应当按照《中华人民共和国个人信息保护法》向有关自然人履行告知程序，取得自然人的同意。</w:t>
      </w:r>
    </w:p>
    <w:p w14:paraId="07ADAB8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乙方严格按照法律法规的要求，在最小范围内获取甲方及其相关方有关自然人的个人信息，不得获取有关自然人其他无关的个人信息。</w:t>
      </w:r>
    </w:p>
    <w:p w14:paraId="7D13E7A0">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4</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乙方为了履行本协议约定的义务和基于履约产生的相关法定义务，将获取的相关个人信息用于合法、正当、必要的用途，包括但不限于尽职调查、留存工作底稿、向监管机构报送等，不用于任何非法用途，并按照相关监管要求妥善保存。个人信息在处理过程中存在被非法窃取、使用、泄露的可能，乙方已建立相应管理制度和流程，并接受有关主管部门的指导和监管，以防范相关个人信息的不当使用和泄露。</w:t>
      </w:r>
    </w:p>
    <w:p w14:paraId="6F3177F9">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5</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甲方、甲方及其相关方有关自然人、乙方享有《中华人民共和国个人信息保护法》规定的各项权利和义务。</w:t>
      </w:r>
    </w:p>
    <w:p w14:paraId="7812677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11.8</w:t>
      </w:r>
      <w:r>
        <w:rPr>
          <w:rFonts w:ascii="Times New Roman" w:hAnsi="Times New Roman" w:eastAsia="仿宋" w:cs="Arial"/>
          <w:color w:val="000000" w:themeColor="text1"/>
          <w:kern w:val="21"/>
          <w:sz w:val="28"/>
          <w:szCs w:val="28"/>
          <w14:textFill>
            <w14:solidFill>
              <w14:schemeClr w14:val="tx1"/>
            </w14:solidFill>
          </w14:textFill>
        </w:rPr>
        <w:t xml:space="preserve"> </w:t>
      </w:r>
      <w:r>
        <w:rPr>
          <w:rFonts w:hint="eastAsia" w:ascii="Times New Roman" w:hAnsi="Times New Roman" w:eastAsia="仿宋" w:cs="Arial"/>
          <w:color w:val="000000" w:themeColor="text1"/>
          <w:kern w:val="21"/>
          <w:sz w:val="40"/>
          <w:szCs w:val="40"/>
          <w14:textFill>
            <w14:solidFill>
              <w14:schemeClr w14:val="tx1"/>
            </w14:solidFill>
          </w14:textFill>
        </w:rPr>
        <w:t xml:space="preserve"> </w:t>
      </w:r>
      <w:r>
        <w:rPr>
          <w:rFonts w:hint="eastAsia" w:ascii="Times New Roman" w:hAnsi="Times New Roman" w:eastAsia="仿宋" w:cs="Arial"/>
          <w:color w:val="000000" w:themeColor="text1"/>
          <w:kern w:val="21"/>
          <w:sz w:val="28"/>
          <w:szCs w:val="28"/>
          <w14:textFill>
            <w14:solidFill>
              <w14:schemeClr w14:val="tx1"/>
            </w14:solidFill>
          </w14:textFill>
        </w:rPr>
        <w:t>由于违背上述声明、保证和承诺而引起的任何法律责任及受损失方的索赔权，不因本次发行完成而受到任何影响。</w:t>
      </w:r>
    </w:p>
    <w:p w14:paraId="60B097E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399283FF">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26" w:name="_Toc326697848"/>
      <w:bookmarkStart w:id="27" w:name="_Toc13255"/>
      <w:r>
        <w:rPr>
          <w:rFonts w:hint="eastAsia" w:ascii="Times New Roman" w:hAnsi="Times New Roman" w:eastAsia="仿宋"/>
          <w:color w:val="000000" w:themeColor="text1"/>
          <w:szCs w:val="28"/>
          <w14:textFill>
            <w14:solidFill>
              <w14:schemeClr w14:val="tx1"/>
            </w14:solidFill>
          </w14:textFill>
        </w:rPr>
        <w:t>第十二条  双方的权利和义务</w:t>
      </w:r>
      <w:bookmarkEnd w:id="26"/>
      <w:bookmarkEnd w:id="27"/>
    </w:p>
    <w:p w14:paraId="7152E79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12.1  </w:t>
      </w:r>
      <w:r>
        <w:rPr>
          <w:rFonts w:ascii="Times New Roman" w:hAnsi="Times New Roman" w:eastAsia="仿宋" w:cs="Arial"/>
          <w:color w:val="000000" w:themeColor="text1"/>
          <w:kern w:val="21"/>
          <w:sz w:val="28"/>
          <w:szCs w:val="28"/>
          <w14:textFill>
            <w14:solidFill>
              <w14:schemeClr w14:val="tx1"/>
            </w14:solidFill>
          </w14:textFill>
        </w:rPr>
        <w:t>甲方有责任按乙方要求及时向乙方提供本次发行所需的一切资料、数据和文件，并对该等资料、数据和文件的真实性、准确性和完整性承担全部责任。</w:t>
      </w:r>
    </w:p>
    <w:p w14:paraId="68F6A1F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12.2  </w:t>
      </w:r>
      <w:r>
        <w:rPr>
          <w:rFonts w:ascii="Times New Roman" w:hAnsi="Times New Roman" w:eastAsia="仿宋" w:cs="Arial"/>
          <w:color w:val="000000" w:themeColor="text1"/>
          <w:kern w:val="21"/>
          <w:sz w:val="28"/>
          <w:szCs w:val="28"/>
          <w14:textFill>
            <w14:solidFill>
              <w14:schemeClr w14:val="tx1"/>
            </w14:solidFill>
          </w14:textFill>
        </w:rPr>
        <w:t>甲方应指定专人配合乙方工作，为乙方的现场工作提供必要的工作条件，并根据乙方的工作计划安排与合理请求，及时给予全面支持和配合。</w:t>
      </w:r>
    </w:p>
    <w:p w14:paraId="0E26C5FF">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12.3  </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甲方不得直接或者间接认购自己发行的债券；不得操纵发行定价、暗箱操作；不得以代持、信托等方式谋取不正当利益或者向其他相关利益主体输送利益；不得直接或者通过其他主体向参与认购的投资者提供财务资助、变相返费；不得出于利益交换的目的通过关联金融机构相互持有彼此发行的债券；不得有其他违反公平竞争、破坏市场秩序等行为。甲方及其关联方不得违反监管规定进行非市场化发行和交易。</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监管部门</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、乙方及其工作人员</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发现</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存在前述情形的</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乙方</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有权立即停止发行</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并向监管部门报告，</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而无需</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征得甲方同意，且无需</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向</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甲方</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或投资者承担责任</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w:t>
      </w:r>
    </w:p>
    <w:p w14:paraId="56D0FF6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12.</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4</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ascii="Times New Roman" w:hAnsi="Times New Roman" w:eastAsia="仿宋" w:cs="Arial"/>
          <w:color w:val="000000" w:themeColor="text1"/>
          <w:kern w:val="21"/>
          <w:sz w:val="28"/>
          <w:szCs w:val="28"/>
          <w14:textFill>
            <w14:solidFill>
              <w14:schemeClr w14:val="tx1"/>
            </w14:solidFill>
          </w14:textFill>
        </w:rPr>
        <w:t>乙方应根据法律法规的规定和甲方的实际情况，从有利于本</w:t>
      </w:r>
      <w:r>
        <w:rPr>
          <w:rFonts w:hint="eastAsia" w:ascii="Times New Roman" w:hAnsi="Times New Roman" w:eastAsia="仿宋" w:cs="Arial"/>
          <w:color w:val="000000" w:themeColor="text1"/>
          <w:kern w:val="21"/>
          <w:sz w:val="28"/>
          <w:szCs w:val="28"/>
          <w14:textFill>
            <w14:solidFill>
              <w14:schemeClr w14:val="tx1"/>
            </w14:solidFill>
          </w14:textFill>
        </w:rPr>
        <w:t>次</w:t>
      </w:r>
      <w:r>
        <w:rPr>
          <w:rFonts w:ascii="Times New Roman" w:hAnsi="Times New Roman" w:eastAsia="仿宋" w:cs="Arial"/>
          <w:color w:val="000000" w:themeColor="text1"/>
          <w:kern w:val="21"/>
          <w:sz w:val="28"/>
          <w:szCs w:val="28"/>
          <w14:textFill>
            <w14:solidFill>
              <w14:schemeClr w14:val="tx1"/>
            </w14:solidFill>
          </w14:textFill>
        </w:rPr>
        <w:t>债券的成功发行出发，积极认真地为甲方提供与本次债券发行有关的全套服务工作，包括合理设计和确定本次债券的发行规模、</w:t>
      </w:r>
      <w:r>
        <w:rPr>
          <w:rFonts w:hint="eastAsia" w:ascii="Times New Roman" w:hAnsi="Times New Roman" w:eastAsia="仿宋" w:cs="Arial"/>
          <w:color w:val="000000" w:themeColor="text1"/>
          <w:kern w:val="21"/>
          <w:sz w:val="28"/>
          <w:szCs w:val="28"/>
          <w14:textFill>
            <w14:solidFill>
              <w14:schemeClr w14:val="tx1"/>
            </w14:solidFill>
          </w14:textFill>
        </w:rPr>
        <w:t>期限</w:t>
      </w:r>
      <w:r>
        <w:rPr>
          <w:rFonts w:ascii="Times New Roman" w:hAnsi="Times New Roman" w:eastAsia="仿宋" w:cs="Arial"/>
          <w:color w:val="000000" w:themeColor="text1"/>
          <w:kern w:val="21"/>
          <w:sz w:val="28"/>
          <w:szCs w:val="28"/>
          <w14:textFill>
            <w14:solidFill>
              <w14:schemeClr w14:val="tx1"/>
            </w14:solidFill>
          </w14:textFill>
        </w:rPr>
        <w:t>、票面利率及安排</w:t>
      </w:r>
      <w:r>
        <w:rPr>
          <w:rFonts w:hint="eastAsia" w:ascii="Times New Roman" w:hAnsi="Times New Roman" w:eastAsia="仿宋" w:cs="Arial"/>
          <w:color w:val="000000" w:themeColor="text1"/>
          <w:kern w:val="21"/>
          <w:sz w:val="28"/>
          <w:szCs w:val="28"/>
          <w14:textFill>
            <w14:solidFill>
              <w14:schemeClr w14:val="tx1"/>
            </w14:solidFill>
          </w14:textFill>
        </w:rPr>
        <w:t>以及</w:t>
      </w:r>
      <w:r>
        <w:rPr>
          <w:rFonts w:ascii="Times New Roman" w:hAnsi="Times New Roman" w:eastAsia="仿宋" w:cs="Arial"/>
          <w:color w:val="000000" w:themeColor="text1"/>
          <w:kern w:val="21"/>
          <w:sz w:val="28"/>
          <w:szCs w:val="28"/>
          <w14:textFill>
            <w14:solidFill>
              <w14:schemeClr w14:val="tx1"/>
            </w14:solidFill>
          </w14:textFill>
        </w:rPr>
        <w:t>会计师、律师</w:t>
      </w:r>
      <w:r>
        <w:rPr>
          <w:rFonts w:hint="eastAsia" w:ascii="Times New Roman" w:hAnsi="Times New Roman" w:eastAsia="仿宋" w:cs="Arial"/>
          <w:color w:val="000000" w:themeColor="text1"/>
          <w:kern w:val="21"/>
          <w:sz w:val="28"/>
          <w:szCs w:val="28"/>
          <w14:textFill>
            <w14:solidFill>
              <w14:schemeClr w14:val="tx1"/>
            </w14:solidFill>
          </w14:textFill>
        </w:rPr>
        <w:t>等中介机构</w:t>
      </w:r>
      <w:r>
        <w:rPr>
          <w:rFonts w:ascii="Times New Roman" w:hAnsi="Times New Roman" w:eastAsia="仿宋" w:cs="Arial"/>
          <w:color w:val="000000" w:themeColor="text1"/>
          <w:kern w:val="21"/>
          <w:sz w:val="28"/>
          <w:szCs w:val="28"/>
          <w14:textFill>
            <w14:solidFill>
              <w14:schemeClr w14:val="tx1"/>
            </w14:solidFill>
          </w14:textFill>
        </w:rPr>
        <w:t>工作的协调等，并</w:t>
      </w:r>
      <w:r>
        <w:rPr>
          <w:rFonts w:hint="eastAsia" w:ascii="Times New Roman" w:hAnsi="Times New Roman" w:eastAsia="仿宋" w:cs="Arial"/>
          <w:color w:val="000000" w:themeColor="text1"/>
          <w:kern w:val="21"/>
          <w:sz w:val="28"/>
          <w:szCs w:val="28"/>
          <w14:textFill>
            <w14:solidFill>
              <w14:schemeClr w14:val="tx1"/>
            </w14:solidFill>
          </w14:textFill>
        </w:rPr>
        <w:t>在乙方内核机构审议通过后</w:t>
      </w:r>
      <w:r>
        <w:rPr>
          <w:rFonts w:ascii="Times New Roman" w:hAnsi="Times New Roman" w:eastAsia="仿宋" w:cs="Arial"/>
          <w:color w:val="000000" w:themeColor="text1"/>
          <w:kern w:val="21"/>
          <w:sz w:val="28"/>
          <w:szCs w:val="28"/>
          <w14:textFill>
            <w14:solidFill>
              <w14:schemeClr w14:val="tx1"/>
            </w14:solidFill>
          </w14:textFill>
        </w:rPr>
        <w:t>积极协助甲方向主管部门</w:t>
      </w:r>
      <w:r>
        <w:rPr>
          <w:rFonts w:hint="eastAsia" w:ascii="Times New Roman" w:hAnsi="Times New Roman" w:eastAsia="仿宋" w:cs="Arial"/>
          <w:color w:val="000000" w:themeColor="text1"/>
          <w:kern w:val="21"/>
          <w:sz w:val="28"/>
          <w:szCs w:val="28"/>
          <w14:textFill>
            <w14:solidFill>
              <w14:schemeClr w14:val="tx1"/>
            </w14:solidFill>
          </w14:textFill>
        </w:rPr>
        <w:t>、证券交易所</w:t>
      </w:r>
      <w:r>
        <w:rPr>
          <w:rFonts w:ascii="Times New Roman" w:hAnsi="Times New Roman" w:eastAsia="仿宋" w:cs="Arial"/>
          <w:color w:val="000000" w:themeColor="text1"/>
          <w:kern w:val="21"/>
          <w:sz w:val="28"/>
          <w:szCs w:val="28"/>
          <w14:textFill>
            <w14:solidFill>
              <w14:schemeClr w14:val="tx1"/>
            </w14:solidFill>
          </w14:textFill>
        </w:rPr>
        <w:t>和中国证监会</w:t>
      </w:r>
      <w:r>
        <w:rPr>
          <w:rFonts w:hint="eastAsia" w:ascii="Times New Roman" w:hAnsi="Times New Roman" w:eastAsia="仿宋" w:cs="Arial"/>
          <w:color w:val="000000" w:themeColor="text1"/>
          <w:kern w:val="21"/>
          <w:sz w:val="28"/>
          <w:szCs w:val="28"/>
          <w14:textFill>
            <w14:solidFill>
              <w14:schemeClr w14:val="tx1"/>
            </w14:solidFill>
          </w14:textFill>
        </w:rPr>
        <w:t>等</w:t>
      </w:r>
      <w:r>
        <w:rPr>
          <w:rFonts w:ascii="Times New Roman" w:hAnsi="Times New Roman" w:eastAsia="仿宋" w:cs="Arial"/>
          <w:color w:val="000000" w:themeColor="text1"/>
          <w:kern w:val="21"/>
          <w:sz w:val="28"/>
          <w:szCs w:val="28"/>
          <w14:textFill>
            <w14:solidFill>
              <w14:schemeClr w14:val="tx1"/>
            </w14:solidFill>
          </w14:textFill>
        </w:rPr>
        <w:t>办理</w:t>
      </w:r>
      <w:r>
        <w:rPr>
          <w:rFonts w:hint="eastAsia" w:ascii="Times New Roman" w:hAnsi="Times New Roman" w:eastAsia="仿宋" w:cs="Arial"/>
          <w:color w:val="000000" w:themeColor="text1"/>
          <w:kern w:val="21"/>
          <w:sz w:val="28"/>
          <w:szCs w:val="28"/>
          <w14:textFill>
            <w14:solidFill>
              <w14:schemeClr w14:val="tx1"/>
            </w14:solidFill>
          </w14:textFill>
        </w:rPr>
        <w:t>本次发行的</w:t>
      </w:r>
      <w:r>
        <w:rPr>
          <w:rFonts w:ascii="Times New Roman" w:hAnsi="Times New Roman" w:eastAsia="仿宋" w:cs="Arial"/>
          <w:color w:val="000000" w:themeColor="text1"/>
          <w:kern w:val="21"/>
          <w:sz w:val="28"/>
          <w:szCs w:val="28"/>
          <w14:textFill>
            <w14:solidFill>
              <w14:schemeClr w14:val="tx1"/>
            </w14:solidFill>
          </w14:textFill>
        </w:rPr>
        <w:t>申报手续。</w:t>
      </w:r>
    </w:p>
    <w:p w14:paraId="41EBB27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12.</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5</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ascii="Times New Roman" w:hAnsi="Times New Roman" w:eastAsia="仿宋" w:cs="Arial"/>
          <w:color w:val="000000" w:themeColor="text1"/>
          <w:kern w:val="21"/>
          <w:sz w:val="28"/>
          <w:szCs w:val="28"/>
          <w14:textFill>
            <w14:solidFill>
              <w14:schemeClr w14:val="tx1"/>
            </w14:solidFill>
          </w14:textFill>
        </w:rPr>
        <w:t>甲、乙双方对本次发行工作中涉及的内幕信息、商业秘密均负有保密义务，除法律</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法规</w:t>
      </w:r>
      <w:r>
        <w:rPr>
          <w:rFonts w:ascii="Times New Roman" w:hAnsi="Times New Roman" w:eastAsia="仿宋" w:cs="Arial"/>
          <w:color w:val="000000" w:themeColor="text1"/>
          <w:kern w:val="21"/>
          <w:sz w:val="28"/>
          <w:szCs w:val="28"/>
          <w14:textFill>
            <w14:solidFill>
              <w14:schemeClr w14:val="tx1"/>
            </w14:solidFill>
          </w14:textFill>
        </w:rPr>
        <w:t>或有关监管机关要求披露外，双方在任何时间、在任何情况下都不得以任何方式予以泄露或不正当地使用。</w:t>
      </w:r>
    </w:p>
    <w:p w14:paraId="6F64D233">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12.</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6</w:t>
      </w:r>
      <w:r>
        <w:rPr>
          <w:rFonts w:hint="eastAsia" w:ascii="Times New Roman" w:hAnsi="Times New Roman" w:eastAsia="仿宋" w:cs="Arial"/>
          <w:color w:val="000000" w:themeColor="text1"/>
          <w:kern w:val="21"/>
          <w:sz w:val="28"/>
          <w:szCs w:val="28"/>
          <w14:textFill>
            <w14:solidFill>
              <w14:schemeClr w14:val="tx1"/>
            </w14:solidFill>
          </w14:textFill>
        </w:rPr>
        <w:t xml:space="preserve">  甲方</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应</w:t>
      </w:r>
      <w:r>
        <w:rPr>
          <w:rFonts w:ascii="Times New Roman" w:hAnsi="Times New Roman" w:eastAsia="仿宋" w:cs="Arial"/>
          <w:color w:val="000000" w:themeColor="text1"/>
          <w:kern w:val="21"/>
          <w:sz w:val="28"/>
          <w:szCs w:val="28"/>
          <w14:textFill>
            <w14:solidFill>
              <w14:schemeClr w14:val="tx1"/>
            </w14:solidFill>
          </w14:textFill>
        </w:rPr>
        <w:t>按照《</w:t>
      </w:r>
      <w:r>
        <w:rPr>
          <w:rFonts w:hint="eastAsia" w:ascii="Times New Roman" w:hAnsi="Times New Roman" w:eastAsia="仿宋" w:cs="Arial"/>
          <w:color w:val="000000" w:themeColor="text1"/>
          <w:kern w:val="21"/>
          <w:sz w:val="28"/>
          <w:szCs w:val="28"/>
          <w14:textFill>
            <w14:solidFill>
              <w14:schemeClr w14:val="tx1"/>
            </w14:solidFill>
          </w14:textFill>
        </w:rPr>
        <w:t>公司债券发行</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与</w:t>
      </w:r>
      <w:r>
        <w:rPr>
          <w:rFonts w:hint="eastAsia" w:ascii="Times New Roman" w:hAnsi="Times New Roman" w:eastAsia="仿宋" w:cs="Arial"/>
          <w:color w:val="000000" w:themeColor="text1"/>
          <w:kern w:val="21"/>
          <w:sz w:val="28"/>
          <w:szCs w:val="28"/>
          <w14:textFill>
            <w14:solidFill>
              <w14:schemeClr w14:val="tx1"/>
            </w14:solidFill>
          </w14:textFill>
        </w:rPr>
        <w:t>交易管理办法</w:t>
      </w:r>
      <w:r>
        <w:rPr>
          <w:rFonts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、《非公开发行公司债券报备管理办法》</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等法律法规</w:t>
      </w:r>
      <w:r>
        <w:rPr>
          <w:rFonts w:hint="eastAsia" w:ascii="Times New Roman" w:hAnsi="Times New Roman" w:eastAsia="仿宋" w:cs="Arial"/>
          <w:color w:val="000000" w:themeColor="text1"/>
          <w:kern w:val="21"/>
          <w:sz w:val="28"/>
          <w:szCs w:val="28"/>
          <w14:textFill>
            <w14:solidFill>
              <w14:schemeClr w14:val="tx1"/>
            </w14:solidFill>
          </w14:textFill>
        </w:rPr>
        <w:t>的有关规定，</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及时</w:t>
      </w:r>
      <w:r>
        <w:rPr>
          <w:rFonts w:hint="eastAsia" w:ascii="Times New Roman" w:hAnsi="Times New Roman" w:eastAsia="仿宋" w:cs="Arial"/>
          <w:color w:val="000000" w:themeColor="text1"/>
          <w:kern w:val="21"/>
          <w:sz w:val="28"/>
          <w:szCs w:val="28"/>
          <w14:textFill>
            <w14:solidFill>
              <w14:schemeClr w14:val="tx1"/>
            </w14:solidFill>
          </w14:textFill>
        </w:rPr>
        <w:t>履行信息披露义务。</w:t>
      </w:r>
    </w:p>
    <w:p w14:paraId="4C10EDD1">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val="en-US" w:eastAsia="zh-CN"/>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12.7 甲方同意，主承销商有权在将来相关业务推介活动及宣传材料中合理展示发行人及本项目的名称、商标、项目规模或服务标记，主承销商承诺对发行人名称、商标或服务标记的展示不得侵犯发行人对其名称、商标或服务标记享有的其他相关权利。</w:t>
      </w:r>
    </w:p>
    <w:p w14:paraId="41A55DF6">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val="en-US" w:eastAsia="zh-CN"/>
          <w14:textFill>
            <w14:solidFill>
              <w14:schemeClr w14:val="tx1"/>
            </w14:solidFill>
          </w14:textFill>
        </w:rPr>
      </w:pP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12.8 如乙方担任本次债券受托管理人，发现甲方将其他债券募集资金及其他资金与本次债券募集资金混同存放，或者有其他违反监管部门关于募集资金使用规定的，有权要求甲方及时纠正或补救，并根据相关规定</w:t>
      </w:r>
      <w:r>
        <w:rPr>
          <w:rFonts w:hint="eastAsia" w:ascii="Times New Roman" w:hAnsi="Times New Roman" w:eastAsia="仿宋" w:cs="Arial"/>
          <w:color w:val="000000" w:themeColor="text1"/>
          <w:kern w:val="21"/>
          <w:sz w:val="28"/>
          <w:szCs w:val="28"/>
          <w14:textFill>
            <w14:solidFill>
              <w14:schemeClr w14:val="tx1"/>
            </w14:solidFill>
          </w14:textFill>
        </w:rPr>
        <w:t>向</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监管部门</w:t>
      </w:r>
      <w:r>
        <w:rPr>
          <w:rFonts w:hint="eastAsia" w:ascii="Times New Roman" w:hAnsi="Times New Roman" w:eastAsia="仿宋" w:cs="Arial"/>
          <w:color w:val="000000" w:themeColor="text1"/>
          <w:kern w:val="21"/>
          <w:sz w:val="28"/>
          <w:szCs w:val="28"/>
          <w14:textFill>
            <w14:solidFill>
              <w14:schemeClr w14:val="tx1"/>
            </w14:solidFill>
          </w14:textFill>
        </w:rPr>
        <w:t>报告</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，甲方不及时纠正或补救的，乙方不承担责任，并有权要求甲方赔偿乙方因此遭受的损失。</w:t>
      </w:r>
    </w:p>
    <w:p w14:paraId="7227243E">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val="en-US" w:eastAsia="zh-CN"/>
          <w14:textFill>
            <w14:solidFill>
              <w14:schemeClr w14:val="tx1"/>
            </w14:solidFill>
          </w14:textFill>
        </w:rPr>
      </w:pPr>
    </w:p>
    <w:p w14:paraId="09CA79A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0EAEA1AD">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28" w:name="_Toc22550"/>
      <w:bookmarkStart w:id="29" w:name="_Toc326697849"/>
      <w:r>
        <w:rPr>
          <w:rFonts w:hint="eastAsia" w:ascii="Times New Roman" w:hAnsi="Times New Roman" w:eastAsia="仿宋"/>
          <w:color w:val="000000" w:themeColor="text1"/>
          <w:szCs w:val="28"/>
          <w14:textFill>
            <w14:solidFill>
              <w14:schemeClr w14:val="tx1"/>
            </w14:solidFill>
          </w14:textFill>
        </w:rPr>
        <w:t>第十三条  协议的承受和转让</w:t>
      </w:r>
      <w:bookmarkEnd w:id="28"/>
      <w:bookmarkEnd w:id="29"/>
    </w:p>
    <w:p w14:paraId="6D308DF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13.1  </w:t>
      </w:r>
      <w:r>
        <w:rPr>
          <w:rFonts w:ascii="Times New Roman" w:hAnsi="Times New Roman" w:eastAsia="仿宋" w:cs="Arial"/>
          <w:color w:val="000000" w:themeColor="text1"/>
          <w:kern w:val="21"/>
          <w:sz w:val="28"/>
          <w:szCs w:val="28"/>
          <w14:textFill>
            <w14:solidFill>
              <w14:schemeClr w14:val="tx1"/>
            </w14:solidFill>
          </w14:textFill>
        </w:rPr>
        <w:t>本协议对协议</w:t>
      </w:r>
      <w:r>
        <w:rPr>
          <w:rFonts w:hint="eastAsia" w:ascii="Times New Roman" w:hAnsi="Times New Roman" w:eastAsia="仿宋" w:cs="Arial"/>
          <w:color w:val="000000" w:themeColor="text1"/>
          <w:kern w:val="21"/>
          <w:sz w:val="28"/>
          <w:szCs w:val="28"/>
          <w14:textFill>
            <w14:solidFill>
              <w14:schemeClr w14:val="tx1"/>
            </w14:solidFill>
          </w14:textFill>
        </w:rPr>
        <w:t>双</w:t>
      </w:r>
      <w:r>
        <w:rPr>
          <w:rFonts w:ascii="Times New Roman" w:hAnsi="Times New Roman" w:eastAsia="仿宋" w:cs="Arial"/>
          <w:color w:val="000000" w:themeColor="text1"/>
          <w:kern w:val="21"/>
          <w:sz w:val="28"/>
          <w:szCs w:val="28"/>
          <w14:textFill>
            <w14:solidFill>
              <w14:schemeClr w14:val="tx1"/>
            </w14:solidFill>
          </w14:textFill>
        </w:rPr>
        <w:t>方及其承受人均有</w:t>
      </w:r>
      <w:r>
        <w:rPr>
          <w:rFonts w:hint="eastAsia" w:ascii="Times New Roman" w:hAnsi="Times New Roman" w:eastAsia="仿宋" w:cs="Arial"/>
          <w:color w:val="000000" w:themeColor="text1"/>
          <w:kern w:val="21"/>
          <w:sz w:val="28"/>
          <w:szCs w:val="28"/>
          <w14:textFill>
            <w14:solidFill>
              <w14:schemeClr w14:val="tx1"/>
            </w14:solidFill>
          </w14:textFill>
        </w:rPr>
        <w:t>法律</w:t>
      </w:r>
      <w:r>
        <w:rPr>
          <w:rFonts w:ascii="Times New Roman" w:hAnsi="Times New Roman" w:eastAsia="仿宋" w:cs="Arial"/>
          <w:color w:val="000000" w:themeColor="text1"/>
          <w:kern w:val="21"/>
          <w:sz w:val="28"/>
          <w:szCs w:val="28"/>
          <w14:textFill>
            <w14:solidFill>
              <w14:schemeClr w14:val="tx1"/>
            </w14:solidFill>
          </w14:textFill>
        </w:rPr>
        <w:t>约束力。</w:t>
      </w:r>
    </w:p>
    <w:p w14:paraId="0791BD24">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13.2  </w:t>
      </w:r>
      <w:r>
        <w:rPr>
          <w:rFonts w:ascii="Times New Roman" w:hAnsi="Times New Roman" w:eastAsia="仿宋" w:cs="Arial"/>
          <w:color w:val="000000" w:themeColor="text1"/>
          <w:kern w:val="21"/>
          <w:sz w:val="28"/>
          <w:szCs w:val="28"/>
          <w14:textFill>
            <w14:solidFill>
              <w14:schemeClr w14:val="tx1"/>
            </w14:solidFill>
          </w14:textFill>
        </w:rPr>
        <w:t>未经对方</w:t>
      </w:r>
      <w:r>
        <w:rPr>
          <w:rFonts w:hint="eastAsia" w:ascii="Times New Roman" w:hAnsi="Times New Roman" w:eastAsia="仿宋" w:cs="Arial"/>
          <w:color w:val="000000" w:themeColor="text1"/>
          <w:kern w:val="21"/>
          <w:sz w:val="28"/>
          <w:szCs w:val="28"/>
          <w14:textFill>
            <w14:solidFill>
              <w14:schemeClr w14:val="tx1"/>
            </w14:solidFill>
          </w14:textFill>
        </w:rPr>
        <w:t>事先</w:t>
      </w:r>
      <w:r>
        <w:rPr>
          <w:rFonts w:ascii="Times New Roman" w:hAnsi="Times New Roman" w:eastAsia="仿宋" w:cs="Arial"/>
          <w:color w:val="000000" w:themeColor="text1"/>
          <w:kern w:val="21"/>
          <w:sz w:val="28"/>
          <w:szCs w:val="28"/>
          <w14:textFill>
            <w14:solidFill>
              <w14:schemeClr w14:val="tx1"/>
            </w14:solidFill>
          </w14:textFill>
        </w:rPr>
        <w:t>书面同意，一方不得转让其在本协议项下的任何权利和义务。</w:t>
      </w:r>
    </w:p>
    <w:p w14:paraId="7BC53C1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00DBE05E">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30" w:name="_Toc1601"/>
      <w:bookmarkStart w:id="31" w:name="_Toc326697850"/>
      <w:r>
        <w:rPr>
          <w:rFonts w:hint="eastAsia" w:ascii="Times New Roman" w:hAnsi="Times New Roman" w:eastAsia="仿宋"/>
          <w:color w:val="000000" w:themeColor="text1"/>
          <w:szCs w:val="28"/>
          <w14:textFill>
            <w14:solidFill>
              <w14:schemeClr w14:val="tx1"/>
            </w14:solidFill>
          </w14:textFill>
        </w:rPr>
        <w:t>第十四条  协议的终止</w:t>
      </w:r>
      <w:bookmarkEnd w:id="30"/>
      <w:bookmarkEnd w:id="31"/>
    </w:p>
    <w:p w14:paraId="78C0EF6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14.1  </w:t>
      </w:r>
      <w:r>
        <w:rPr>
          <w:rFonts w:hint="eastAsia" w:ascii="Times New Roman" w:hAnsi="Times New Roman" w:eastAsia="仿宋" w:cs="Arial"/>
          <w:color w:val="000000" w:themeColor="text1"/>
          <w:kern w:val="21"/>
          <w:sz w:val="28"/>
          <w:szCs w:val="28"/>
          <w14:textFill>
            <w14:solidFill>
              <w14:schemeClr w14:val="tx1"/>
            </w14:solidFill>
          </w14:textFill>
        </w:rPr>
        <w:t>本协议可因以下原因终止：</w:t>
      </w:r>
    </w:p>
    <w:p w14:paraId="4404DEC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）因本协议执行完毕而终止；</w:t>
      </w:r>
    </w:p>
    <w:p w14:paraId="63C9CE96">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2</w:t>
      </w:r>
      <w:r>
        <w:rPr>
          <w:rFonts w:hint="eastAsia" w:ascii="Times New Roman" w:hAnsi="Times New Roman" w:eastAsia="仿宋" w:cs="Arial"/>
          <w:color w:val="000000" w:themeColor="text1"/>
          <w:kern w:val="21"/>
          <w:sz w:val="28"/>
          <w:szCs w:val="28"/>
          <w14:textFill>
            <w14:solidFill>
              <w14:schemeClr w14:val="tx1"/>
            </w14:solidFill>
          </w14:textFill>
        </w:rPr>
        <w:t>）本协议任何一方按照本协议第十七条“不可抗力及免责”的规定终止本协议；</w:t>
      </w:r>
    </w:p>
    <w:p w14:paraId="0EF2314F">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3</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发生</w:t>
      </w:r>
      <w:r>
        <w:rPr>
          <w:rFonts w:hint="eastAsia" w:ascii="Times New Roman" w:hAnsi="Times New Roman" w:eastAsia="仿宋" w:cs="Arial"/>
          <w:color w:val="000000" w:themeColor="text1"/>
          <w:kern w:val="21"/>
          <w:sz w:val="28"/>
          <w:szCs w:val="32"/>
          <w:lang w:val="en-US" w:eastAsia="zh-CN"/>
          <w14:textFill>
            <w14:solidFill>
              <w14:schemeClr w14:val="tx1"/>
            </w14:solidFill>
          </w14:textFill>
        </w:rPr>
        <w:t>12.3条所列</w:t>
      </w:r>
      <w:r>
        <w:rPr>
          <w:rFonts w:hint="eastAsia" w:ascii="Times New Roman" w:hAnsi="Times New Roman" w:eastAsia="仿宋" w:cs="Arial"/>
          <w:color w:val="000000" w:themeColor="text1"/>
          <w:kern w:val="21"/>
          <w:sz w:val="28"/>
          <w:szCs w:val="32"/>
          <w14:textFill>
            <w14:solidFill>
              <w14:schemeClr w14:val="tx1"/>
            </w14:solidFill>
          </w14:textFill>
        </w:rPr>
        <w:t>情形</w:t>
      </w:r>
      <w:r>
        <w:rPr>
          <w:rFonts w:hint="eastAsia" w:ascii="Times New Roman" w:hAnsi="Times New Roman" w:eastAsia="仿宋" w:cs="Arial"/>
          <w:color w:val="000000" w:themeColor="text1"/>
          <w:kern w:val="21"/>
          <w:sz w:val="28"/>
          <w:szCs w:val="32"/>
          <w:lang w:eastAsia="zh-CN"/>
          <w14:textFill>
            <w14:solidFill>
              <w14:schemeClr w14:val="tx1"/>
            </w14:solidFill>
          </w14:textFill>
        </w:rPr>
        <w:t>，</w:t>
      </w:r>
      <w:r>
        <w:rPr>
          <w:rFonts w:hint="eastAsia" w:ascii="Times New Roman" w:hAnsi="Times New Roman" w:eastAsia="仿宋" w:cs="Arial"/>
          <w:color w:val="000000" w:themeColor="text1"/>
          <w:kern w:val="21"/>
          <w:sz w:val="28"/>
          <w:szCs w:val="32"/>
          <w:lang w:val="en-US" w:eastAsia="zh-CN"/>
          <w14:textFill>
            <w14:solidFill>
              <w14:schemeClr w14:val="tx1"/>
            </w14:solidFill>
          </w14:textFill>
        </w:rPr>
        <w:t>乙方</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决定停止发行的；</w:t>
      </w:r>
    </w:p>
    <w:p w14:paraId="2E020AA1">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4</w:t>
      </w:r>
      <w:r>
        <w:rPr>
          <w:rFonts w:hint="eastAsia" w:ascii="Times New Roman" w:hAnsi="Times New Roman" w:eastAsia="仿宋" w:cs="Arial"/>
          <w:color w:val="000000" w:themeColor="text1"/>
          <w:kern w:val="21"/>
          <w:sz w:val="28"/>
          <w:szCs w:val="28"/>
          <w14:textFill>
            <w14:solidFill>
              <w14:schemeClr w14:val="tx1"/>
            </w14:solidFill>
          </w14:textFill>
        </w:rPr>
        <w:t>）发生</w:t>
      </w:r>
      <w:r>
        <w:rPr>
          <w:rFonts w:ascii="Times New Roman" w:hAnsi="Times New Roman" w:eastAsia="仿宋" w:cs="Arial"/>
          <w:color w:val="000000" w:themeColor="text1"/>
          <w:kern w:val="21"/>
          <w:sz w:val="28"/>
          <w:szCs w:val="28"/>
          <w14:textFill>
            <w14:solidFill>
              <w14:schemeClr w14:val="tx1"/>
            </w14:solidFill>
          </w14:textFill>
        </w:rPr>
        <w:t>14.2</w:t>
      </w:r>
      <w:r>
        <w:rPr>
          <w:rFonts w:hint="eastAsia" w:ascii="Times New Roman" w:hAnsi="Times New Roman" w:eastAsia="仿宋" w:cs="Arial"/>
          <w:color w:val="000000" w:themeColor="text1"/>
          <w:kern w:val="21"/>
          <w:sz w:val="28"/>
          <w:szCs w:val="28"/>
          <w14:textFill>
            <w14:solidFill>
              <w14:schemeClr w14:val="tx1"/>
            </w14:solidFill>
          </w14:textFill>
        </w:rPr>
        <w:t>条情形导致协议无法继续履行的，守约方可终止本协议；</w:t>
      </w:r>
    </w:p>
    <w:p w14:paraId="2B89F31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5</w:t>
      </w:r>
      <w:r>
        <w:rPr>
          <w:rFonts w:hint="eastAsia" w:ascii="Times New Roman" w:hAnsi="Times New Roman" w:eastAsia="仿宋" w:cs="Arial"/>
          <w:color w:val="000000" w:themeColor="text1"/>
          <w:kern w:val="21"/>
          <w:sz w:val="28"/>
          <w:szCs w:val="28"/>
          <w14:textFill>
            <w14:solidFill>
              <w14:schemeClr w14:val="tx1"/>
            </w14:solidFill>
          </w14:textFill>
        </w:rPr>
        <w:t>）若发行人本次申报文件未通过承销商内部审核同意，承销商有权解除本协议；</w:t>
      </w:r>
    </w:p>
    <w:p w14:paraId="617D6C1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6</w:t>
      </w:r>
      <w:r>
        <w:rPr>
          <w:rFonts w:hint="eastAsia" w:ascii="Times New Roman" w:hAnsi="Times New Roman" w:eastAsia="仿宋" w:cs="Arial"/>
          <w:color w:val="000000" w:themeColor="text1"/>
          <w:kern w:val="21"/>
          <w:sz w:val="28"/>
          <w:szCs w:val="28"/>
          <w14:textFill>
            <w14:solidFill>
              <w14:schemeClr w14:val="tx1"/>
            </w14:solidFill>
          </w14:textFill>
        </w:rPr>
        <w:t>）各方协商一致终止。</w:t>
      </w:r>
    </w:p>
    <w:p w14:paraId="050AB5EB">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14.2</w:t>
      </w:r>
      <w:r>
        <w:rPr>
          <w:rFonts w:hint="eastAsia" w:ascii="Times New Roman" w:hAnsi="Times New Roman" w:eastAsia="仿宋" w:cs="Arial"/>
          <w:color w:val="000000" w:themeColor="text1"/>
          <w:kern w:val="21"/>
          <w:sz w:val="28"/>
          <w:szCs w:val="28"/>
          <w14:textFill>
            <w14:solidFill>
              <w14:schemeClr w14:val="tx1"/>
            </w14:solidFill>
          </w14:textFill>
        </w:rPr>
        <w:t>如发生下列情况，守约方有权向违约方发出书面通知，终止其在本协议项下的责任：</w:t>
      </w:r>
    </w:p>
    <w:p w14:paraId="742699D8">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在协议有效期内，一方违反或不履行本协议规定的有关实质性义务；</w:t>
      </w:r>
    </w:p>
    <w:p w14:paraId="1DC5DC4D">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2</w:t>
      </w:r>
      <w:r>
        <w:rPr>
          <w:rFonts w:hint="eastAsia" w:ascii="Times New Roman" w:hAnsi="Times New Roman" w:eastAsia="仿宋" w:cs="Arial"/>
          <w:color w:val="000000" w:themeColor="text1"/>
          <w:kern w:val="21"/>
          <w:sz w:val="28"/>
          <w:szCs w:val="28"/>
          <w:lang w:eastAsia="zh-CN"/>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一方关于本次债券所作的任何声明、保证和承诺严重失实，具有误导成分或未得到履行，对本次债券的发行工作造成严重不利影响。</w:t>
      </w:r>
    </w:p>
    <w:p w14:paraId="14D66DE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14.3  </w:t>
      </w:r>
      <w:r>
        <w:rPr>
          <w:rFonts w:hint="eastAsia" w:ascii="Times New Roman" w:hAnsi="Times New Roman" w:eastAsia="仿宋" w:cs="Arial"/>
          <w:color w:val="000000" w:themeColor="text1"/>
          <w:kern w:val="21"/>
          <w:sz w:val="28"/>
          <w:szCs w:val="28"/>
          <w14:textFill>
            <w14:solidFill>
              <w14:schemeClr w14:val="tx1"/>
            </w14:solidFill>
          </w14:textFill>
        </w:rPr>
        <w:t>本协议因协议规定的事项发生而终止时，协议各方在协议项下的全部或部分责任即行终止，但这种终止不影响任何已形成的权利或主张，也不影响各方因本协议中做出的承诺及免责保证而应承担的责任。</w:t>
      </w:r>
    </w:p>
    <w:p w14:paraId="7FEF00C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005BF830">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32" w:name="_Toc326697851"/>
      <w:bookmarkStart w:id="33" w:name="_Toc28076"/>
      <w:r>
        <w:rPr>
          <w:rFonts w:hint="eastAsia" w:ascii="Times New Roman" w:hAnsi="Times New Roman" w:eastAsia="仿宋"/>
          <w:color w:val="000000" w:themeColor="text1"/>
          <w:szCs w:val="28"/>
          <w14:textFill>
            <w14:solidFill>
              <w14:schemeClr w14:val="tx1"/>
            </w14:solidFill>
          </w14:textFill>
        </w:rPr>
        <w:t>第十五条  免责条款</w:t>
      </w:r>
      <w:bookmarkEnd w:id="32"/>
      <w:bookmarkEnd w:id="33"/>
    </w:p>
    <w:p w14:paraId="4440A61B">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15.1  </w:t>
      </w:r>
      <w:r>
        <w:rPr>
          <w:rFonts w:ascii="Times New Roman" w:hAnsi="Times New Roman" w:eastAsia="仿宋" w:cs="Arial"/>
          <w:color w:val="000000" w:themeColor="text1"/>
          <w:kern w:val="21"/>
          <w:sz w:val="28"/>
          <w:szCs w:val="28"/>
          <w14:textFill>
            <w14:solidFill>
              <w14:schemeClr w14:val="tx1"/>
            </w14:solidFill>
          </w14:textFill>
        </w:rPr>
        <w:t>甲方在委任乙方提供有关本次发行之全套服务时，对于乙方及其董事、管理人员、职员或代理人作出的所有相关、妥当及合法的活动（包括但不限于：准备、分发债券募集说明书及其他相关文件；以及任何乙方应甲方之要求，或由</w:t>
      </w:r>
      <w:r>
        <w:rPr>
          <w:rFonts w:hint="eastAsia" w:ascii="Times New Roman" w:hAnsi="Times New Roman" w:eastAsia="仿宋" w:cs="Arial"/>
          <w:color w:val="000000" w:themeColor="text1"/>
          <w:kern w:val="21"/>
          <w:sz w:val="28"/>
          <w:szCs w:val="28"/>
          <w14:textFill>
            <w14:solidFill>
              <w14:schemeClr w14:val="tx1"/>
            </w14:solidFill>
          </w14:textFill>
        </w:rPr>
        <w:t>乙</w:t>
      </w:r>
      <w:r>
        <w:rPr>
          <w:rFonts w:ascii="Times New Roman" w:hAnsi="Times New Roman" w:eastAsia="仿宋" w:cs="Arial"/>
          <w:color w:val="000000" w:themeColor="text1"/>
          <w:kern w:val="21"/>
          <w:sz w:val="28"/>
          <w:szCs w:val="28"/>
          <w14:textFill>
            <w14:solidFill>
              <w14:schemeClr w14:val="tx1"/>
            </w14:solidFill>
          </w14:textFill>
        </w:rPr>
        <w:t>方主动提出并经</w:t>
      </w:r>
      <w:r>
        <w:rPr>
          <w:rFonts w:hint="eastAsia" w:ascii="Times New Roman" w:hAnsi="Times New Roman" w:eastAsia="仿宋" w:cs="Arial"/>
          <w:color w:val="000000" w:themeColor="text1"/>
          <w:kern w:val="21"/>
          <w:sz w:val="28"/>
          <w:szCs w:val="28"/>
          <w14:textFill>
            <w14:solidFill>
              <w14:schemeClr w14:val="tx1"/>
            </w14:solidFill>
          </w14:textFill>
        </w:rPr>
        <w:t>甲</w:t>
      </w:r>
      <w:r>
        <w:rPr>
          <w:rFonts w:ascii="Times New Roman" w:hAnsi="Times New Roman" w:eastAsia="仿宋" w:cs="Arial"/>
          <w:color w:val="000000" w:themeColor="text1"/>
          <w:kern w:val="21"/>
          <w:sz w:val="28"/>
          <w:szCs w:val="28"/>
          <w14:textFill>
            <w14:solidFill>
              <w14:schemeClr w14:val="tx1"/>
            </w14:solidFill>
          </w14:textFill>
        </w:rPr>
        <w:t>方同意而发出与本次发行有关的文件资料），甲方同意免除乙方或其董事、管理人员、职员或代理人一切由此而引起的任何性质和在任何司法管辖区发生的行动、索赔、诉讼或仲裁及所有损失、责任、赔偿、费用及开支，并愿意赔偿乙方或其董事、管理人员、职员或代理人因此所受到的损失和产生的合理费用（由于乙方的故意或重大过失导致的除外）。</w:t>
      </w:r>
    </w:p>
    <w:p w14:paraId="199B878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07F41B53">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34" w:name="_Toc22553"/>
      <w:bookmarkStart w:id="35" w:name="_Toc326697852"/>
      <w:r>
        <w:rPr>
          <w:rFonts w:hint="eastAsia" w:ascii="Times New Roman" w:hAnsi="Times New Roman" w:eastAsia="仿宋"/>
          <w:color w:val="000000" w:themeColor="text1"/>
          <w:szCs w:val="28"/>
          <w14:textFill>
            <w14:solidFill>
              <w14:schemeClr w14:val="tx1"/>
            </w14:solidFill>
          </w14:textFill>
        </w:rPr>
        <w:t xml:space="preserve">第十六条 </w:t>
      </w:r>
      <w:r>
        <w:rPr>
          <w:rFonts w:ascii="Times New Roman" w:hAnsi="Times New Roman" w:eastAsia="仿宋"/>
          <w:color w:val="000000" w:themeColor="text1"/>
          <w:szCs w:val="28"/>
          <w14:textFill>
            <w14:solidFill>
              <w14:schemeClr w14:val="tx1"/>
            </w14:solidFill>
          </w14:textFill>
        </w:rPr>
        <w:t xml:space="preserve"> 违约责任</w:t>
      </w:r>
    </w:p>
    <w:p w14:paraId="11E98D2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16.1  </w:t>
      </w:r>
      <w:r>
        <w:rPr>
          <w:rFonts w:hint="eastAsia" w:ascii="Times New Roman" w:hAnsi="Times New Roman" w:eastAsia="仿宋" w:cs="Arial"/>
          <w:color w:val="000000" w:themeColor="text1"/>
          <w:kern w:val="21"/>
          <w:sz w:val="28"/>
          <w:szCs w:val="28"/>
          <w14:textFill>
            <w14:solidFill>
              <w14:schemeClr w14:val="tx1"/>
            </w14:solidFill>
          </w14:textFill>
        </w:rPr>
        <w:t>本协议生效后，任何一方未经对方书面同意不得擅自解除本协议。未经守约方书面同意而擅自解除本协议的，必须向守约方支付违约金</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100,000.00元</w:t>
      </w:r>
      <w:r>
        <w:rPr>
          <w:rFonts w:hint="eastAsia" w:ascii="Times New Roman" w:hAnsi="Times New Roman" w:eastAsia="仿宋" w:cs="Arial"/>
          <w:color w:val="000000" w:themeColor="text1"/>
          <w:kern w:val="21"/>
          <w:sz w:val="28"/>
          <w:szCs w:val="28"/>
          <w14:textFill>
            <w14:solidFill>
              <w14:schemeClr w14:val="tx1"/>
            </w14:solidFill>
          </w14:textFill>
        </w:rPr>
        <w:t>，如果违约金尚不足以弥补守约方因协议解除而受到的损失，守约方有权就差额部分向违约方索赔。</w:t>
      </w:r>
    </w:p>
    <w:p w14:paraId="30D6187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16.2  </w:t>
      </w:r>
      <w:r>
        <w:rPr>
          <w:rFonts w:hint="eastAsia" w:ascii="Times New Roman" w:hAnsi="Times New Roman" w:eastAsia="仿宋" w:cs="Arial"/>
          <w:color w:val="000000" w:themeColor="text1"/>
          <w:kern w:val="21"/>
          <w:sz w:val="28"/>
          <w:szCs w:val="28"/>
          <w14:textFill>
            <w14:solidFill>
              <w14:schemeClr w14:val="tx1"/>
            </w14:solidFill>
          </w14:textFill>
        </w:rPr>
        <w:t>甲、乙任何一方逾期划付协议项下的发行款项和承销</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费用</w:t>
      </w:r>
      <w:r>
        <w:rPr>
          <w:rFonts w:hint="eastAsia" w:ascii="Times New Roman" w:hAnsi="Times New Roman" w:eastAsia="仿宋" w:cs="Arial"/>
          <w:color w:val="000000" w:themeColor="text1"/>
          <w:kern w:val="21"/>
          <w:sz w:val="28"/>
          <w:szCs w:val="28"/>
          <w14:textFill>
            <w14:solidFill>
              <w14:schemeClr w14:val="tx1"/>
            </w14:solidFill>
          </w14:textFill>
        </w:rPr>
        <w:t>，均应按逾期划付金额的每日万分之</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二</w:t>
      </w:r>
      <w:r>
        <w:rPr>
          <w:rFonts w:hint="eastAsia" w:ascii="Times New Roman" w:hAnsi="Times New Roman" w:eastAsia="仿宋" w:cs="Arial"/>
          <w:color w:val="000000" w:themeColor="text1"/>
          <w:kern w:val="21"/>
          <w:sz w:val="28"/>
          <w:szCs w:val="28"/>
          <w14:textFill>
            <w14:solidFill>
              <w14:schemeClr w14:val="tx1"/>
            </w14:solidFill>
          </w14:textFill>
        </w:rPr>
        <w:t>，向对方计付自违约日起至实际付款日止的违约金。</w:t>
      </w:r>
    </w:p>
    <w:p w14:paraId="6C3A0079">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16.3  </w:t>
      </w:r>
      <w:r>
        <w:rPr>
          <w:rFonts w:hint="eastAsia" w:ascii="Times New Roman" w:hAnsi="Times New Roman" w:eastAsia="仿宋" w:cs="Arial"/>
          <w:color w:val="000000" w:themeColor="text1"/>
          <w:kern w:val="21"/>
          <w:sz w:val="28"/>
          <w:szCs w:val="28"/>
          <w14:textFill>
            <w14:solidFill>
              <w14:schemeClr w14:val="tx1"/>
            </w14:solidFill>
          </w14:textFill>
        </w:rPr>
        <w:t>甲、乙双方中任何一方违反所作陈述、保证和承诺事项的，或不履行、不完全履行本协议约定的义务，即构成违约，违约方将对非违约方因此遭受的所有损失、费用和责任提供全面、充分、有效的赔偿。</w:t>
      </w:r>
    </w:p>
    <w:p w14:paraId="367D837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16.4  </w:t>
      </w:r>
      <w:r>
        <w:rPr>
          <w:rFonts w:hint="eastAsia" w:ascii="Times New Roman" w:hAnsi="Times New Roman" w:eastAsia="仿宋" w:cs="Arial"/>
          <w:color w:val="000000" w:themeColor="text1"/>
          <w:kern w:val="21"/>
          <w:sz w:val="28"/>
          <w:szCs w:val="28"/>
          <w14:textFill>
            <w14:solidFill>
              <w14:schemeClr w14:val="tx1"/>
            </w14:solidFill>
          </w14:textFill>
        </w:rPr>
        <w:t>除本协议另有规定外，甲方若违反本协议的规定，应赔偿乙方因其违约所遭受的损失。</w:t>
      </w:r>
    </w:p>
    <w:p w14:paraId="3138FE38">
      <w:pPr>
        <w:adjustRightInd w:val="0"/>
        <w:snapToGrid w:val="0"/>
        <w:spacing w:line="360" w:lineRule="auto"/>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16.5  </w:t>
      </w:r>
      <w:r>
        <w:rPr>
          <w:rFonts w:hint="eastAsia" w:ascii="Times New Roman" w:hAnsi="Times New Roman" w:eastAsia="仿宋" w:cs="Arial"/>
          <w:color w:val="000000" w:themeColor="text1"/>
          <w:kern w:val="21"/>
          <w:sz w:val="28"/>
          <w:szCs w:val="28"/>
          <w14:textFill>
            <w14:solidFill>
              <w14:schemeClr w14:val="tx1"/>
            </w14:solidFill>
          </w14:textFill>
        </w:rPr>
        <w:t>除本协议另有规定外，乙方若违反本协议的规定，应赔偿甲方因其违约所遭受的损失。</w:t>
      </w:r>
      <w:bookmarkEnd w:id="34"/>
      <w:bookmarkEnd w:id="35"/>
    </w:p>
    <w:p w14:paraId="5021B81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47F92DDE">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36" w:name="_Toc122143703"/>
      <w:bookmarkStart w:id="37" w:name="_Toc326697853"/>
      <w:bookmarkStart w:id="38" w:name="_Toc4981"/>
      <w:r>
        <w:rPr>
          <w:rFonts w:hint="eastAsia" w:ascii="Times New Roman" w:hAnsi="Times New Roman" w:eastAsia="仿宋"/>
          <w:color w:val="000000" w:themeColor="text1"/>
          <w:szCs w:val="28"/>
          <w14:textFill>
            <w14:solidFill>
              <w14:schemeClr w14:val="tx1"/>
            </w14:solidFill>
          </w14:textFill>
        </w:rPr>
        <w:t>第十七条  不可抗力事件及免责</w:t>
      </w:r>
      <w:bookmarkEnd w:id="36"/>
      <w:bookmarkEnd w:id="37"/>
      <w:bookmarkEnd w:id="38"/>
    </w:p>
    <w:p w14:paraId="4502D496">
      <w:pPr>
        <w:adjustRightInd w:val="0"/>
        <w:snapToGrid w:val="0"/>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17.1 </w:t>
      </w:r>
      <w:r>
        <w:rPr>
          <w:rFonts w:hint="eastAsia" w:ascii="Times New Roman" w:hAnsi="Times New Roman" w:eastAsia="仿宋" w:cs="Times New Roman"/>
          <w:color w:val="000000" w:themeColor="text1"/>
          <w:kern w:val="21"/>
          <w:sz w:val="28"/>
          <w:szCs w:val="28"/>
          <w14:textFill>
            <w14:solidFill>
              <w14:schemeClr w14:val="tx1"/>
            </w14:solidFill>
          </w14:textFill>
        </w:rPr>
        <w:t xml:space="preserve"> 在</w:t>
      </w:r>
      <w:r>
        <w:rPr>
          <w:rFonts w:hint="eastAsia" w:ascii="Times New Roman" w:hAnsi="Times New Roman" w:eastAsia="仿宋" w:cs="Arial"/>
          <w:color w:val="000000" w:themeColor="text1"/>
          <w:kern w:val="21"/>
          <w:sz w:val="28"/>
          <w:szCs w:val="28"/>
          <w14:textFill>
            <w14:solidFill>
              <w14:schemeClr w14:val="tx1"/>
            </w14:solidFill>
          </w14:textFill>
        </w:rPr>
        <w:t>本次债券</w:t>
      </w:r>
      <w:r>
        <w:rPr>
          <w:rFonts w:hint="eastAsia" w:ascii="Times New Roman" w:hAnsi="Times New Roman" w:eastAsia="仿宋" w:cs="Times New Roman"/>
          <w:color w:val="000000" w:themeColor="text1"/>
          <w:kern w:val="21"/>
          <w:sz w:val="28"/>
          <w:szCs w:val="28"/>
          <w14:textFill>
            <w14:solidFill>
              <w14:schemeClr w14:val="tx1"/>
            </w14:solidFill>
          </w14:textFill>
        </w:rPr>
        <w:t>的发行结束之日前任何时候，如果发生任何不可预见、不可避免并且不能克服的客观情况，包括但不限于国家政策、法规的重大变化、地震、水灾、传染性疾病以及战争等情形，而这种客观情况已经或可能将会对本协议中的任何一方产生重大实质性不利影响，导致其在本协议项下的义务无法履行或者无法全部履行，则经本协议双方充分协商一致后可决定暂缓履行或终止履行本协议。</w:t>
      </w:r>
    </w:p>
    <w:p w14:paraId="5C984311">
      <w:pPr>
        <w:adjustRightInd w:val="0"/>
        <w:snapToGrid w:val="0"/>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17.2</w:t>
      </w:r>
      <w:r>
        <w:rPr>
          <w:rFonts w:hint="eastAsia" w:ascii="Times New Roman" w:hAnsi="Times New Roman" w:eastAsia="仿宋" w:cs="Times New Roman"/>
          <w:color w:val="000000" w:themeColor="text1"/>
          <w:kern w:val="21"/>
          <w:sz w:val="28"/>
          <w:szCs w:val="28"/>
          <w14:textFill>
            <w14:solidFill>
              <w14:schemeClr w14:val="tx1"/>
            </w14:solidFill>
          </w14:textFill>
        </w:rPr>
        <w:t xml:space="preserve">  如果发生上述不可抗力事件，影响一方履行其在本协议项下的义务，则该方在不可抗力造成的延误期内有权中止履行，而不视为违约。</w:t>
      </w:r>
    </w:p>
    <w:p w14:paraId="056A0331">
      <w:pPr>
        <w:adjustRightInd w:val="0"/>
        <w:snapToGrid w:val="0"/>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17.3 </w:t>
      </w:r>
      <w:r>
        <w:rPr>
          <w:rFonts w:hint="eastAsia" w:ascii="Times New Roman" w:hAnsi="Times New Roman" w:eastAsia="仿宋" w:cs="Times New Roman"/>
          <w:color w:val="000000" w:themeColor="text1"/>
          <w:kern w:val="21"/>
          <w:sz w:val="28"/>
          <w:szCs w:val="28"/>
          <w14:textFill>
            <w14:solidFill>
              <w14:schemeClr w14:val="tx1"/>
            </w14:solidFill>
          </w14:textFill>
        </w:rPr>
        <w:t xml:space="preserve"> 宣称发生不可抗力事件的一方应迅速书面通知本协议另一方，并在其后的十五日内提供证明不可抗力事件发生及其持续的足够证据。</w:t>
      </w:r>
    </w:p>
    <w:p w14:paraId="16F444F5">
      <w:pPr>
        <w:adjustRightInd w:val="0"/>
        <w:snapToGrid w:val="0"/>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17.4  如果发生不可抗力事件，本协议双方应立即互相协商，以</w:t>
      </w:r>
      <w:r>
        <w:rPr>
          <w:rFonts w:hint="eastAsia" w:ascii="Times New Roman" w:hAnsi="Times New Roman" w:eastAsia="仿宋" w:cs="Times New Roman"/>
          <w:color w:val="000000" w:themeColor="text1"/>
          <w:kern w:val="21"/>
          <w:sz w:val="28"/>
          <w:szCs w:val="28"/>
          <w14:textFill>
            <w14:solidFill>
              <w14:schemeClr w14:val="tx1"/>
            </w14:solidFill>
          </w14:textFill>
        </w:rPr>
        <w:t>找到公平的解决办法，并且应尽一切合理努力将不可抗力事件的后果减小到最低限度。</w:t>
      </w:r>
    </w:p>
    <w:p w14:paraId="5CDB0F3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4ACFDA86">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39" w:name="_Toc326697854"/>
      <w:r>
        <w:rPr>
          <w:rFonts w:hint="eastAsia" w:ascii="Times New Roman" w:hAnsi="Times New Roman" w:eastAsia="仿宋"/>
          <w:color w:val="000000" w:themeColor="text1"/>
          <w:szCs w:val="28"/>
          <w14:textFill>
            <w14:solidFill>
              <w14:schemeClr w14:val="tx1"/>
            </w14:solidFill>
          </w14:textFill>
        </w:rPr>
        <w:t>第十八条  保密</w:t>
      </w:r>
      <w:bookmarkEnd w:id="39"/>
    </w:p>
    <w:p w14:paraId="633BD764">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18.1  </w:t>
      </w:r>
      <w:r>
        <w:rPr>
          <w:rFonts w:ascii="Times New Roman" w:hAnsi="Times New Roman" w:eastAsia="仿宋" w:cs="Arial"/>
          <w:color w:val="000000" w:themeColor="text1"/>
          <w:kern w:val="21"/>
          <w:sz w:val="28"/>
          <w:szCs w:val="28"/>
          <w14:textFill>
            <w14:solidFill>
              <w14:schemeClr w14:val="tx1"/>
            </w14:solidFill>
          </w14:textFill>
        </w:rPr>
        <w:t>本</w:t>
      </w:r>
      <w:r>
        <w:rPr>
          <w:rFonts w:ascii="Times New Roman" w:hAnsi="Times New Roman" w:eastAsia="仿宋" w:cs="Times New Roman"/>
          <w:color w:val="000000" w:themeColor="text1"/>
          <w:kern w:val="21"/>
          <w:sz w:val="28"/>
          <w:szCs w:val="28"/>
          <w14:textFill>
            <w14:solidFill>
              <w14:schemeClr w14:val="tx1"/>
            </w14:solidFill>
          </w14:textFill>
        </w:rPr>
        <w:t>协议</w:t>
      </w:r>
      <w:r>
        <w:rPr>
          <w:rFonts w:ascii="Times New Roman" w:hAnsi="Times New Roman" w:eastAsia="仿宋" w:cs="Arial"/>
          <w:color w:val="000000" w:themeColor="text1"/>
          <w:kern w:val="21"/>
          <w:sz w:val="28"/>
          <w:szCs w:val="28"/>
          <w14:textFill>
            <w14:solidFill>
              <w14:schemeClr w14:val="tx1"/>
            </w14:solidFill>
          </w14:textFill>
        </w:rPr>
        <w:t>各方对于因签署和履行本协议而获得的以下信息，</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除乙方根据本协议第12.7款的约定合理使用之外，</w:t>
      </w:r>
      <w:r>
        <w:rPr>
          <w:rFonts w:ascii="Times New Roman" w:hAnsi="Times New Roman" w:eastAsia="仿宋" w:cs="Arial"/>
          <w:color w:val="000000" w:themeColor="text1"/>
          <w:kern w:val="21"/>
          <w:sz w:val="28"/>
          <w:szCs w:val="28"/>
          <w14:textFill>
            <w14:solidFill>
              <w14:schemeClr w14:val="tx1"/>
            </w14:solidFill>
          </w14:textFill>
        </w:rPr>
        <w:t>均应严格保密：</w:t>
      </w:r>
    </w:p>
    <w:p w14:paraId="386EFEF2">
      <w:pPr>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w:t>
      </w:r>
      <w:r>
        <w:rPr>
          <w:rFonts w:ascii="Times New Roman" w:hAnsi="Times New Roman" w:eastAsia="仿宋" w:cs="Arial"/>
          <w:color w:val="000000" w:themeColor="text1"/>
          <w:kern w:val="21"/>
          <w:sz w:val="28"/>
          <w:szCs w:val="28"/>
          <w14:textFill>
            <w14:solidFill>
              <w14:schemeClr w14:val="tx1"/>
            </w14:solidFill>
          </w14:textFill>
        </w:rPr>
        <w:t>本协议的各项条款；</w:t>
      </w:r>
    </w:p>
    <w:p w14:paraId="24ADA6BC">
      <w:pPr>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w:t>
      </w:r>
      <w:r>
        <w:rPr>
          <w:rFonts w:ascii="Times New Roman" w:hAnsi="Times New Roman" w:eastAsia="仿宋" w:cs="Arial"/>
          <w:color w:val="000000" w:themeColor="text1"/>
          <w:kern w:val="21"/>
          <w:sz w:val="28"/>
          <w:szCs w:val="28"/>
          <w14:textFill>
            <w14:solidFill>
              <w14:schemeClr w14:val="tx1"/>
            </w14:solidFill>
          </w14:textFill>
        </w:rPr>
        <w:t>有关本协议的谈判；</w:t>
      </w:r>
    </w:p>
    <w:p w14:paraId="4B910C7C">
      <w:pPr>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ascii="Times New Roman" w:hAnsi="Times New Roman" w:eastAsia="仿宋" w:cs="Arial"/>
          <w:color w:val="000000" w:themeColor="text1"/>
          <w:kern w:val="21"/>
          <w:sz w:val="28"/>
          <w:szCs w:val="28"/>
          <w14:textFill>
            <w14:solidFill>
              <w14:schemeClr w14:val="tx1"/>
            </w14:solidFill>
          </w14:textFill>
        </w:rPr>
        <w:t>本协议的标的；</w:t>
      </w:r>
    </w:p>
    <w:p w14:paraId="12F92FEB">
      <w:pPr>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w:t>
      </w:r>
      <w:r>
        <w:rPr>
          <w:rFonts w:ascii="Times New Roman" w:hAnsi="Times New Roman" w:eastAsia="仿宋" w:cs="Arial"/>
          <w:color w:val="000000" w:themeColor="text1"/>
          <w:kern w:val="21"/>
          <w:sz w:val="28"/>
          <w:szCs w:val="28"/>
          <w14:textFill>
            <w14:solidFill>
              <w14:schemeClr w14:val="tx1"/>
            </w14:solidFill>
          </w14:textFill>
        </w:rPr>
        <w:t>各方的商业秘密。</w:t>
      </w:r>
    </w:p>
    <w:p w14:paraId="016EF5B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18.2  </w:t>
      </w:r>
      <w:r>
        <w:rPr>
          <w:rFonts w:ascii="Times New Roman" w:hAnsi="Times New Roman" w:eastAsia="仿宋" w:cs="Arial"/>
          <w:color w:val="000000" w:themeColor="text1"/>
          <w:kern w:val="21"/>
          <w:sz w:val="28"/>
          <w:szCs w:val="28"/>
          <w14:textFill>
            <w14:solidFill>
              <w14:schemeClr w14:val="tx1"/>
            </w14:solidFill>
          </w14:textFill>
        </w:rPr>
        <w:t>仅在下列情况下，本协议各方才可以披露上述信息，否则任何一方不得在任何场所、任何情况以任何方式公开任何上述信息：</w:t>
      </w:r>
    </w:p>
    <w:p w14:paraId="32E99E44">
      <w:pPr>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（1）</w:t>
      </w:r>
      <w:r>
        <w:rPr>
          <w:rFonts w:ascii="Times New Roman" w:hAnsi="Times New Roman" w:eastAsia="仿宋" w:cs="Arial"/>
          <w:color w:val="000000" w:themeColor="text1"/>
          <w:kern w:val="21"/>
          <w:sz w:val="28"/>
          <w:szCs w:val="28"/>
          <w14:textFill>
            <w14:solidFill>
              <w14:schemeClr w14:val="tx1"/>
            </w14:solidFill>
          </w14:textFill>
        </w:rPr>
        <w:t>法律规定</w:t>
      </w:r>
      <w:r>
        <w:rPr>
          <w:rFonts w:hint="eastAsia" w:ascii="Times New Roman" w:hAnsi="Times New Roman" w:eastAsia="仿宋" w:cs="Arial"/>
          <w:color w:val="000000" w:themeColor="text1"/>
          <w:kern w:val="21"/>
          <w:sz w:val="28"/>
          <w:szCs w:val="28"/>
          <w14:textFill>
            <w14:solidFill>
              <w14:schemeClr w14:val="tx1"/>
            </w14:solidFill>
          </w14:textFill>
        </w:rPr>
        <w:t>的</w:t>
      </w:r>
      <w:r>
        <w:rPr>
          <w:rFonts w:ascii="Times New Roman" w:hAnsi="Times New Roman" w:eastAsia="仿宋" w:cs="Arial"/>
          <w:color w:val="000000" w:themeColor="text1"/>
          <w:kern w:val="21"/>
          <w:sz w:val="28"/>
          <w:szCs w:val="28"/>
          <w14:textFill>
            <w14:solidFill>
              <w14:schemeClr w14:val="tx1"/>
            </w14:solidFill>
          </w14:textFill>
        </w:rPr>
        <w:t>要求；</w:t>
      </w:r>
    </w:p>
    <w:p w14:paraId="0DA0604E">
      <w:pPr>
        <w:tabs>
          <w:tab w:val="left" w:pos="1276"/>
        </w:tabs>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w:t>
      </w:r>
      <w:r>
        <w:rPr>
          <w:rFonts w:ascii="Times New Roman" w:hAnsi="Times New Roman" w:eastAsia="仿宋" w:cs="Arial"/>
          <w:color w:val="000000" w:themeColor="text1"/>
          <w:kern w:val="21"/>
          <w:sz w:val="28"/>
          <w:szCs w:val="28"/>
          <w14:textFill>
            <w14:solidFill>
              <w14:schemeClr w14:val="tx1"/>
            </w14:solidFill>
          </w14:textFill>
        </w:rPr>
        <w:t>任何有管辖权的政府机关、监管机构或证券交易所的要求；</w:t>
      </w:r>
    </w:p>
    <w:p w14:paraId="3E52C92D">
      <w:pPr>
        <w:tabs>
          <w:tab w:val="left" w:pos="1276"/>
        </w:tabs>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（3）</w:t>
      </w:r>
      <w:r>
        <w:rPr>
          <w:rFonts w:ascii="Times New Roman" w:hAnsi="Times New Roman" w:eastAsia="仿宋" w:cs="Arial"/>
          <w:color w:val="000000" w:themeColor="text1"/>
          <w:kern w:val="21"/>
          <w:sz w:val="28"/>
          <w:szCs w:val="28"/>
          <w14:textFill>
            <w14:solidFill>
              <w14:schemeClr w14:val="tx1"/>
            </w14:solidFill>
          </w14:textFill>
        </w:rPr>
        <w:t>向该方参与本次债券发行工作的专业顾问、审计师和律师披露；</w:t>
      </w:r>
    </w:p>
    <w:p w14:paraId="3E9DB744">
      <w:pPr>
        <w:tabs>
          <w:tab w:val="left" w:pos="1276"/>
        </w:tabs>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（4）</w:t>
      </w:r>
      <w:r>
        <w:rPr>
          <w:rFonts w:ascii="Times New Roman" w:hAnsi="Times New Roman" w:eastAsia="仿宋" w:cs="Arial"/>
          <w:color w:val="000000" w:themeColor="text1"/>
          <w:kern w:val="21"/>
          <w:sz w:val="28"/>
          <w:szCs w:val="28"/>
          <w14:textFill>
            <w14:solidFill>
              <w14:schemeClr w14:val="tx1"/>
            </w14:solidFill>
          </w14:textFill>
        </w:rPr>
        <w:t>资料已被公开，但不是由于对方的过错；</w:t>
      </w:r>
    </w:p>
    <w:p w14:paraId="4F344314">
      <w:pPr>
        <w:tabs>
          <w:tab w:val="left" w:pos="1276"/>
        </w:tabs>
        <w:adjustRightInd w:val="0"/>
        <w:snapToGrid w:val="0"/>
        <w:spacing w:line="360" w:lineRule="auto"/>
        <w:ind w:left="420" w:left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（5）</w:t>
      </w:r>
      <w:r>
        <w:rPr>
          <w:rFonts w:ascii="Times New Roman" w:hAnsi="Times New Roman" w:eastAsia="仿宋" w:cs="Arial"/>
          <w:color w:val="000000" w:themeColor="text1"/>
          <w:kern w:val="21"/>
          <w:sz w:val="28"/>
          <w:szCs w:val="28"/>
          <w14:textFill>
            <w14:solidFill>
              <w14:schemeClr w14:val="tx1"/>
            </w14:solidFill>
          </w14:textFill>
        </w:rPr>
        <w:t>各方事先给予书面同意。</w:t>
      </w:r>
    </w:p>
    <w:p w14:paraId="3E52ECC1">
      <w:pPr>
        <w:tabs>
          <w:tab w:val="left" w:pos="1276"/>
        </w:tabs>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3BE9603">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40" w:name="_Toc326697855"/>
      <w:bookmarkStart w:id="41" w:name="_Toc6042"/>
      <w:r>
        <w:rPr>
          <w:rFonts w:hint="eastAsia" w:ascii="Times New Roman" w:hAnsi="Times New Roman" w:eastAsia="仿宋"/>
          <w:color w:val="000000" w:themeColor="text1"/>
          <w:szCs w:val="28"/>
          <w14:textFill>
            <w14:solidFill>
              <w14:schemeClr w14:val="tx1"/>
            </w14:solidFill>
          </w14:textFill>
        </w:rPr>
        <w:t>第十九条  争议的解决</w:t>
      </w:r>
      <w:bookmarkEnd w:id="40"/>
      <w:bookmarkEnd w:id="41"/>
    </w:p>
    <w:p w14:paraId="31FCCF94">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19.1  </w:t>
      </w:r>
      <w:r>
        <w:rPr>
          <w:rFonts w:ascii="Times New Roman" w:hAnsi="Times New Roman" w:eastAsia="仿宋" w:cs="Arial"/>
          <w:color w:val="000000" w:themeColor="text1"/>
          <w:kern w:val="21"/>
          <w:sz w:val="28"/>
          <w:szCs w:val="28"/>
          <w14:textFill>
            <w14:solidFill>
              <w14:schemeClr w14:val="tx1"/>
            </w14:solidFill>
          </w14:textFill>
        </w:rPr>
        <w:t>当事人对本协议条款理解有争议的，应当按照协议所使用的词句、协议的相关条款、协议的目的、交易习惯以及诚实信用原则，确定该条款的真实意思。</w:t>
      </w:r>
    </w:p>
    <w:p w14:paraId="2266D9DD">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19.2  </w:t>
      </w:r>
      <w:r>
        <w:rPr>
          <w:rFonts w:ascii="Times New Roman" w:hAnsi="Times New Roman" w:eastAsia="仿宋" w:cs="Arial"/>
          <w:color w:val="000000" w:themeColor="text1"/>
          <w:kern w:val="21"/>
          <w:sz w:val="28"/>
          <w:szCs w:val="28"/>
          <w14:textFill>
            <w14:solidFill>
              <w14:schemeClr w14:val="tx1"/>
            </w14:solidFill>
          </w14:textFill>
        </w:rPr>
        <w:t>因履行本协议而产生的或与本协议有关的任何争议、分歧或索赔，甲、乙双方应本着平等互利原则，通过友好协调解决；协商不能达成一致意见的，</w:t>
      </w:r>
      <w:r>
        <w:rPr>
          <w:rFonts w:hint="eastAsia" w:ascii="Times New Roman" w:hAnsi="Times New Roman" w:eastAsia="仿宋" w:cs="Arial"/>
          <w:color w:val="000000" w:themeColor="text1"/>
          <w:kern w:val="21"/>
          <w:sz w:val="28"/>
          <w:szCs w:val="28"/>
          <w14:textFill>
            <w14:solidFill>
              <w14:schemeClr w14:val="tx1"/>
            </w14:solidFill>
          </w14:textFill>
        </w:rPr>
        <w:t>向</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甲</w:t>
      </w:r>
      <w:r>
        <w:rPr>
          <w:rFonts w:hint="eastAsia" w:ascii="Times New Roman" w:hAnsi="Times New Roman" w:eastAsia="仿宋" w:cs="Arial"/>
          <w:color w:val="000000" w:themeColor="text1"/>
          <w:kern w:val="21"/>
          <w:sz w:val="28"/>
          <w:szCs w:val="28"/>
          <w14:textFill>
            <w14:solidFill>
              <w14:schemeClr w14:val="tx1"/>
            </w14:solidFill>
          </w14:textFill>
        </w:rPr>
        <w:t>方住所地有管辖权的人民法院提起诉讼</w:t>
      </w:r>
      <w:r>
        <w:rPr>
          <w:rFonts w:ascii="Times New Roman" w:hAnsi="Times New Roman" w:eastAsia="仿宋" w:cs="Arial"/>
          <w:color w:val="000000" w:themeColor="text1"/>
          <w:kern w:val="21"/>
          <w:sz w:val="28"/>
          <w:szCs w:val="28"/>
          <w14:textFill>
            <w14:solidFill>
              <w14:schemeClr w14:val="tx1"/>
            </w14:solidFill>
          </w14:textFill>
        </w:rPr>
        <w:t>。</w:t>
      </w:r>
    </w:p>
    <w:p w14:paraId="7EEFD03B">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19.3 </w:t>
      </w:r>
      <w:r>
        <w:rPr>
          <w:rFonts w:ascii="Times New Roman" w:hAnsi="Times New Roman" w:eastAsia="仿宋" w:cs="Arial"/>
          <w:color w:val="000000" w:themeColor="text1"/>
          <w:kern w:val="21"/>
          <w:sz w:val="28"/>
          <w:szCs w:val="28"/>
          <w14:textFill>
            <w14:solidFill>
              <w14:schemeClr w14:val="tx1"/>
            </w14:solidFill>
          </w14:textFill>
        </w:rPr>
        <w:t xml:space="preserve"> 在</w:t>
      </w:r>
      <w:r>
        <w:rPr>
          <w:rFonts w:hint="eastAsia" w:ascii="Times New Roman" w:hAnsi="Times New Roman" w:eastAsia="仿宋" w:cs="Arial"/>
          <w:color w:val="000000" w:themeColor="text1"/>
          <w:kern w:val="21"/>
          <w:sz w:val="28"/>
          <w:szCs w:val="28"/>
          <w14:textFill>
            <w14:solidFill>
              <w14:schemeClr w14:val="tx1"/>
            </w14:solidFill>
          </w14:textFill>
        </w:rPr>
        <w:t>诉讼</w:t>
      </w:r>
      <w:r>
        <w:rPr>
          <w:rFonts w:ascii="Times New Roman" w:hAnsi="Times New Roman" w:eastAsia="仿宋" w:cs="Arial"/>
          <w:color w:val="000000" w:themeColor="text1"/>
          <w:kern w:val="21"/>
          <w:sz w:val="28"/>
          <w:szCs w:val="28"/>
          <w14:textFill>
            <w14:solidFill>
              <w14:schemeClr w14:val="tx1"/>
            </w14:solidFill>
          </w14:textFill>
        </w:rPr>
        <w:t>过程中，除协议双方有争议的、正在进行</w:t>
      </w:r>
      <w:r>
        <w:rPr>
          <w:rFonts w:hint="eastAsia" w:ascii="Times New Roman" w:hAnsi="Times New Roman" w:eastAsia="仿宋" w:cs="Arial"/>
          <w:color w:val="000000" w:themeColor="text1"/>
          <w:kern w:val="21"/>
          <w:sz w:val="28"/>
          <w:szCs w:val="28"/>
          <w14:textFill>
            <w14:solidFill>
              <w14:schemeClr w14:val="tx1"/>
            </w14:solidFill>
          </w14:textFill>
        </w:rPr>
        <w:t>诉讼</w:t>
      </w:r>
      <w:r>
        <w:rPr>
          <w:rFonts w:ascii="Times New Roman" w:hAnsi="Times New Roman" w:eastAsia="仿宋" w:cs="Arial"/>
          <w:color w:val="000000" w:themeColor="text1"/>
          <w:kern w:val="21"/>
          <w:sz w:val="28"/>
          <w:szCs w:val="28"/>
          <w14:textFill>
            <w14:solidFill>
              <w14:schemeClr w14:val="tx1"/>
            </w14:solidFill>
          </w14:textFill>
        </w:rPr>
        <w:t>的事项外，双方仍应继续履行本协议。</w:t>
      </w:r>
    </w:p>
    <w:p w14:paraId="40D8CB6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2021099B">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42" w:name="_Toc24651"/>
      <w:bookmarkStart w:id="43" w:name="_Toc122143705"/>
      <w:bookmarkStart w:id="44" w:name="_Toc326697856"/>
      <w:r>
        <w:rPr>
          <w:rFonts w:hint="eastAsia" w:ascii="Times New Roman" w:hAnsi="Times New Roman" w:eastAsia="仿宋"/>
          <w:color w:val="000000" w:themeColor="text1"/>
          <w:szCs w:val="28"/>
          <w14:textFill>
            <w14:solidFill>
              <w14:schemeClr w14:val="tx1"/>
            </w14:solidFill>
          </w14:textFill>
        </w:rPr>
        <w:t>第二十条  通知及送达</w:t>
      </w:r>
      <w:bookmarkEnd w:id="42"/>
      <w:bookmarkEnd w:id="43"/>
      <w:bookmarkEnd w:id="44"/>
    </w:p>
    <w:p w14:paraId="6E7AD557">
      <w:pPr>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20</w:t>
      </w:r>
      <w:r>
        <w:rPr>
          <w:rFonts w:ascii="Times New Roman" w:hAnsi="Times New Roman" w:eastAsia="仿宋" w:cs="Arial"/>
          <w:color w:val="000000" w:themeColor="text1"/>
          <w:kern w:val="21"/>
          <w:sz w:val="28"/>
          <w:szCs w:val="28"/>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ascii="Times New Roman" w:hAnsi="Times New Roman" w:eastAsia="仿宋" w:cs="Times New Roman"/>
          <w:color w:val="000000" w:themeColor="text1"/>
          <w:kern w:val="21"/>
          <w:sz w:val="28"/>
          <w:szCs w:val="28"/>
          <w14:textFill>
            <w14:solidFill>
              <w14:schemeClr w14:val="tx1"/>
            </w14:solidFill>
          </w14:textFill>
        </w:rPr>
        <w:t>根据本协议发出的或与本协议有关的通知</w:t>
      </w:r>
      <w:r>
        <w:rPr>
          <w:rFonts w:hint="eastAsia" w:ascii="Times New Roman" w:hAnsi="Times New Roman" w:eastAsia="仿宋" w:cs="Times New Roman"/>
          <w:color w:val="000000" w:themeColor="text1"/>
          <w:kern w:val="21"/>
          <w:sz w:val="28"/>
          <w:szCs w:val="28"/>
          <w:lang w:eastAsia="zh-CN"/>
          <w14:textFill>
            <w14:solidFill>
              <w14:schemeClr w14:val="tx1"/>
            </w14:solidFill>
          </w14:textFill>
        </w:rPr>
        <w:t>、</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法律文书等</w:t>
      </w:r>
      <w:r>
        <w:rPr>
          <w:rFonts w:ascii="Times New Roman" w:hAnsi="Times New Roman" w:eastAsia="仿宋" w:cs="Times New Roman"/>
          <w:color w:val="000000" w:themeColor="text1"/>
          <w:kern w:val="21"/>
          <w:sz w:val="28"/>
          <w:szCs w:val="28"/>
          <w14:textFill>
            <w14:solidFill>
              <w14:schemeClr w14:val="tx1"/>
            </w14:solidFill>
          </w14:textFill>
        </w:rPr>
        <w:t>应采取书面形式。</w:t>
      </w:r>
    </w:p>
    <w:p w14:paraId="0030FB82">
      <w:pPr>
        <w:adjustRightInd w:val="0"/>
        <w:snapToGrid w:val="0"/>
        <w:spacing w:line="360" w:lineRule="auto"/>
        <w:ind w:firstLine="562" w:firstLineChars="201"/>
        <w:outlineLvl w:val="9"/>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20</w:t>
      </w:r>
      <w:r>
        <w:rPr>
          <w:rFonts w:ascii="Times New Roman" w:hAnsi="Times New Roman" w:eastAsia="仿宋" w:cs="Arial"/>
          <w:color w:val="000000" w:themeColor="text1"/>
          <w:kern w:val="21"/>
          <w:sz w:val="28"/>
          <w:szCs w:val="28"/>
          <w14:textFill>
            <w14:solidFill>
              <w14:schemeClr w14:val="tx1"/>
            </w14:solidFill>
          </w14:textFill>
        </w:rPr>
        <w:t>.2</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ascii="Times New Roman" w:hAnsi="Times New Roman" w:eastAsia="仿宋" w:cs="Arial"/>
          <w:color w:val="000000" w:themeColor="text1"/>
          <w:kern w:val="21"/>
          <w:sz w:val="28"/>
          <w:szCs w:val="28"/>
          <w14:textFill>
            <w14:solidFill>
              <w14:schemeClr w14:val="tx1"/>
            </w14:solidFill>
          </w14:textFill>
        </w:rPr>
        <w:t>本协议</w:t>
      </w:r>
      <w:r>
        <w:rPr>
          <w:rFonts w:hint="default" w:ascii="Times New Roman" w:hAnsi="Times New Roman" w:eastAsia="仿宋" w:cs="Arial"/>
          <w:color w:val="000000" w:themeColor="text1"/>
          <w:kern w:val="21"/>
          <w:sz w:val="28"/>
          <w:szCs w:val="28"/>
          <w14:textFill>
            <w14:solidFill>
              <w14:schemeClr w14:val="tx1"/>
            </w14:solidFill>
          </w14:textFill>
        </w:rPr>
        <w:t>双</w:t>
      </w:r>
      <w:r>
        <w:rPr>
          <w:rFonts w:ascii="Times New Roman" w:hAnsi="Times New Roman" w:eastAsia="仿宋" w:cs="Arial"/>
          <w:color w:val="000000" w:themeColor="text1"/>
          <w:kern w:val="21"/>
          <w:sz w:val="28"/>
          <w:szCs w:val="28"/>
          <w14:textFill>
            <w14:solidFill>
              <w14:schemeClr w14:val="tx1"/>
            </w14:solidFill>
          </w14:textFill>
        </w:rPr>
        <w:t>方通讯或发送通知</w:t>
      </w:r>
      <w:r>
        <w:rPr>
          <w:rFonts w:hint="default" w:ascii="Times New Roman" w:hAnsi="Times New Roman" w:eastAsia="仿宋" w:cs="Arial"/>
          <w:color w:val="000000" w:themeColor="text1"/>
          <w:kern w:val="21"/>
          <w:sz w:val="28"/>
          <w:szCs w:val="28"/>
          <w:lang w:eastAsia="zh-CN"/>
          <w14:textFill>
            <w14:solidFill>
              <w14:schemeClr w14:val="tx1"/>
            </w14:solidFill>
          </w14:textFill>
        </w:rPr>
        <w:t>、</w:t>
      </w: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法律文书等</w:t>
      </w:r>
      <w:r>
        <w:rPr>
          <w:rFonts w:ascii="Times New Roman" w:hAnsi="Times New Roman" w:eastAsia="仿宋" w:cs="Arial"/>
          <w:color w:val="000000" w:themeColor="text1"/>
          <w:kern w:val="21"/>
          <w:sz w:val="28"/>
          <w:szCs w:val="28"/>
          <w14:textFill>
            <w14:solidFill>
              <w14:schemeClr w14:val="tx1"/>
            </w14:solidFill>
          </w14:textFill>
        </w:rPr>
        <w:t>的方法为传真</w:t>
      </w:r>
      <w:r>
        <w:rPr>
          <w:rFonts w:hint="default" w:ascii="Times New Roman" w:hAnsi="Times New Roman" w:eastAsia="仿宋" w:cs="Arial"/>
          <w:b w:val="0"/>
          <w:bCs w:val="0"/>
          <w:color w:val="000000" w:themeColor="text1"/>
          <w:kern w:val="21"/>
          <w:sz w:val="28"/>
          <w:szCs w:val="28"/>
          <w:lang w:val="en-US" w:eastAsia="zh-CN"/>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电子邮件</w:t>
      </w:r>
      <w:r>
        <w:rPr>
          <w:rFonts w:hint="default" w:ascii="Times New Roman" w:hAnsi="Times New Roman" w:eastAsia="仿宋" w:cs="Arial"/>
          <w:b w:val="0"/>
          <w:bCs w:val="0"/>
          <w:color w:val="000000" w:themeColor="text1"/>
          <w:kern w:val="21"/>
          <w:sz w:val="28"/>
          <w:szCs w:val="28"/>
          <w:lang w:val="en-US" w:eastAsia="zh-CN"/>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专人递送</w:t>
      </w:r>
      <w:r>
        <w:rPr>
          <w:rFonts w:hint="default" w:ascii="Times New Roman" w:hAnsi="Times New Roman" w:eastAsia="仿宋" w:cs="Arial"/>
          <w:b w:val="0"/>
          <w:bCs w:val="0"/>
          <w:color w:val="000000" w:themeColor="text1"/>
          <w:kern w:val="21"/>
          <w:sz w:val="28"/>
          <w:szCs w:val="28"/>
          <w:lang w:val="en-US" w:eastAsia="zh-CN"/>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邮寄送达</w:t>
      </w:r>
      <w:r>
        <w:rPr>
          <w:rFonts w:hint="default" w:ascii="Times New Roman" w:hAnsi="Times New Roman" w:eastAsia="仿宋" w:cs="Arial"/>
          <w:color w:val="000000" w:themeColor="text1"/>
          <w:kern w:val="21"/>
          <w:sz w:val="28"/>
          <w:szCs w:val="28"/>
          <w14:textFill>
            <w14:solidFill>
              <w14:schemeClr w14:val="tx1"/>
            </w14:solidFill>
          </w14:textFill>
        </w:rPr>
        <w:t>至以下地址：</w:t>
      </w:r>
    </w:p>
    <w:p w14:paraId="5CFFFFAF">
      <w:pPr>
        <w:adjustRightInd w:val="0"/>
        <w:snapToGrid w:val="0"/>
        <w:spacing w:line="360" w:lineRule="auto"/>
        <w:ind w:left="0" w:leftChars="0" w:firstLine="565" w:firstLineChars="201"/>
        <w:outlineLvl w:val="9"/>
        <w:rPr>
          <w:rFonts w:hint="eastAsia" w:ascii="Times New Roman" w:hAnsi="Times New Roman" w:eastAsia="仿宋" w:cs="Arial"/>
          <w:b/>
          <w:bCs/>
          <w:color w:val="000000" w:themeColor="text1"/>
          <w:kern w:val="21"/>
          <w:sz w:val="28"/>
          <w:szCs w:val="28"/>
          <w14:textFill>
            <w14:solidFill>
              <w14:schemeClr w14:val="tx1"/>
            </w14:solidFill>
          </w14:textFill>
        </w:rPr>
      </w:pPr>
      <w:r>
        <w:rPr>
          <w:rFonts w:hint="default" w:ascii="Times New Roman" w:hAnsi="Times New Roman" w:eastAsia="仿宋" w:cs="Arial"/>
          <w:b/>
          <w:bCs/>
          <w:color w:val="000000" w:themeColor="text1"/>
          <w:kern w:val="21"/>
          <w:sz w:val="28"/>
          <w:szCs w:val="28"/>
          <w14:textFill>
            <w14:solidFill>
              <w14:schemeClr w14:val="tx1"/>
            </w14:solidFill>
          </w14:textFill>
        </w:rPr>
        <w:t>甲方</w:t>
      </w:r>
      <w:r>
        <w:rPr>
          <w:rFonts w:hint="eastAsia" w:ascii="Times New Roman" w:hAnsi="Times New Roman" w:eastAsia="仿宋" w:cs="Arial"/>
          <w:b/>
          <w:bCs/>
          <w:color w:val="000000" w:themeColor="text1"/>
          <w:kern w:val="21"/>
          <w:sz w:val="28"/>
          <w:szCs w:val="28"/>
          <w14:textFill>
            <w14:solidFill>
              <w14:schemeClr w14:val="tx1"/>
            </w14:solidFill>
          </w14:textFill>
        </w:rPr>
        <w:t xml:space="preserve"> </w:t>
      </w:r>
    </w:p>
    <w:p w14:paraId="586546DB">
      <w:pPr>
        <w:adjustRightInd w:val="0"/>
        <w:snapToGrid w:val="0"/>
        <w:spacing w:line="360" w:lineRule="auto"/>
        <w:ind w:left="0" w:leftChars="0" w:firstLine="562" w:firstLineChars="201"/>
        <w:outlineLvl w:val="9"/>
        <w:rPr>
          <w:rFonts w:hint="default" w:ascii="Times New Roman" w:hAnsi="Times New Roman" w:eastAsia="仿宋" w:cs="Arial"/>
          <w:color w:val="000000" w:themeColor="text1"/>
          <w:kern w:val="21"/>
          <w:sz w:val="28"/>
          <w:szCs w:val="28"/>
          <w:lang w:eastAsia="zh-CN"/>
          <w14:textFill>
            <w14:solidFill>
              <w14:schemeClr w14:val="tx1"/>
            </w14:solidFill>
          </w14:textFill>
        </w:rPr>
      </w:pP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联系</w:t>
      </w:r>
      <w:r>
        <w:rPr>
          <w:rFonts w:hint="eastAsia" w:ascii="Times New Roman" w:hAnsi="Times New Roman" w:eastAsia="仿宋" w:cs="Arial"/>
          <w:color w:val="000000" w:themeColor="text1"/>
          <w:kern w:val="21"/>
          <w:sz w:val="28"/>
          <w:szCs w:val="28"/>
          <w14:textFill>
            <w14:solidFill>
              <w14:schemeClr w14:val="tx1"/>
            </w14:solidFill>
          </w14:textFill>
        </w:rPr>
        <w:t>地址：湖南省长沙县黄花镇大元路长沙黄花综合保税区综合大楼四楼</w:t>
      </w:r>
    </w:p>
    <w:p w14:paraId="2FE5616B">
      <w:pPr>
        <w:adjustRightInd w:val="0"/>
        <w:snapToGrid w:val="0"/>
        <w:spacing w:line="360" w:lineRule="auto"/>
        <w:ind w:left="0" w:leftChars="0" w:firstLine="562" w:firstLineChars="201"/>
        <w:jc w:val="left"/>
        <w:outlineLvl w:val="9"/>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邮编：410600    </w:t>
      </w:r>
    </w:p>
    <w:p w14:paraId="208F911D">
      <w:pPr>
        <w:adjustRightInd w:val="0"/>
        <w:snapToGrid w:val="0"/>
        <w:spacing w:line="360" w:lineRule="auto"/>
        <w:ind w:left="0" w:leftChars="0" w:firstLine="562" w:firstLineChars="201"/>
        <w:jc w:val="left"/>
        <w:outlineLvl w:val="9"/>
        <w:rPr>
          <w:rFonts w:hint="default" w:ascii="Times New Roman" w:hAnsi="Times New Roman" w:eastAsia="仿宋" w:cs="Arial"/>
          <w:color w:val="000000" w:themeColor="text1"/>
          <w:kern w:val="21"/>
          <w:sz w:val="28"/>
          <w:szCs w:val="28"/>
          <w:lang w:val="en-US"/>
          <w14:textFill>
            <w14:solidFill>
              <w14:schemeClr w14:val="tx1"/>
            </w14:solidFill>
          </w14:textFill>
        </w:rPr>
      </w:pP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联系</w:t>
      </w:r>
      <w:r>
        <w:rPr>
          <w:rFonts w:hint="eastAsia" w:ascii="Times New Roman" w:hAnsi="Times New Roman" w:eastAsia="仿宋" w:cs="Arial"/>
          <w:color w:val="000000" w:themeColor="text1"/>
          <w:kern w:val="21"/>
          <w:sz w:val="28"/>
          <w:szCs w:val="28"/>
          <w14:textFill>
            <w14:solidFill>
              <w14:schemeClr w14:val="tx1"/>
            </w14:solidFill>
          </w14:textFill>
        </w:rPr>
        <w:t>人：文智彬</w:t>
      </w:r>
    </w:p>
    <w:p w14:paraId="17165069">
      <w:pPr>
        <w:adjustRightInd w:val="0"/>
        <w:snapToGrid w:val="0"/>
        <w:spacing w:line="360" w:lineRule="auto"/>
        <w:ind w:left="0" w:leftChars="0" w:firstLine="562" w:firstLineChars="201"/>
        <w:outlineLvl w:val="9"/>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 xml:space="preserve">电话：0731-86881800              </w:t>
      </w:r>
    </w:p>
    <w:p w14:paraId="7638BFE3">
      <w:pPr>
        <w:adjustRightInd w:val="0"/>
        <w:snapToGrid w:val="0"/>
        <w:spacing w:line="360" w:lineRule="auto"/>
        <w:ind w:left="0" w:leftChars="0" w:firstLine="562" w:firstLineChars="201"/>
        <w:outlineLvl w:val="9"/>
        <w:rPr>
          <w:rFonts w:hint="default" w:ascii="Times New Roman" w:hAnsi="Times New Roman" w:eastAsia="仿宋" w:cs="Arial"/>
          <w:color w:val="000000" w:themeColor="text1"/>
          <w:kern w:val="21"/>
          <w:sz w:val="28"/>
          <w:szCs w:val="28"/>
          <w:lang w:val="en-US"/>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传真：</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0731-86881800</w:t>
      </w:r>
    </w:p>
    <w:p w14:paraId="0D47841F">
      <w:pPr>
        <w:adjustRightInd w:val="0"/>
        <w:snapToGrid w:val="0"/>
        <w:spacing w:line="360" w:lineRule="auto"/>
        <w:ind w:left="0" w:leftChars="0" w:firstLine="562" w:firstLineChars="201"/>
        <w:outlineLvl w:val="9"/>
        <w:rPr>
          <w:rFonts w:hint="default" w:ascii="Times New Roman" w:hAnsi="Times New Roman" w:eastAsia="仿宋" w:cs="Arial"/>
          <w:color w:val="000000" w:themeColor="text1"/>
          <w:kern w:val="21"/>
          <w:sz w:val="28"/>
          <w:szCs w:val="28"/>
          <w:u w:val="none"/>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电子邮箱：806497303@qq.com</w:t>
      </w:r>
    </w:p>
    <w:p w14:paraId="74D66ACE">
      <w:pPr>
        <w:adjustRightInd w:val="0"/>
        <w:snapToGrid w:val="0"/>
        <w:spacing w:line="360" w:lineRule="auto"/>
        <w:ind w:left="0" w:leftChars="0" w:firstLine="565" w:firstLineChars="201"/>
        <w:outlineLvl w:val="9"/>
        <w:rPr>
          <w:rFonts w:hint="default" w:ascii="Times New Roman" w:hAnsi="Times New Roman" w:eastAsia="仿宋" w:cs="Arial"/>
          <w:b/>
          <w:bCs/>
          <w:color w:val="000000" w:themeColor="text1"/>
          <w:kern w:val="21"/>
          <w:sz w:val="28"/>
          <w:szCs w:val="28"/>
          <w14:textFill>
            <w14:solidFill>
              <w14:schemeClr w14:val="tx1"/>
            </w14:solidFill>
          </w14:textFill>
        </w:rPr>
      </w:pPr>
      <w:r>
        <w:rPr>
          <w:rFonts w:hint="default" w:ascii="Times New Roman" w:hAnsi="Times New Roman" w:eastAsia="仿宋" w:cs="Arial"/>
          <w:b/>
          <w:bCs/>
          <w:color w:val="000000" w:themeColor="text1"/>
          <w:kern w:val="21"/>
          <w:sz w:val="28"/>
          <w:szCs w:val="28"/>
          <w14:textFill>
            <w14:solidFill>
              <w14:schemeClr w14:val="tx1"/>
            </w14:solidFill>
          </w14:textFill>
        </w:rPr>
        <w:t>乙方</w:t>
      </w:r>
    </w:p>
    <w:p w14:paraId="0AFB4260">
      <w:pPr>
        <w:adjustRightInd w:val="0"/>
        <w:snapToGrid w:val="0"/>
        <w:spacing w:line="360" w:lineRule="auto"/>
        <w:ind w:left="0" w:leftChars="0" w:firstLine="562" w:firstLineChars="201"/>
        <w:outlineLvl w:val="9"/>
        <w:rPr>
          <w:rFonts w:hint="eastAsia" w:ascii="Times New Roman" w:hAnsi="Times New Roman" w:eastAsia="仿宋" w:cs="Arial"/>
          <w:color w:val="000000" w:themeColor="text1"/>
          <w:kern w:val="21"/>
          <w:sz w:val="28"/>
          <w:szCs w:val="28"/>
          <w14:textFill>
            <w14:solidFill>
              <w14:schemeClr w14:val="tx1"/>
            </w14:solidFill>
          </w14:textFill>
        </w:rPr>
      </w:pP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联系</w:t>
      </w:r>
      <w:r>
        <w:rPr>
          <w:rFonts w:hint="eastAsia" w:ascii="Times New Roman" w:hAnsi="Times New Roman" w:eastAsia="仿宋" w:cs="Arial"/>
          <w:color w:val="000000" w:themeColor="text1"/>
          <w:kern w:val="21"/>
          <w:sz w:val="28"/>
          <w:szCs w:val="28"/>
          <w14:textFill>
            <w14:solidFill>
              <w14:schemeClr w14:val="tx1"/>
            </w14:solidFill>
          </w14:textFill>
        </w:rPr>
        <w:t>地址：湖南省长沙市岳麓区茶子山东路112号滨江金融中心T2栋（B座）23层</w:t>
      </w:r>
    </w:p>
    <w:p w14:paraId="13D59234">
      <w:pPr>
        <w:adjustRightInd w:val="0"/>
        <w:snapToGrid w:val="0"/>
        <w:spacing w:line="360" w:lineRule="auto"/>
        <w:ind w:left="0" w:leftChars="0" w:firstLine="562" w:firstLineChars="201"/>
        <w:jc w:val="left"/>
        <w:outlineLvl w:val="9"/>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邮编：410023</w:t>
      </w:r>
    </w:p>
    <w:p w14:paraId="61F20488">
      <w:pPr>
        <w:adjustRightInd w:val="0"/>
        <w:snapToGrid w:val="0"/>
        <w:spacing w:line="360" w:lineRule="auto"/>
        <w:ind w:left="0" w:leftChars="0" w:firstLine="562" w:firstLineChars="201"/>
        <w:jc w:val="left"/>
        <w:outlineLvl w:val="9"/>
        <w:rPr>
          <w:rFonts w:hint="eastAsia" w:ascii="Times New Roman" w:hAnsi="Times New Roman" w:eastAsia="仿宋" w:cs="Arial"/>
          <w:color w:val="000000" w:themeColor="text1"/>
          <w:kern w:val="21"/>
          <w:sz w:val="28"/>
          <w:szCs w:val="28"/>
          <w14:textFill>
            <w14:solidFill>
              <w14:schemeClr w14:val="tx1"/>
            </w14:solidFill>
          </w14:textFill>
        </w:rPr>
      </w:pPr>
      <w:r>
        <w:rPr>
          <w:rFonts w:hint="default" w:ascii="Times New Roman" w:hAnsi="Times New Roman" w:eastAsia="仿宋" w:cs="Arial"/>
          <w:color w:val="000000" w:themeColor="text1"/>
          <w:kern w:val="21"/>
          <w:sz w:val="28"/>
          <w:szCs w:val="28"/>
          <w:lang w:val="en-US" w:eastAsia="zh-CN"/>
          <w14:textFill>
            <w14:solidFill>
              <w14:schemeClr w14:val="tx1"/>
            </w14:solidFill>
          </w14:textFill>
        </w:rPr>
        <w:t>联系</w:t>
      </w:r>
      <w:r>
        <w:rPr>
          <w:rFonts w:hint="eastAsia" w:ascii="Times New Roman" w:hAnsi="Times New Roman" w:eastAsia="仿宋" w:cs="Arial"/>
          <w:color w:val="000000" w:themeColor="text1"/>
          <w:kern w:val="21"/>
          <w:sz w:val="28"/>
          <w:szCs w:val="28"/>
          <w14:textFill>
            <w14:solidFill>
              <w14:schemeClr w14:val="tx1"/>
            </w14:solidFill>
          </w14:textFill>
        </w:rPr>
        <w:t>人：</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柳小康</w:t>
      </w:r>
    </w:p>
    <w:p w14:paraId="33E9F38C">
      <w:pPr>
        <w:adjustRightInd w:val="0"/>
        <w:snapToGrid w:val="0"/>
        <w:spacing w:line="360" w:lineRule="auto"/>
        <w:ind w:left="0" w:leftChars="0" w:firstLine="562" w:firstLineChars="201"/>
        <w:outlineLvl w:val="9"/>
        <w:rPr>
          <w:rFonts w:hint="default" w:ascii="Times New Roman" w:hAnsi="Times New Roman" w:eastAsia="仿宋" w:cs="Arial"/>
          <w:color w:val="000000" w:themeColor="text1"/>
          <w:kern w:val="21"/>
          <w:sz w:val="28"/>
          <w:szCs w:val="28"/>
          <w:u w:val="none"/>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电话：13873212688</w:t>
      </w:r>
    </w:p>
    <w:p w14:paraId="3D44F2C7">
      <w:pPr>
        <w:adjustRightInd w:val="0"/>
        <w:snapToGrid w:val="0"/>
        <w:spacing w:line="360" w:lineRule="auto"/>
        <w:ind w:left="0" w:leftChars="0" w:firstLine="562" w:firstLineChars="201"/>
        <w:outlineLvl w:val="9"/>
        <w:rPr>
          <w:rFonts w:hint="eastAsia"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传真：0731-84779545</w:t>
      </w:r>
    </w:p>
    <w:p w14:paraId="2B090D94">
      <w:pPr>
        <w:adjustRightInd w:val="0"/>
        <w:snapToGrid w:val="0"/>
        <w:spacing w:line="360" w:lineRule="auto"/>
        <w:ind w:left="0" w:leftChars="0" w:firstLine="562" w:firstLineChars="201"/>
        <w:outlineLvl w:val="9"/>
        <w:rPr>
          <w:rFonts w:hint="default" w:ascii="Times New Roman" w:hAnsi="Times New Roman" w:eastAsia="仿宋" w:cs="Arial"/>
          <w:color w:val="000000" w:themeColor="text1"/>
          <w:kern w:val="21"/>
          <w:sz w:val="28"/>
          <w:szCs w:val="28"/>
          <w:u w:val="none"/>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电子邮箱：</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liuxiaokang@hnchasing.com</w:t>
      </w:r>
      <w:r>
        <w:rPr>
          <w:rFonts w:hint="default" w:ascii="Times New Roman" w:hAnsi="Times New Roman" w:eastAsia="仿宋" w:cs="Arial"/>
          <w:color w:val="000000" w:themeColor="text1"/>
          <w:kern w:val="21"/>
          <w:sz w:val="28"/>
          <w:szCs w:val="28"/>
          <w:u w:val="none"/>
          <w14:textFill>
            <w14:solidFill>
              <w14:schemeClr w14:val="tx1"/>
            </w14:solidFill>
          </w14:textFill>
        </w:rPr>
        <w:t xml:space="preserve"> </w:t>
      </w:r>
    </w:p>
    <w:p w14:paraId="00B5F2D1">
      <w:pPr>
        <w:adjustRightInd w:val="0"/>
        <w:snapToGrid w:val="0"/>
        <w:spacing w:line="360" w:lineRule="auto"/>
        <w:ind w:firstLine="562" w:firstLineChars="201"/>
        <w:outlineLvl w:val="9"/>
        <w:rPr>
          <w:rFonts w:ascii="Times New Roman" w:hAnsi="Times New Roman" w:eastAsia="仿宋" w:cs="Arial"/>
          <w:color w:val="000000" w:themeColor="text1"/>
          <w:kern w:val="21"/>
          <w:sz w:val="28"/>
          <w:szCs w:val="28"/>
          <w14:textFill>
            <w14:solidFill>
              <w14:schemeClr w14:val="tx1"/>
            </w14:solidFill>
          </w14:textFill>
        </w:rPr>
      </w:pPr>
      <w:r>
        <w:rPr>
          <w:rFonts w:hint="default" w:ascii="Times New Roman" w:hAnsi="Times New Roman" w:eastAsia="仿宋" w:cs="Arial"/>
          <w:color w:val="000000" w:themeColor="text1"/>
          <w:kern w:val="21"/>
          <w:sz w:val="28"/>
          <w:szCs w:val="28"/>
          <w14:textFill>
            <w14:solidFill>
              <w14:schemeClr w14:val="tx1"/>
            </w14:solidFill>
          </w14:textFill>
        </w:rPr>
        <w:t>上述送达信息如有变更，一方将在相关送达信息变更之日前</w:t>
      </w:r>
      <w:r>
        <w:rPr>
          <w:rFonts w:ascii="Times New Roman" w:hAnsi="Times New Roman" w:eastAsia="仿宋" w:cs="Arial"/>
          <w:color w:val="000000" w:themeColor="text1"/>
          <w:kern w:val="21"/>
          <w:sz w:val="28"/>
          <w:szCs w:val="28"/>
          <w14:textFill>
            <w14:solidFill>
              <w14:schemeClr w14:val="tx1"/>
            </w14:solidFill>
          </w14:textFill>
        </w:rPr>
        <w:t>3</w:t>
      </w:r>
      <w:r>
        <w:rPr>
          <w:rFonts w:hint="default" w:ascii="Times New Roman" w:hAnsi="Times New Roman" w:eastAsia="仿宋" w:cs="Arial"/>
          <w:color w:val="000000" w:themeColor="text1"/>
          <w:kern w:val="21"/>
          <w:sz w:val="28"/>
          <w:szCs w:val="28"/>
          <w14:textFill>
            <w14:solidFill>
              <w14:schemeClr w14:val="tx1"/>
            </w14:solidFill>
          </w14:textFill>
        </w:rPr>
        <w:t>个工作日以书面方式通知另一方。</w:t>
      </w:r>
    </w:p>
    <w:p w14:paraId="1FD6B19B">
      <w:pPr>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1</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Times New Roman"/>
          <w:color w:val="000000" w:themeColor="text1"/>
          <w:kern w:val="21"/>
          <w:sz w:val="28"/>
          <w:szCs w:val="28"/>
          <w14:textFill>
            <w14:solidFill>
              <w14:schemeClr w14:val="tx1"/>
            </w14:solidFill>
          </w14:textFill>
        </w:rPr>
        <w:t>传真和电子邮件的发送</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成功</w:t>
      </w:r>
      <w:r>
        <w:rPr>
          <w:rFonts w:ascii="Times New Roman" w:hAnsi="Times New Roman" w:eastAsia="仿宋" w:cs="Times New Roman"/>
          <w:color w:val="000000" w:themeColor="text1"/>
          <w:kern w:val="21"/>
          <w:sz w:val="28"/>
          <w:szCs w:val="28"/>
          <w14:textFill>
            <w14:solidFill>
              <w14:schemeClr w14:val="tx1"/>
            </w14:solidFill>
          </w14:textFill>
        </w:rPr>
        <w:t>时间视为送达时间，但发送日为法定节假日时，除非三方约定</w:t>
      </w:r>
      <w:r>
        <w:rPr>
          <w:rFonts w:hint="eastAsia" w:ascii="Times New Roman" w:hAnsi="Times New Roman" w:eastAsia="仿宋" w:cs="Arial"/>
          <w:color w:val="000000" w:themeColor="text1"/>
          <w:kern w:val="21"/>
          <w:sz w:val="28"/>
          <w:szCs w:val="28"/>
          <w14:textFill>
            <w14:solidFill>
              <w14:schemeClr w14:val="tx1"/>
            </w14:solidFill>
          </w14:textFill>
        </w:rPr>
        <w:t>在该节假日发送文件，送达时间为法定节假日结束后的第一个工作日的上午</w:t>
      </w:r>
      <w:r>
        <w:rPr>
          <w:rFonts w:ascii="Times New Roman" w:hAnsi="Times New Roman" w:eastAsia="仿宋" w:cs="Arial"/>
          <w:color w:val="000000" w:themeColor="text1"/>
          <w:kern w:val="21"/>
          <w:sz w:val="28"/>
          <w:szCs w:val="28"/>
          <w14:textFill>
            <w14:solidFill>
              <w14:schemeClr w14:val="tx1"/>
            </w14:solidFill>
          </w14:textFill>
        </w:rPr>
        <w:t>8</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00</w:t>
      </w:r>
      <w:r>
        <w:rPr>
          <w:rFonts w:hint="eastAsia" w:ascii="Times New Roman" w:hAnsi="Times New Roman" w:eastAsia="仿宋" w:cs="Arial"/>
          <w:color w:val="000000" w:themeColor="text1"/>
          <w:kern w:val="21"/>
          <w:sz w:val="28"/>
          <w:szCs w:val="28"/>
          <w14:textFill>
            <w14:solidFill>
              <w14:schemeClr w14:val="tx1"/>
            </w14:solidFill>
          </w14:textFill>
        </w:rPr>
        <w:t>；</w:t>
      </w:r>
    </w:p>
    <w:p w14:paraId="438279CD">
      <w:pPr>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（2）</w:t>
      </w:r>
      <w:r>
        <w:rPr>
          <w:rFonts w:ascii="Times New Roman" w:hAnsi="Times New Roman" w:eastAsia="仿宋" w:cs="Times New Roman"/>
          <w:color w:val="000000" w:themeColor="text1"/>
          <w:kern w:val="21"/>
          <w:sz w:val="28"/>
          <w:szCs w:val="28"/>
          <w14:textFill>
            <w14:solidFill>
              <w14:schemeClr w14:val="tx1"/>
            </w14:solidFill>
          </w14:textFill>
        </w:rPr>
        <w:t>专人递送于送达收件人收发室或任何类似机构的时间为送达时间；</w:t>
      </w:r>
    </w:p>
    <w:p w14:paraId="51C8B380">
      <w:pPr>
        <w:spacing w:line="360" w:lineRule="auto"/>
        <w:ind w:firstLine="560" w:firstLineChars="200"/>
        <w:rPr>
          <w:rFonts w:ascii="Times New Roman" w:hAnsi="Times New Roman" w:eastAsia="仿宋" w:cs="Times New Roman"/>
          <w:color w:val="000000" w:themeColor="text1"/>
          <w:kern w:val="21"/>
          <w:sz w:val="28"/>
          <w:szCs w:val="28"/>
          <w14:textFill>
            <w14:solidFill>
              <w14:schemeClr w14:val="tx1"/>
            </w14:solidFill>
          </w14:textFill>
        </w:rPr>
      </w:pP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Arial"/>
          <w:color w:val="000000" w:themeColor="text1"/>
          <w:kern w:val="21"/>
          <w:sz w:val="28"/>
          <w:szCs w:val="28"/>
          <w14:textFill>
            <w14:solidFill>
              <w14:schemeClr w14:val="tx1"/>
            </w14:solidFill>
          </w14:textFill>
        </w:rPr>
        <w:t>3</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ascii="Times New Roman" w:hAnsi="Times New Roman" w:eastAsia="仿宋" w:cs="Times New Roman"/>
          <w:color w:val="000000" w:themeColor="text1"/>
          <w:kern w:val="21"/>
          <w:sz w:val="28"/>
          <w:szCs w:val="28"/>
          <w14:textFill>
            <w14:solidFill>
              <w14:schemeClr w14:val="tx1"/>
            </w14:solidFill>
          </w14:textFill>
        </w:rPr>
        <w:t>邮寄</w:t>
      </w:r>
      <w:r>
        <w:rPr>
          <w:rFonts w:hint="eastAsia" w:ascii="Times New Roman" w:hAnsi="Times New Roman" w:eastAsia="仿宋" w:cs="Times New Roman"/>
          <w:color w:val="000000" w:themeColor="text1"/>
          <w:kern w:val="21"/>
          <w:sz w:val="28"/>
          <w:szCs w:val="28"/>
          <w:lang w:val="en-US" w:eastAsia="zh-CN"/>
          <w14:textFill>
            <w14:solidFill>
              <w14:schemeClr w14:val="tx1"/>
            </w14:solidFill>
          </w14:textFill>
        </w:rPr>
        <w:t>送达</w:t>
      </w:r>
      <w:r>
        <w:rPr>
          <w:rFonts w:ascii="Times New Roman" w:hAnsi="Times New Roman" w:eastAsia="仿宋" w:cs="Times New Roman"/>
          <w:color w:val="000000" w:themeColor="text1"/>
          <w:kern w:val="21"/>
          <w:sz w:val="28"/>
          <w:szCs w:val="28"/>
          <w14:textFill>
            <w14:solidFill>
              <w14:schemeClr w14:val="tx1"/>
            </w14:solidFill>
          </w14:textFill>
        </w:rPr>
        <w:t>于邮件收寄局邮戳所载</w:t>
      </w:r>
      <w:r>
        <w:rPr>
          <w:rFonts w:hint="eastAsia" w:ascii="Times New Roman" w:hAnsi="Times New Roman" w:eastAsia="仿宋" w:cs="仿宋"/>
          <w:color w:val="000000" w:themeColor="text1"/>
          <w:sz w:val="28"/>
          <w:szCs w:val="28"/>
          <w:lang w:val="en-US" w:eastAsia="zh-CN"/>
          <w14:textFill>
            <w14:solidFill>
              <w14:schemeClr w14:val="tx1"/>
            </w14:solidFill>
          </w14:textFill>
        </w:rPr>
        <w:t>收件人或代收人签收时间为送达时间；未及时收件的，邮件发送</w:t>
      </w:r>
      <w:r>
        <w:rPr>
          <w:rFonts w:ascii="Times New Roman" w:hAnsi="Times New Roman" w:eastAsia="仿宋" w:cs="Times New Roman"/>
          <w:color w:val="000000" w:themeColor="text1"/>
          <w:kern w:val="21"/>
          <w:sz w:val="28"/>
          <w:szCs w:val="28"/>
          <w14:textFill>
            <w14:solidFill>
              <w14:schemeClr w14:val="tx1"/>
            </w14:solidFill>
          </w14:textFill>
        </w:rPr>
        <w:t>日期之后的第七日视为送达时间。</w:t>
      </w:r>
    </w:p>
    <w:p w14:paraId="2E1AA27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39C64B43">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45" w:name="_Toc326697857"/>
      <w:bookmarkStart w:id="46" w:name="_Toc8742"/>
      <w:r>
        <w:rPr>
          <w:rFonts w:hint="eastAsia" w:ascii="Times New Roman" w:hAnsi="Times New Roman" w:eastAsia="仿宋"/>
          <w:color w:val="000000" w:themeColor="text1"/>
          <w:szCs w:val="28"/>
          <w14:textFill>
            <w14:solidFill>
              <w14:schemeClr w14:val="tx1"/>
            </w14:solidFill>
          </w14:textFill>
        </w:rPr>
        <w:t>第二十一条  文本和效力</w:t>
      </w:r>
      <w:bookmarkEnd w:id="45"/>
      <w:bookmarkEnd w:id="46"/>
    </w:p>
    <w:p w14:paraId="5F45A8FF">
      <w:pPr>
        <w:adjustRightInd w:val="0"/>
        <w:snapToGrid w:val="0"/>
        <w:spacing w:line="360" w:lineRule="auto"/>
        <w:ind w:firstLine="562" w:firstLineChars="201"/>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本协议由各方法定代表人或其授权代表签署并加盖公章后正式生效。</w:t>
      </w:r>
    </w:p>
    <w:p w14:paraId="6E7752C1">
      <w:pPr>
        <w:adjustRightInd w:val="0"/>
        <w:snapToGrid w:val="0"/>
        <w:spacing w:line="360" w:lineRule="auto"/>
        <w:ind w:firstLine="562" w:firstLineChars="201"/>
        <w:rPr>
          <w:rFonts w:ascii="Times New Roman" w:hAnsi="Times New Roman" w:eastAsia="仿宋" w:cs="Arial"/>
          <w:color w:val="000000" w:themeColor="text1"/>
          <w:kern w:val="21"/>
          <w:sz w:val="28"/>
          <w:szCs w:val="28"/>
          <w14:textFill>
            <w14:solidFill>
              <w14:schemeClr w14:val="tx1"/>
            </w14:solidFill>
          </w14:textFill>
        </w:rPr>
      </w:pPr>
    </w:p>
    <w:p w14:paraId="376B8F51">
      <w:pPr>
        <w:pStyle w:val="2"/>
        <w:adjustRightInd w:val="0"/>
        <w:snapToGrid w:val="0"/>
        <w:spacing w:before="156" w:after="156"/>
        <w:ind w:left="420" w:leftChars="200" w:firstLine="0" w:firstLineChars="0"/>
        <w:rPr>
          <w:rFonts w:ascii="Times New Roman" w:hAnsi="Times New Roman" w:eastAsia="仿宋"/>
          <w:color w:val="000000" w:themeColor="text1"/>
          <w:szCs w:val="28"/>
          <w14:textFill>
            <w14:solidFill>
              <w14:schemeClr w14:val="tx1"/>
            </w14:solidFill>
          </w14:textFill>
        </w:rPr>
      </w:pPr>
      <w:bookmarkStart w:id="47" w:name="_Toc19905"/>
      <w:bookmarkStart w:id="48" w:name="_Toc326697858"/>
      <w:r>
        <w:rPr>
          <w:rFonts w:hint="eastAsia" w:ascii="Times New Roman" w:hAnsi="Times New Roman" w:eastAsia="仿宋"/>
          <w:color w:val="000000" w:themeColor="text1"/>
          <w:szCs w:val="28"/>
          <w14:textFill>
            <w14:solidFill>
              <w14:schemeClr w14:val="tx1"/>
            </w14:solidFill>
          </w14:textFill>
        </w:rPr>
        <w:t>第二十二条  附则</w:t>
      </w:r>
      <w:bookmarkEnd w:id="47"/>
      <w:bookmarkEnd w:id="48"/>
    </w:p>
    <w:p w14:paraId="439FFBC4">
      <w:pPr>
        <w:spacing w:line="360" w:lineRule="auto"/>
        <w:ind w:firstLine="560" w:firstLineChars="200"/>
        <w:jc w:val="left"/>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本协议正本一式</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陆</w:t>
      </w:r>
      <w:r>
        <w:rPr>
          <w:rFonts w:ascii="Times New Roman" w:hAnsi="Times New Roman" w:eastAsia="仿宋" w:cs="Arial"/>
          <w:color w:val="000000" w:themeColor="text1"/>
          <w:kern w:val="21"/>
          <w:sz w:val="28"/>
          <w:szCs w:val="28"/>
          <w14:textFill>
            <w14:solidFill>
              <w14:schemeClr w14:val="tx1"/>
            </w14:solidFill>
          </w14:textFill>
        </w:rPr>
        <w:t>份，</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每份</w:t>
      </w:r>
      <w:r>
        <w:rPr>
          <w:rFonts w:ascii="Times New Roman" w:hAnsi="Times New Roman" w:eastAsia="仿宋" w:cs="Arial"/>
          <w:color w:val="000000" w:themeColor="text1"/>
          <w:kern w:val="21"/>
          <w:sz w:val="28"/>
          <w:szCs w:val="28"/>
          <w14:textFill>
            <w14:solidFill>
              <w14:schemeClr w14:val="tx1"/>
            </w14:solidFill>
          </w14:textFill>
        </w:rPr>
        <w:t>具有同等法律效力，甲乙双方各执</w:t>
      </w:r>
      <w:r>
        <w:rPr>
          <w:rFonts w:hint="default" w:ascii="Times New Roman" w:hAnsi="Times New Roman" w:eastAsia="仿宋" w:cs="Times New Roman"/>
          <w:b w:val="0"/>
          <w:kern w:val="21"/>
          <w:sz w:val="28"/>
          <w:szCs w:val="28"/>
          <w:lang w:val="en-US" w:eastAsia="zh-CN" w:bidi="ar"/>
        </w:rPr>
        <w:t>贰</w:t>
      </w:r>
      <w:r>
        <w:rPr>
          <w:rFonts w:ascii="Times New Roman" w:hAnsi="Times New Roman" w:eastAsia="仿宋" w:cs="Arial"/>
          <w:color w:val="000000" w:themeColor="text1"/>
          <w:kern w:val="21"/>
          <w:sz w:val="28"/>
          <w:szCs w:val="28"/>
          <w14:textFill>
            <w14:solidFill>
              <w14:schemeClr w14:val="tx1"/>
            </w14:solidFill>
          </w14:textFill>
        </w:rPr>
        <w:t>份，其余作为申报材料上报</w:t>
      </w:r>
      <w:r>
        <w:rPr>
          <w:rFonts w:hint="eastAsia" w:ascii="Times New Roman" w:hAnsi="Times New Roman" w:eastAsia="仿宋" w:cs="Arial"/>
          <w:color w:val="000000" w:themeColor="text1"/>
          <w:kern w:val="21"/>
          <w:sz w:val="28"/>
          <w:szCs w:val="28"/>
          <w14:textFill>
            <w14:solidFill>
              <w14:schemeClr w14:val="tx1"/>
            </w14:solidFill>
          </w14:textFill>
        </w:rPr>
        <w:t>相关监管机构</w:t>
      </w:r>
      <w:r>
        <w:rPr>
          <w:rFonts w:ascii="Times New Roman" w:hAnsi="Times New Roman" w:eastAsia="仿宋" w:cs="Arial"/>
          <w:color w:val="000000" w:themeColor="text1"/>
          <w:kern w:val="21"/>
          <w:sz w:val="28"/>
          <w:szCs w:val="28"/>
          <w14:textFill>
            <w14:solidFill>
              <w14:schemeClr w14:val="tx1"/>
            </w14:solidFill>
          </w14:textFill>
        </w:rPr>
        <w:t>。</w:t>
      </w:r>
    </w:p>
    <w:p w14:paraId="298BACBE">
      <w:pPr>
        <w:spacing w:line="360" w:lineRule="auto"/>
        <w:ind w:firstLine="560" w:firstLineChars="200"/>
        <w:jc w:val="left"/>
        <w:rPr>
          <w:rFonts w:ascii="Times New Roman" w:hAnsi="Times New Roman" w:eastAsia="仿宋" w:cs="Arial"/>
          <w:color w:val="000000" w:themeColor="text1"/>
          <w:kern w:val="21"/>
          <w:sz w:val="28"/>
          <w:szCs w:val="28"/>
          <w14:textFill>
            <w14:solidFill>
              <w14:schemeClr w14:val="tx1"/>
            </w14:solidFill>
          </w14:textFill>
        </w:rPr>
      </w:pPr>
    </w:p>
    <w:p w14:paraId="321D9863">
      <w:pPr>
        <w:spacing w:line="360" w:lineRule="auto"/>
        <w:ind w:firstLine="560" w:firstLineChars="200"/>
        <w:jc w:val="left"/>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（本页以下无正文）</w:t>
      </w:r>
    </w:p>
    <w:p w14:paraId="0944749E">
      <w:pPr>
        <w:adjustRightInd w:val="0"/>
        <w:snapToGrid w:val="0"/>
        <w:spacing w:line="360" w:lineRule="auto"/>
        <w:ind w:firstLine="0" w:firstLineChars="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br w:type="page"/>
      </w:r>
      <w:r>
        <w:rPr>
          <w:rFonts w:ascii="Times New Roman" w:hAnsi="Times New Roman" w:eastAsia="仿宋" w:cs="Arial"/>
          <w:color w:val="000000" w:themeColor="text1"/>
          <w:kern w:val="21"/>
          <w:sz w:val="28"/>
          <w:szCs w:val="28"/>
          <w14:textFill>
            <w14:solidFill>
              <w14:schemeClr w14:val="tx1"/>
            </w14:solidFill>
          </w14:textFill>
        </w:rPr>
        <w:t xml:space="preserve"> （本页无正文，为《</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长沙综保投资有限公司2026年面向专业投资者非公开发行一带一路公司债券</w:t>
      </w:r>
      <w:r>
        <w:rPr>
          <w:rFonts w:hint="eastAsia" w:ascii="Times New Roman" w:hAnsi="Times New Roman" w:eastAsia="仿宋" w:cs="Arial"/>
          <w:color w:val="000000" w:themeColor="text1"/>
          <w:kern w:val="21"/>
          <w:sz w:val="28"/>
          <w:szCs w:val="28"/>
          <w14:textFill>
            <w14:solidFill>
              <w14:schemeClr w14:val="tx1"/>
            </w14:solidFill>
          </w14:textFill>
        </w:rPr>
        <w:t>之承销协议</w:t>
      </w:r>
      <w:r>
        <w:rPr>
          <w:rFonts w:ascii="Times New Roman" w:hAnsi="Times New Roman" w:eastAsia="仿宋" w:cs="Arial"/>
          <w:color w:val="000000" w:themeColor="text1"/>
          <w:kern w:val="21"/>
          <w:sz w:val="28"/>
          <w:szCs w:val="28"/>
          <w14:textFill>
            <w14:solidFill>
              <w14:schemeClr w14:val="tx1"/>
            </w14:solidFill>
          </w14:textFill>
        </w:rPr>
        <w:t>》之签署页）</w:t>
      </w:r>
    </w:p>
    <w:p w14:paraId="6C380B1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5A41A8E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03D7388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40CB1E6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4699A78">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2425CAC6">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04D10FE6">
      <w:pPr>
        <w:adjustRightInd w:val="0"/>
        <w:snapToGrid w:val="0"/>
        <w:spacing w:line="360" w:lineRule="auto"/>
        <w:ind w:firstLine="560" w:firstLineChars="200"/>
        <w:rPr>
          <w:rFonts w:hint="eastAsia" w:ascii="Times New Roman" w:hAnsi="Times New Roman" w:eastAsia="仿宋" w:cs="Arial"/>
          <w:color w:val="000000" w:themeColor="text1"/>
          <w:kern w:val="21"/>
          <w:sz w:val="28"/>
          <w:szCs w:val="28"/>
          <w:lang w:eastAsia="zh-CN"/>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甲方</w:t>
      </w:r>
      <w:r>
        <w:rPr>
          <w:rFonts w:hint="eastAsia" w:ascii="Times New Roman" w:hAnsi="Times New Roman" w:eastAsia="仿宋" w:cs="Arial"/>
          <w:color w:val="000000" w:themeColor="text1"/>
          <w:kern w:val="21"/>
          <w:sz w:val="28"/>
          <w:szCs w:val="28"/>
          <w14:textFill>
            <w14:solidFill>
              <w14:schemeClr w14:val="tx1"/>
            </w14:solidFill>
          </w14:textFill>
        </w:rPr>
        <w:t>（发行人）</w:t>
      </w:r>
      <w:r>
        <w:rPr>
          <w:rFonts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w:t>
      </w:r>
    </w:p>
    <w:p w14:paraId="4CB5435A">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7F86045B">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60C7275D">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417E5BA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 xml:space="preserve">法定代表人（或授权代表）：            </w:t>
      </w:r>
    </w:p>
    <w:p w14:paraId="09C55F42">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3D6C073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7685B1A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default" w:ascii="Times New Roman" w:hAnsi="Times New Roman" w:eastAsia="仿宋" w:cs="Arial"/>
          <w:color w:val="000000" w:themeColor="text1"/>
          <w:kern w:val="21"/>
          <w:sz w:val="28"/>
          <w:szCs w:val="28"/>
          <w14:textFill>
            <w14:solidFill>
              <w14:schemeClr w14:val="tx1"/>
            </w14:solidFill>
          </w14:textFill>
        </w:rPr>
        <w:t>签署日期：</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ascii="Times New Roman" w:hAnsi="Times New Roman" w:eastAsia="仿宋" w:cs="Arial"/>
          <w:color w:val="000000" w:themeColor="text1"/>
          <w:kern w:val="21"/>
          <w:sz w:val="28"/>
          <w:szCs w:val="28"/>
          <w14:textFill>
            <w14:solidFill>
              <w14:schemeClr w14:val="tx1"/>
            </w14:solidFill>
          </w14:textFill>
        </w:rPr>
        <w:t>年     月    日</w:t>
      </w:r>
    </w:p>
    <w:p w14:paraId="5906599C">
      <w:pPr>
        <w:adjustRightInd w:val="0"/>
        <w:snapToGrid w:val="0"/>
        <w:spacing w:line="360" w:lineRule="auto"/>
        <w:ind w:left="700" w:hanging="700" w:hangingChars="250"/>
        <w:rPr>
          <w:rFonts w:ascii="Times New Roman" w:hAnsi="Times New Roman" w:eastAsia="仿宋" w:cs="Arial"/>
          <w:color w:val="000000" w:themeColor="text1"/>
          <w:kern w:val="21"/>
          <w:sz w:val="28"/>
          <w:szCs w:val="28"/>
          <w14:textFill>
            <w14:solidFill>
              <w14:schemeClr w14:val="tx1"/>
            </w14:solidFill>
          </w14:textFill>
        </w:rPr>
      </w:pPr>
    </w:p>
    <w:p w14:paraId="5292A5F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62793277">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7AB20DC1">
      <w:pPr>
        <w:adjustRightInd w:val="0"/>
        <w:snapToGrid w:val="0"/>
        <w:spacing w:line="360" w:lineRule="auto"/>
        <w:ind w:firstLine="0" w:firstLineChars="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br w:type="page"/>
      </w:r>
      <w:r>
        <w:rPr>
          <w:rFonts w:ascii="Times New Roman" w:hAnsi="Times New Roman" w:eastAsia="仿宋" w:cs="Arial"/>
          <w:color w:val="000000" w:themeColor="text1"/>
          <w:kern w:val="21"/>
          <w:sz w:val="28"/>
          <w:szCs w:val="28"/>
          <w14:textFill>
            <w14:solidFill>
              <w14:schemeClr w14:val="tx1"/>
            </w14:solidFill>
          </w14:textFill>
        </w:rPr>
        <w:t>（本页无正文，为</w:t>
      </w:r>
      <w:r>
        <w:rPr>
          <w:rFonts w:hint="eastAsia"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lang w:eastAsia="zh-CN"/>
          <w14:textFill>
            <w14:solidFill>
              <w14:schemeClr w14:val="tx1"/>
            </w14:solidFill>
          </w14:textFill>
        </w:rPr>
        <w:t>长沙综保投资有限公司2026年面向专业投资者非公开发行一带一路公司债券</w:t>
      </w:r>
      <w:r>
        <w:rPr>
          <w:rFonts w:hint="eastAsia" w:ascii="Times New Roman" w:hAnsi="Times New Roman" w:eastAsia="仿宋" w:cs="Arial"/>
          <w:color w:val="000000" w:themeColor="text1"/>
          <w:kern w:val="21"/>
          <w:sz w:val="28"/>
          <w:szCs w:val="28"/>
          <w14:textFill>
            <w14:solidFill>
              <w14:schemeClr w14:val="tx1"/>
            </w14:solidFill>
          </w14:textFill>
        </w:rPr>
        <w:t>之承销协议</w:t>
      </w:r>
      <w:r>
        <w:rPr>
          <w:rFonts w:ascii="Times New Roman" w:hAnsi="Times New Roman" w:eastAsia="仿宋" w:cs="Arial"/>
          <w:color w:val="000000" w:themeColor="text1"/>
          <w:kern w:val="21"/>
          <w:sz w:val="28"/>
          <w:szCs w:val="28"/>
          <w14:textFill>
            <w14:solidFill>
              <w14:schemeClr w14:val="tx1"/>
            </w14:solidFill>
          </w14:textFill>
        </w:rPr>
        <w:t>》之签署页）</w:t>
      </w:r>
    </w:p>
    <w:p w14:paraId="0BCECD2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4D8F9F8C">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9D25FB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31BE724D">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5417C9C2">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3688B05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6E368BC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乙方</w:t>
      </w:r>
      <w:r>
        <w:rPr>
          <w:rFonts w:hint="eastAsia" w:ascii="Times New Roman" w:hAnsi="Times New Roman" w:eastAsia="仿宋" w:cs="Arial"/>
          <w:color w:val="000000" w:themeColor="text1"/>
          <w:kern w:val="21"/>
          <w:sz w:val="28"/>
          <w:szCs w:val="28"/>
          <w14:textFill>
            <w14:solidFill>
              <w14:schemeClr w14:val="tx1"/>
            </w14:solidFill>
          </w14:textFill>
        </w:rPr>
        <w:t>（承销商）</w:t>
      </w:r>
      <w:r>
        <w:rPr>
          <w:rFonts w:ascii="Times New Roman" w:hAnsi="Times New Roman" w:eastAsia="仿宋" w:cs="Arial"/>
          <w:color w:val="000000" w:themeColor="text1"/>
          <w:kern w:val="21"/>
          <w:sz w:val="28"/>
          <w:szCs w:val="28"/>
          <w14:textFill>
            <w14:solidFill>
              <w14:schemeClr w14:val="tx1"/>
            </w14:solidFill>
          </w14:textFill>
        </w:rPr>
        <w:t>：</w:t>
      </w:r>
      <w:r>
        <w:rPr>
          <w:rFonts w:hint="eastAsia" w:ascii="Times New Roman" w:hAnsi="Times New Roman" w:eastAsia="仿宋" w:cs="Arial"/>
          <w:color w:val="000000" w:themeColor="text1"/>
          <w:kern w:val="21"/>
          <w:sz w:val="28"/>
          <w:szCs w:val="28"/>
          <w14:textFill>
            <w14:solidFill>
              <w14:schemeClr w14:val="tx1"/>
            </w14:solidFill>
          </w14:textFill>
        </w:rPr>
        <w:t>财信证券股份有限公司</w:t>
      </w:r>
    </w:p>
    <w:p w14:paraId="2AF32A63">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7A30F459">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1A00D3CB">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7B2FC801">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ascii="Times New Roman" w:hAnsi="Times New Roman" w:eastAsia="仿宋" w:cs="Arial"/>
          <w:color w:val="000000" w:themeColor="text1"/>
          <w:kern w:val="21"/>
          <w:sz w:val="28"/>
          <w:szCs w:val="28"/>
          <w14:textFill>
            <w14:solidFill>
              <w14:schemeClr w14:val="tx1"/>
            </w14:solidFill>
          </w14:textFill>
        </w:rPr>
        <w:t>法定代表人（或授权代表）：</w:t>
      </w:r>
    </w:p>
    <w:p w14:paraId="5A1F3AB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5E70D2FE">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444527E5">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r>
        <w:rPr>
          <w:rFonts w:hint="eastAsia" w:ascii="Times New Roman" w:hAnsi="Times New Roman" w:eastAsia="仿宋" w:cs="仿宋"/>
          <w:color w:val="000000" w:themeColor="text1"/>
          <w:sz w:val="28"/>
          <w:szCs w:val="28"/>
          <w14:textFill>
            <w14:solidFill>
              <w14:schemeClr w14:val="tx1"/>
            </w14:solidFill>
          </w14:textFill>
        </w:rPr>
        <w:t>签署日期：</w:t>
      </w:r>
      <w:r>
        <w:rPr>
          <w:rFonts w:hint="eastAsia" w:ascii="Times New Roman" w:hAnsi="Times New Roman" w:eastAsia="仿宋" w:cs="Arial"/>
          <w:color w:val="000000" w:themeColor="text1"/>
          <w:kern w:val="21"/>
          <w:sz w:val="28"/>
          <w:szCs w:val="28"/>
          <w14:textFill>
            <w14:solidFill>
              <w14:schemeClr w14:val="tx1"/>
            </w14:solidFill>
          </w14:textFill>
        </w:rPr>
        <w:t xml:space="preserve">    </w:t>
      </w:r>
      <w:r>
        <w:rPr>
          <w:rFonts w:hint="eastAsia" w:ascii="Times New Roman" w:hAnsi="Times New Roman" w:eastAsia="仿宋" w:cs="Arial"/>
          <w:color w:val="000000" w:themeColor="text1"/>
          <w:kern w:val="21"/>
          <w:sz w:val="28"/>
          <w:szCs w:val="28"/>
          <w:lang w:val="en-US" w:eastAsia="zh-CN"/>
          <w14:textFill>
            <w14:solidFill>
              <w14:schemeClr w14:val="tx1"/>
            </w14:solidFill>
          </w14:textFill>
        </w:rPr>
        <w:t xml:space="preserve">  </w:t>
      </w:r>
      <w:r>
        <w:rPr>
          <w:rFonts w:ascii="Times New Roman" w:hAnsi="Times New Roman" w:eastAsia="仿宋" w:cs="Arial"/>
          <w:color w:val="000000" w:themeColor="text1"/>
          <w:kern w:val="21"/>
          <w:sz w:val="28"/>
          <w:szCs w:val="28"/>
          <w14:textFill>
            <w14:solidFill>
              <w14:schemeClr w14:val="tx1"/>
            </w14:solidFill>
          </w14:textFill>
        </w:rPr>
        <w:t>年     月    日</w:t>
      </w:r>
    </w:p>
    <w:p w14:paraId="58D0335E">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663D2E12">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23D35AC0">
      <w:pPr>
        <w:adjustRightInd w:val="0"/>
        <w:snapToGrid w:val="0"/>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5C866C53">
      <w:pPr>
        <w:spacing w:line="360" w:lineRule="auto"/>
        <w:ind w:firstLine="560" w:firstLineChars="200"/>
        <w:rPr>
          <w:rFonts w:ascii="Times New Roman" w:hAnsi="Times New Roman" w:eastAsia="仿宋" w:cs="Arial"/>
          <w:color w:val="000000" w:themeColor="text1"/>
          <w:kern w:val="21"/>
          <w:sz w:val="28"/>
          <w:szCs w:val="28"/>
          <w14:textFill>
            <w14:solidFill>
              <w14:schemeClr w14:val="tx1"/>
            </w14:solidFill>
          </w14:textFill>
        </w:rPr>
      </w:pPr>
    </w:p>
    <w:p w14:paraId="58BF92F7">
      <w:pPr>
        <w:spacing w:line="500" w:lineRule="exact"/>
        <w:ind w:firstLine="0" w:firstLineChars="0"/>
        <w:jc w:val="left"/>
        <w:rPr>
          <w:rFonts w:hint="default" w:ascii="Times New Roman" w:hAnsi="Times New Roman" w:eastAsia="仿宋"/>
          <w:color w:val="000000" w:themeColor="text1"/>
          <w:sz w:val="28"/>
          <w:szCs w:val="32"/>
          <w:lang w:val="en-US" w:eastAsia="zh-CN"/>
          <w14:textFill>
            <w14:solidFill>
              <w14:schemeClr w14:val="tx1"/>
            </w14:solidFill>
          </w14:textFill>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90E8C">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A03AF">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CFA03AF">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2B5B83"/>
    <w:rsid w:val="00014124"/>
    <w:rsid w:val="00032E4D"/>
    <w:rsid w:val="000B3DCE"/>
    <w:rsid w:val="000B4493"/>
    <w:rsid w:val="000B6F74"/>
    <w:rsid w:val="000E2F4D"/>
    <w:rsid w:val="000F3DE2"/>
    <w:rsid w:val="0015761B"/>
    <w:rsid w:val="00177ADB"/>
    <w:rsid w:val="001B039F"/>
    <w:rsid w:val="001B07B4"/>
    <w:rsid w:val="001D4AFC"/>
    <w:rsid w:val="001F5444"/>
    <w:rsid w:val="002452DE"/>
    <w:rsid w:val="0027068F"/>
    <w:rsid w:val="002B5B83"/>
    <w:rsid w:val="002D4D42"/>
    <w:rsid w:val="002F2EFC"/>
    <w:rsid w:val="00311524"/>
    <w:rsid w:val="00323593"/>
    <w:rsid w:val="00337BB1"/>
    <w:rsid w:val="0035778D"/>
    <w:rsid w:val="003605EC"/>
    <w:rsid w:val="00366D2B"/>
    <w:rsid w:val="003A7C38"/>
    <w:rsid w:val="003B5AF1"/>
    <w:rsid w:val="003D3E9A"/>
    <w:rsid w:val="004179A3"/>
    <w:rsid w:val="00480A54"/>
    <w:rsid w:val="00482959"/>
    <w:rsid w:val="0051722C"/>
    <w:rsid w:val="005340A3"/>
    <w:rsid w:val="00542C5B"/>
    <w:rsid w:val="00571ACB"/>
    <w:rsid w:val="00594681"/>
    <w:rsid w:val="005A2CE0"/>
    <w:rsid w:val="006360AD"/>
    <w:rsid w:val="00716570"/>
    <w:rsid w:val="00806367"/>
    <w:rsid w:val="0080770F"/>
    <w:rsid w:val="0082562A"/>
    <w:rsid w:val="00890651"/>
    <w:rsid w:val="009124CD"/>
    <w:rsid w:val="00942BAA"/>
    <w:rsid w:val="00955B99"/>
    <w:rsid w:val="00956737"/>
    <w:rsid w:val="00981411"/>
    <w:rsid w:val="00B56920"/>
    <w:rsid w:val="00B75BDC"/>
    <w:rsid w:val="00B87D2C"/>
    <w:rsid w:val="00B93242"/>
    <w:rsid w:val="00C06855"/>
    <w:rsid w:val="00CC2F34"/>
    <w:rsid w:val="00CC56B7"/>
    <w:rsid w:val="00CD7077"/>
    <w:rsid w:val="00CE4F66"/>
    <w:rsid w:val="00CF13F6"/>
    <w:rsid w:val="00D22F97"/>
    <w:rsid w:val="00D506D7"/>
    <w:rsid w:val="00E1709C"/>
    <w:rsid w:val="00E51A54"/>
    <w:rsid w:val="00EC0ABB"/>
    <w:rsid w:val="00F03CFB"/>
    <w:rsid w:val="00F33576"/>
    <w:rsid w:val="00F515DC"/>
    <w:rsid w:val="00F7479E"/>
    <w:rsid w:val="00FB41F7"/>
    <w:rsid w:val="01800B1C"/>
    <w:rsid w:val="01A85FBA"/>
    <w:rsid w:val="01E7372B"/>
    <w:rsid w:val="01F1048D"/>
    <w:rsid w:val="035232AC"/>
    <w:rsid w:val="03FE6319"/>
    <w:rsid w:val="05277080"/>
    <w:rsid w:val="05371C2D"/>
    <w:rsid w:val="078F5EFE"/>
    <w:rsid w:val="07A732CD"/>
    <w:rsid w:val="099820FF"/>
    <w:rsid w:val="09EC11B3"/>
    <w:rsid w:val="09F33827"/>
    <w:rsid w:val="0A695126"/>
    <w:rsid w:val="0C5A7452"/>
    <w:rsid w:val="0C664050"/>
    <w:rsid w:val="0C6E60F3"/>
    <w:rsid w:val="0D000BA1"/>
    <w:rsid w:val="0D0E6D5C"/>
    <w:rsid w:val="0D8760B8"/>
    <w:rsid w:val="0DBF0541"/>
    <w:rsid w:val="0E0C43A0"/>
    <w:rsid w:val="0E9D466A"/>
    <w:rsid w:val="0F2C4CF2"/>
    <w:rsid w:val="0FA41013"/>
    <w:rsid w:val="0FF377A8"/>
    <w:rsid w:val="10D93613"/>
    <w:rsid w:val="10FD16D1"/>
    <w:rsid w:val="11234E2D"/>
    <w:rsid w:val="11BA6625"/>
    <w:rsid w:val="11CB52D0"/>
    <w:rsid w:val="127C2659"/>
    <w:rsid w:val="12D24E8F"/>
    <w:rsid w:val="13383B90"/>
    <w:rsid w:val="134B5AB7"/>
    <w:rsid w:val="13E15062"/>
    <w:rsid w:val="148D357D"/>
    <w:rsid w:val="149E1422"/>
    <w:rsid w:val="14C15145"/>
    <w:rsid w:val="14E05B4D"/>
    <w:rsid w:val="164E1C4E"/>
    <w:rsid w:val="16FF3C9A"/>
    <w:rsid w:val="17481505"/>
    <w:rsid w:val="175B1444"/>
    <w:rsid w:val="19574DA2"/>
    <w:rsid w:val="19DC0228"/>
    <w:rsid w:val="1A4A0149"/>
    <w:rsid w:val="1ACF5E44"/>
    <w:rsid w:val="1B9F6E77"/>
    <w:rsid w:val="1DBD4C56"/>
    <w:rsid w:val="1DF42C49"/>
    <w:rsid w:val="1E1643EB"/>
    <w:rsid w:val="1E41647B"/>
    <w:rsid w:val="1F566F76"/>
    <w:rsid w:val="1F7A1998"/>
    <w:rsid w:val="205F3F9C"/>
    <w:rsid w:val="20E74CFD"/>
    <w:rsid w:val="21004DB3"/>
    <w:rsid w:val="21495609"/>
    <w:rsid w:val="21C32F5E"/>
    <w:rsid w:val="22D07338"/>
    <w:rsid w:val="240A3AB2"/>
    <w:rsid w:val="240F489E"/>
    <w:rsid w:val="24335B6F"/>
    <w:rsid w:val="24400708"/>
    <w:rsid w:val="252C5483"/>
    <w:rsid w:val="25805811"/>
    <w:rsid w:val="26097CF4"/>
    <w:rsid w:val="260A0FF9"/>
    <w:rsid w:val="262D51C4"/>
    <w:rsid w:val="274B6634"/>
    <w:rsid w:val="27C934A9"/>
    <w:rsid w:val="2A007412"/>
    <w:rsid w:val="2AAC3290"/>
    <w:rsid w:val="2BBC03CC"/>
    <w:rsid w:val="2C41141E"/>
    <w:rsid w:val="2C523D4B"/>
    <w:rsid w:val="2C5D75B5"/>
    <w:rsid w:val="2D1A40BB"/>
    <w:rsid w:val="30085A89"/>
    <w:rsid w:val="30FE746D"/>
    <w:rsid w:val="3110006E"/>
    <w:rsid w:val="315A4284"/>
    <w:rsid w:val="31822578"/>
    <w:rsid w:val="3251210E"/>
    <w:rsid w:val="32584AA6"/>
    <w:rsid w:val="32DA7437"/>
    <w:rsid w:val="330E26A2"/>
    <w:rsid w:val="336B0F59"/>
    <w:rsid w:val="341D4E0B"/>
    <w:rsid w:val="343B467F"/>
    <w:rsid w:val="34B82A8C"/>
    <w:rsid w:val="34C25997"/>
    <w:rsid w:val="34CB6C3A"/>
    <w:rsid w:val="35734D5D"/>
    <w:rsid w:val="361F05F9"/>
    <w:rsid w:val="365844F0"/>
    <w:rsid w:val="37191E1C"/>
    <w:rsid w:val="37215D6A"/>
    <w:rsid w:val="3754021F"/>
    <w:rsid w:val="37F10932"/>
    <w:rsid w:val="38D218AA"/>
    <w:rsid w:val="39700C8E"/>
    <w:rsid w:val="39887DF1"/>
    <w:rsid w:val="39C128B6"/>
    <w:rsid w:val="3A0B4B47"/>
    <w:rsid w:val="3B3811E6"/>
    <w:rsid w:val="3C3A4F0A"/>
    <w:rsid w:val="3D1E4960"/>
    <w:rsid w:val="3D450502"/>
    <w:rsid w:val="3D9A1FD9"/>
    <w:rsid w:val="3DAF35BC"/>
    <w:rsid w:val="3E745C0E"/>
    <w:rsid w:val="3EC14B85"/>
    <w:rsid w:val="3EEF5793"/>
    <w:rsid w:val="3F312907"/>
    <w:rsid w:val="3F8313C0"/>
    <w:rsid w:val="3FE05FEE"/>
    <w:rsid w:val="40585F20"/>
    <w:rsid w:val="405F2672"/>
    <w:rsid w:val="407144D3"/>
    <w:rsid w:val="40894884"/>
    <w:rsid w:val="40B9143D"/>
    <w:rsid w:val="414950A7"/>
    <w:rsid w:val="420C0694"/>
    <w:rsid w:val="427D381C"/>
    <w:rsid w:val="42A66ABE"/>
    <w:rsid w:val="44780FBC"/>
    <w:rsid w:val="447C1AE8"/>
    <w:rsid w:val="44E12B11"/>
    <w:rsid w:val="451346EE"/>
    <w:rsid w:val="45E87318"/>
    <w:rsid w:val="46317EB5"/>
    <w:rsid w:val="467645C8"/>
    <w:rsid w:val="46B53D11"/>
    <w:rsid w:val="47546D12"/>
    <w:rsid w:val="47A05F86"/>
    <w:rsid w:val="48561EAC"/>
    <w:rsid w:val="487A2417"/>
    <w:rsid w:val="48D728F3"/>
    <w:rsid w:val="492C0EF2"/>
    <w:rsid w:val="49364CAA"/>
    <w:rsid w:val="4A5D5D91"/>
    <w:rsid w:val="4AB656C5"/>
    <w:rsid w:val="4B2E4DE4"/>
    <w:rsid w:val="4C3752D5"/>
    <w:rsid w:val="4C84259A"/>
    <w:rsid w:val="4D6B562C"/>
    <w:rsid w:val="4DE6755C"/>
    <w:rsid w:val="4E6A769A"/>
    <w:rsid w:val="4E6D67BC"/>
    <w:rsid w:val="4F473CA0"/>
    <w:rsid w:val="50214964"/>
    <w:rsid w:val="50233437"/>
    <w:rsid w:val="504562F1"/>
    <w:rsid w:val="506A71ED"/>
    <w:rsid w:val="50896182"/>
    <w:rsid w:val="51906AB6"/>
    <w:rsid w:val="52933407"/>
    <w:rsid w:val="52B83749"/>
    <w:rsid w:val="52D71867"/>
    <w:rsid w:val="5411167A"/>
    <w:rsid w:val="54B13782"/>
    <w:rsid w:val="54B138A1"/>
    <w:rsid w:val="556008B8"/>
    <w:rsid w:val="5765242F"/>
    <w:rsid w:val="58B67BEC"/>
    <w:rsid w:val="599739DA"/>
    <w:rsid w:val="59AA0627"/>
    <w:rsid w:val="59B731BF"/>
    <w:rsid w:val="59C439B6"/>
    <w:rsid w:val="5A062F3F"/>
    <w:rsid w:val="5A49772E"/>
    <w:rsid w:val="5AFB33E8"/>
    <w:rsid w:val="5CB95883"/>
    <w:rsid w:val="5E0F2A50"/>
    <w:rsid w:val="5EE27322"/>
    <w:rsid w:val="5F271F9E"/>
    <w:rsid w:val="5F8BF200"/>
    <w:rsid w:val="5F9F5A53"/>
    <w:rsid w:val="5FB0128C"/>
    <w:rsid w:val="5FB70BFC"/>
    <w:rsid w:val="60242DCD"/>
    <w:rsid w:val="60471B32"/>
    <w:rsid w:val="61C018A8"/>
    <w:rsid w:val="61D95419"/>
    <w:rsid w:val="630C6A8F"/>
    <w:rsid w:val="633F4366"/>
    <w:rsid w:val="645E3634"/>
    <w:rsid w:val="64842A5C"/>
    <w:rsid w:val="65154C24"/>
    <w:rsid w:val="6519433B"/>
    <w:rsid w:val="655B7621"/>
    <w:rsid w:val="662A5626"/>
    <w:rsid w:val="662E47B9"/>
    <w:rsid w:val="667271DD"/>
    <w:rsid w:val="667F3DAE"/>
    <w:rsid w:val="66846474"/>
    <w:rsid w:val="67754098"/>
    <w:rsid w:val="684575AE"/>
    <w:rsid w:val="6A1A6AD2"/>
    <w:rsid w:val="6BC71DE1"/>
    <w:rsid w:val="6C2716C6"/>
    <w:rsid w:val="6CF0610E"/>
    <w:rsid w:val="6D0F449B"/>
    <w:rsid w:val="6F420BE1"/>
    <w:rsid w:val="70F11B0A"/>
    <w:rsid w:val="71D05F49"/>
    <w:rsid w:val="72AC1CC9"/>
    <w:rsid w:val="73E20E2C"/>
    <w:rsid w:val="74222AAA"/>
    <w:rsid w:val="746F0D6B"/>
    <w:rsid w:val="74DB35C2"/>
    <w:rsid w:val="74E10C04"/>
    <w:rsid w:val="7508329E"/>
    <w:rsid w:val="75F1224F"/>
    <w:rsid w:val="76096D38"/>
    <w:rsid w:val="76234DDD"/>
    <w:rsid w:val="76910A96"/>
    <w:rsid w:val="76C8536C"/>
    <w:rsid w:val="77AB729B"/>
    <w:rsid w:val="78764386"/>
    <w:rsid w:val="79F57AA2"/>
    <w:rsid w:val="7A377E48"/>
    <w:rsid w:val="7AC06271"/>
    <w:rsid w:val="7AD65B35"/>
    <w:rsid w:val="7B3A48B6"/>
    <w:rsid w:val="7BB2702E"/>
    <w:rsid w:val="7CB377BD"/>
    <w:rsid w:val="7D541AAE"/>
    <w:rsid w:val="7D6F0849"/>
    <w:rsid w:val="7D8234F7"/>
    <w:rsid w:val="F3AF5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widowControl w:val="0"/>
      <w:spacing w:before="50" w:beforeLines="50" w:after="50" w:afterLines="50" w:line="360" w:lineRule="auto"/>
      <w:ind w:firstLine="1440" w:firstLineChars="200"/>
      <w:jc w:val="center"/>
      <w:outlineLvl w:val="0"/>
    </w:pPr>
    <w:rPr>
      <w:rFonts w:ascii="Times New Roman" w:hAnsi="Times New Roman" w:eastAsia="宋体" w:cs="Times New Roman"/>
      <w:b/>
      <w:kern w:val="44"/>
      <w:sz w:val="28"/>
      <w:lang w:val="en-US" w:eastAsia="zh-CN" w:bidi="ar-SA"/>
    </w:rPr>
  </w:style>
  <w:style w:type="paragraph" w:styleId="3">
    <w:name w:val="heading 2"/>
    <w:basedOn w:val="1"/>
    <w:next w:val="4"/>
    <w:unhideWhenUsed/>
    <w:qFormat/>
    <w:uiPriority w:val="9"/>
    <w:pPr>
      <w:spacing w:line="560" w:lineRule="exact"/>
      <w:ind w:firstLine="569" w:firstLineChars="200"/>
      <w:outlineLvl w:val="1"/>
    </w:pPr>
    <w:rPr>
      <w:rFonts w:ascii="楷体_GB2312" w:hAnsi="Calibri" w:eastAsia="楷体_GB2312"/>
      <w:sz w:val="30"/>
      <w:szCs w:val="30"/>
    </w:rPr>
  </w:style>
  <w:style w:type="paragraph" w:styleId="5">
    <w:name w:val="heading 3"/>
    <w:next w:val="1"/>
    <w:qFormat/>
    <w:uiPriority w:val="0"/>
    <w:pPr>
      <w:keepNext/>
      <w:keepLines/>
      <w:widowControl w:val="0"/>
      <w:spacing w:line="360" w:lineRule="auto"/>
      <w:ind w:firstLine="1440" w:firstLineChars="200"/>
      <w:outlineLvl w:val="2"/>
    </w:pPr>
    <w:rPr>
      <w:rFonts w:ascii="Times New Roman" w:hAnsi="Times New Roman" w:eastAsia="宋体" w:cs="Times New Roman"/>
      <w:b/>
      <w:sz w:val="28"/>
      <w:lang w:val="en-US" w:eastAsia="zh-CN" w:bidi="ar-SA"/>
    </w:rPr>
  </w:style>
  <w:style w:type="paragraph" w:styleId="6">
    <w:name w:val="heading 5"/>
    <w:basedOn w:val="1"/>
    <w:next w:val="1"/>
    <w:qFormat/>
    <w:uiPriority w:val="0"/>
    <w:pPr>
      <w:keepNext/>
      <w:keepLines/>
      <w:spacing w:line="360" w:lineRule="auto"/>
      <w:ind w:firstLine="1440" w:firstLineChars="200"/>
      <w:jc w:val="center"/>
      <w:outlineLvl w:val="4"/>
    </w:pPr>
    <w:rPr>
      <w:rFonts w:ascii="Times New Roman" w:hAnsi="Times New Roman" w:eastAsia="宋体" w:cs="Times New Roman"/>
      <w:b/>
      <w:kern w:val="0"/>
      <w:sz w:val="28"/>
      <w:szCs w:val="20"/>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semiHidden/>
    <w:unhideWhenUsed/>
    <w:qFormat/>
    <w:uiPriority w:val="99"/>
    <w:pPr>
      <w:ind w:firstLine="420" w:firstLineChars="200"/>
    </w:pPr>
  </w:style>
  <w:style w:type="paragraph" w:styleId="7">
    <w:name w:val="annotation text"/>
    <w:basedOn w:val="1"/>
    <w:link w:val="23"/>
    <w:semiHidden/>
    <w:unhideWhenUsed/>
    <w:qFormat/>
    <w:uiPriority w:val="99"/>
    <w:pPr>
      <w:jc w:val="left"/>
    </w:pPr>
  </w:style>
  <w:style w:type="paragraph" w:styleId="8">
    <w:name w:val="Body Text"/>
    <w:basedOn w:val="1"/>
    <w:qFormat/>
    <w:uiPriority w:val="0"/>
    <w:pPr>
      <w:spacing w:after="120"/>
    </w:pPr>
  </w:style>
  <w:style w:type="paragraph" w:styleId="9">
    <w:name w:val="Body Text Indent"/>
    <w:basedOn w:val="1"/>
    <w:qFormat/>
    <w:uiPriority w:val="0"/>
    <w:pPr>
      <w:ind w:left="420" w:leftChars="200"/>
      <w:jc w:val="left"/>
    </w:pPr>
    <w:rPr>
      <w:sz w:val="24"/>
      <w:szCs w:val="24"/>
    </w:rPr>
  </w:style>
  <w:style w:type="paragraph" w:styleId="10">
    <w:name w:val="Balloon Text"/>
    <w:basedOn w:val="1"/>
    <w:link w:val="22"/>
    <w:semiHidden/>
    <w:unhideWhenUsed/>
    <w:qFormat/>
    <w:uiPriority w:val="99"/>
    <w:rPr>
      <w:sz w:val="18"/>
      <w:szCs w:val="18"/>
    </w:rPr>
  </w:style>
  <w:style w:type="paragraph" w:styleId="11">
    <w:name w:val="footer"/>
    <w:basedOn w:val="1"/>
    <w:link w:val="21"/>
    <w:unhideWhenUsed/>
    <w:qFormat/>
    <w:uiPriority w:val="99"/>
    <w:pPr>
      <w:tabs>
        <w:tab w:val="center" w:pos="4153"/>
        <w:tab w:val="right" w:pos="8306"/>
      </w:tabs>
      <w:snapToGrid w:val="0"/>
      <w:jc w:val="left"/>
    </w:pPr>
    <w:rPr>
      <w:sz w:val="18"/>
      <w:szCs w:val="18"/>
    </w:rPr>
  </w:style>
  <w:style w:type="paragraph" w:styleId="12">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annotation subject"/>
    <w:basedOn w:val="7"/>
    <w:next w:val="7"/>
    <w:link w:val="24"/>
    <w:semiHidden/>
    <w:unhideWhenUsed/>
    <w:qFormat/>
    <w:uiPriority w:val="99"/>
    <w:rPr>
      <w:b/>
      <w:bCs/>
    </w:rPr>
  </w:style>
  <w:style w:type="paragraph" w:styleId="14">
    <w:name w:val="Body Text First Indent"/>
    <w:basedOn w:val="8"/>
    <w:qFormat/>
    <w:uiPriority w:val="0"/>
    <w:pPr>
      <w:ind w:firstLine="420" w:firstLineChars="100"/>
    </w:pPr>
  </w:style>
  <w:style w:type="character" w:styleId="17">
    <w:name w:val="annotation reference"/>
    <w:basedOn w:val="16"/>
    <w:semiHidden/>
    <w:unhideWhenUsed/>
    <w:qFormat/>
    <w:uiPriority w:val="99"/>
    <w:rPr>
      <w:sz w:val="21"/>
      <w:szCs w:val="21"/>
    </w:rPr>
  </w:style>
  <w:style w:type="paragraph" w:styleId="18">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9">
    <w:name w:val="页码1"/>
    <w:qFormat/>
    <w:uiPriority w:val="0"/>
    <w:rPr>
      <w:rFonts w:ascii="Calibri" w:hAnsi="Calibri" w:eastAsia="宋体"/>
      <w:sz w:val="24"/>
      <w:lang w:val="zh-TW" w:eastAsia="zh-TW"/>
    </w:rPr>
  </w:style>
  <w:style w:type="character" w:customStyle="1" w:styleId="20">
    <w:name w:val="页眉 字符"/>
    <w:basedOn w:val="16"/>
    <w:link w:val="12"/>
    <w:qFormat/>
    <w:uiPriority w:val="99"/>
    <w:rPr>
      <w:rFonts w:asciiTheme="minorHAnsi" w:hAnsiTheme="minorHAnsi" w:eastAsiaTheme="minorEastAsia" w:cstheme="minorBidi"/>
      <w:kern w:val="2"/>
      <w:sz w:val="18"/>
      <w:szCs w:val="18"/>
    </w:rPr>
  </w:style>
  <w:style w:type="character" w:customStyle="1" w:styleId="21">
    <w:name w:val="页脚 字符"/>
    <w:basedOn w:val="16"/>
    <w:link w:val="11"/>
    <w:qFormat/>
    <w:uiPriority w:val="99"/>
    <w:rPr>
      <w:rFonts w:asciiTheme="minorHAnsi" w:hAnsiTheme="minorHAnsi" w:eastAsiaTheme="minorEastAsia" w:cstheme="minorBidi"/>
      <w:kern w:val="2"/>
      <w:sz w:val="18"/>
      <w:szCs w:val="18"/>
    </w:rPr>
  </w:style>
  <w:style w:type="character" w:customStyle="1" w:styleId="22">
    <w:name w:val="批注框文本 字符"/>
    <w:basedOn w:val="16"/>
    <w:link w:val="10"/>
    <w:semiHidden/>
    <w:qFormat/>
    <w:uiPriority w:val="99"/>
    <w:rPr>
      <w:rFonts w:asciiTheme="minorHAnsi" w:hAnsiTheme="minorHAnsi" w:eastAsiaTheme="minorEastAsia" w:cstheme="minorBidi"/>
      <w:kern w:val="2"/>
      <w:sz w:val="18"/>
      <w:szCs w:val="18"/>
    </w:rPr>
  </w:style>
  <w:style w:type="character" w:customStyle="1" w:styleId="23">
    <w:name w:val="批注文字 字符"/>
    <w:basedOn w:val="16"/>
    <w:link w:val="7"/>
    <w:semiHidden/>
    <w:qFormat/>
    <w:uiPriority w:val="99"/>
    <w:rPr>
      <w:rFonts w:asciiTheme="minorHAnsi" w:hAnsiTheme="minorHAnsi" w:eastAsiaTheme="minorEastAsia" w:cstheme="minorBidi"/>
      <w:kern w:val="2"/>
      <w:sz w:val="21"/>
      <w:szCs w:val="22"/>
    </w:rPr>
  </w:style>
  <w:style w:type="character" w:customStyle="1" w:styleId="24">
    <w:name w:val="批注主题 字符"/>
    <w:basedOn w:val="23"/>
    <w:link w:val="13"/>
    <w:semiHidden/>
    <w:qFormat/>
    <w:uiPriority w:val="99"/>
    <w:rPr>
      <w:rFonts w:asciiTheme="minorHAnsi" w:hAnsiTheme="minorHAnsi" w:eastAsiaTheme="minorEastAsia" w:cstheme="minorBidi"/>
      <w:b/>
      <w:bCs/>
      <w:kern w:val="2"/>
      <w:sz w:val="21"/>
      <w:szCs w:val="22"/>
    </w:rPr>
  </w:style>
  <w:style w:type="paragraph" w:customStyle="1" w:styleId="25">
    <w:name w:val="正文 A"/>
    <w:qFormat/>
    <w:uiPriority w:val="0"/>
    <w:pPr>
      <w:framePr w:wrap="around" w:vAnchor="margin" w:hAnchor="text" w:y="1"/>
      <w:widowControl w:val="0"/>
      <w:jc w:val="both"/>
    </w:pPr>
    <w:rPr>
      <w:rFonts w:ascii="Calibri" w:hAnsi="Calibri" w:eastAsia="Calibri" w:cs="Calibri"/>
      <w:color w:val="000000"/>
      <w:kern w:val="2"/>
      <w:sz w:val="21"/>
      <w:szCs w:val="21"/>
      <w:lang w:val="en-US" w:eastAsia="zh-CN" w:bidi="ar-SA"/>
    </w:rPr>
  </w:style>
  <w:style w:type="paragraph" w:customStyle="1" w:styleId="26">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7">
    <w:name w:val="font21"/>
    <w:basedOn w:val="16"/>
    <w:qFormat/>
    <w:uiPriority w:val="0"/>
    <w:rPr>
      <w:rFonts w:hint="default" w:ascii="Times New Roman" w:hAnsi="Times New Roman" w:cs="Times New Roman"/>
      <w:color w:val="000000"/>
      <w:sz w:val="28"/>
      <w:szCs w:val="28"/>
      <w:u w:val="none"/>
    </w:rPr>
  </w:style>
  <w:style w:type="character" w:customStyle="1" w:styleId="28">
    <w:name w:val="font11"/>
    <w:basedOn w:val="16"/>
    <w:qFormat/>
    <w:uiPriority w:val="0"/>
    <w:rPr>
      <w:rFonts w:hint="eastAsia" w:ascii="仿宋" w:hAnsi="仿宋" w:eastAsia="仿宋" w:cs="仿宋"/>
      <w:color w:val="000000"/>
      <w:sz w:val="28"/>
      <w:szCs w:val="28"/>
      <w:u w:val="none"/>
    </w:rPr>
  </w:style>
  <w:style w:type="character" w:customStyle="1" w:styleId="29">
    <w:name w:val="font31"/>
    <w:basedOn w:val="16"/>
    <w:qFormat/>
    <w:uiPriority w:val="0"/>
    <w:rPr>
      <w:rFonts w:hint="eastAsia" w:ascii="仿宋" w:hAnsi="仿宋" w:eastAsia="仿宋" w:cs="仿宋"/>
      <w:b/>
      <w:bCs/>
      <w:color w:val="000000"/>
      <w:sz w:val="30"/>
      <w:szCs w:val="30"/>
      <w:u w:val="none"/>
    </w:rPr>
  </w:style>
  <w:style w:type="paragraph" w:styleId="3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11897</Words>
  <Characters>12297</Characters>
  <Lines>78</Lines>
  <Paragraphs>22</Paragraphs>
  <TotalTime>9</TotalTime>
  <ScaleCrop>false</ScaleCrop>
  <LinksUpToDate>false</LinksUpToDate>
  <CharactersWithSpaces>12543</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2019-03-15T10:47:00Z</dcterms:created>
  <dc:creator>Administrator</dc:creator>
  <cp:lastModifiedBy>邓淞铭</cp:lastModifiedBy>
  <dcterms:modified xsi:type="dcterms:W3CDTF">2026-04-13T14:29:07Z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E329E3A5B7864353AE1C8492941969B6_13</vt:lpwstr>
  </property>
  <property fmtid="{D5CDD505-2E9C-101B-9397-08002B2CF9AE}" pid="4" name="KSOTemplateDocerSaveRecord">
    <vt:lpwstr>eyJoZGlkIjoiY2Y4ZjM3OGUxM2ZmMTUwNmViMjIyOTk5ZDI5NmY4NjEiLCJ1c2VySWQiOiIxNzkxMjc5Nzc1In0=</vt:lpwstr>
  </property>
</Properties>
</file>