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233423">
      <w:pPr>
        <w:rPr>
          <w:color w:val="auto"/>
          <w:highlight w:val="none"/>
        </w:rPr>
      </w:pPr>
    </w:p>
    <w:p w14:paraId="4394CFA9">
      <w:pPr>
        <w:pStyle w:val="60"/>
        <w:rPr>
          <w:color w:val="auto"/>
          <w:highlight w:val="none"/>
        </w:rPr>
      </w:pPr>
    </w:p>
    <w:p w14:paraId="00E7A4D9">
      <w:pPr>
        <w:ind w:firstLine="720"/>
        <w:jc w:val="center"/>
        <w:rPr>
          <w:color w:val="auto"/>
          <w:sz w:val="36"/>
          <w:szCs w:val="36"/>
          <w:highlight w:val="none"/>
        </w:rPr>
      </w:pPr>
    </w:p>
    <w:p w14:paraId="1CF762D9">
      <w:pPr>
        <w:ind w:left="0" w:leftChars="0" w:firstLine="0" w:firstLineChars="0"/>
        <w:jc w:val="center"/>
        <w:rPr>
          <w:b/>
          <w:color w:val="auto"/>
          <w:sz w:val="72"/>
          <w:szCs w:val="72"/>
          <w:highlight w:val="none"/>
        </w:rPr>
      </w:pPr>
      <w:r>
        <w:rPr>
          <w:rFonts w:hint="eastAsia"/>
          <w:b/>
          <w:color w:val="auto"/>
          <w:sz w:val="72"/>
          <w:szCs w:val="72"/>
          <w:highlight w:val="none"/>
        </w:rPr>
        <w:t>服务采购</w:t>
      </w:r>
    </w:p>
    <w:p w14:paraId="66BDFAFF">
      <w:pPr>
        <w:pStyle w:val="24"/>
        <w:ind w:left="0" w:leftChars="0" w:firstLine="0" w:firstLineChars="0"/>
        <w:jc w:val="center"/>
        <w:rPr>
          <w:b/>
          <w:color w:val="auto"/>
          <w:sz w:val="72"/>
          <w:szCs w:val="72"/>
          <w:highlight w:val="none"/>
        </w:rPr>
      </w:pPr>
      <w:r>
        <w:rPr>
          <w:rFonts w:hint="eastAsia"/>
          <w:b/>
          <w:color w:val="auto"/>
          <w:sz w:val="72"/>
          <w:szCs w:val="72"/>
          <w:highlight w:val="none"/>
        </w:rPr>
        <w:t>竞争性磋商文件</w:t>
      </w:r>
    </w:p>
    <w:p w14:paraId="38B5838A">
      <w:pPr>
        <w:pStyle w:val="24"/>
        <w:ind w:firstLine="720"/>
        <w:jc w:val="center"/>
        <w:rPr>
          <w:rFonts w:hint="eastAsia"/>
          <w:color w:val="auto"/>
          <w:sz w:val="36"/>
          <w:szCs w:val="36"/>
          <w:highlight w:val="none"/>
        </w:rPr>
      </w:pPr>
    </w:p>
    <w:p w14:paraId="76590DD7">
      <w:pPr>
        <w:pStyle w:val="24"/>
        <w:ind w:firstLine="720"/>
        <w:jc w:val="center"/>
        <w:rPr>
          <w:rFonts w:hint="eastAsia"/>
          <w:color w:val="auto"/>
          <w:sz w:val="36"/>
          <w:szCs w:val="36"/>
          <w:highlight w:val="none"/>
        </w:rPr>
      </w:pPr>
    </w:p>
    <w:p w14:paraId="0E0FD5CE">
      <w:pPr>
        <w:pStyle w:val="24"/>
        <w:ind w:firstLine="720"/>
        <w:jc w:val="center"/>
        <w:rPr>
          <w:rFonts w:hint="eastAsia" w:eastAsia="宋体"/>
          <w:color w:val="auto"/>
          <w:sz w:val="36"/>
          <w:szCs w:val="36"/>
          <w:highlight w:val="none"/>
          <w:lang w:val="en-US" w:eastAsia="zh-CN"/>
        </w:rPr>
      </w:pPr>
    </w:p>
    <w:p w14:paraId="66523E09">
      <w:pPr>
        <w:pStyle w:val="24"/>
        <w:ind w:firstLine="720"/>
        <w:jc w:val="center"/>
        <w:rPr>
          <w:color w:val="auto"/>
          <w:sz w:val="36"/>
          <w:szCs w:val="36"/>
          <w:highlight w:val="none"/>
        </w:rPr>
      </w:pPr>
    </w:p>
    <w:p w14:paraId="797F6A2A">
      <w:pPr>
        <w:pStyle w:val="24"/>
        <w:ind w:left="2878" w:leftChars="304" w:hanging="2240" w:hangingChars="700"/>
        <w:rPr>
          <w:rFonts w:hint="eastAsia" w:eastAsia="宋体"/>
          <w:color w:val="auto"/>
          <w:sz w:val="32"/>
          <w:szCs w:val="32"/>
          <w:highlight w:val="none"/>
          <w:u w:val="single"/>
          <w:lang w:eastAsia="zh-CN"/>
        </w:rPr>
      </w:pPr>
      <w:r>
        <w:rPr>
          <w:rFonts w:hint="eastAsia"/>
          <w:color w:val="auto"/>
          <w:sz w:val="32"/>
          <w:szCs w:val="32"/>
          <w:highlight w:val="none"/>
        </w:rPr>
        <w:t>采购项目名称：</w:t>
      </w:r>
      <w:r>
        <w:rPr>
          <w:rFonts w:hint="eastAsia"/>
          <w:color w:val="auto"/>
          <w:sz w:val="32"/>
          <w:szCs w:val="32"/>
          <w:highlight w:val="none"/>
          <w:u w:val="single"/>
          <w:lang w:eastAsia="zh-CN"/>
        </w:rPr>
        <w:t>新河大厦保安保洁业务委托服务采购项目</w:t>
      </w:r>
    </w:p>
    <w:p w14:paraId="16733FD3">
      <w:pPr>
        <w:pStyle w:val="24"/>
        <w:ind w:firstLine="640"/>
        <w:rPr>
          <w:rFonts w:hint="eastAsia" w:eastAsia="宋体"/>
          <w:color w:val="auto"/>
          <w:sz w:val="32"/>
          <w:szCs w:val="32"/>
          <w:highlight w:val="none"/>
          <w:u w:val="single"/>
          <w:lang w:eastAsia="zh-CN"/>
        </w:rPr>
      </w:pPr>
      <w:r>
        <w:rPr>
          <w:rFonts w:hint="eastAsia"/>
          <w:color w:val="auto"/>
          <w:sz w:val="32"/>
          <w:szCs w:val="32"/>
          <w:highlight w:val="none"/>
        </w:rPr>
        <w:t xml:space="preserve">采  </w:t>
      </w:r>
      <w:r>
        <w:rPr>
          <w:rFonts w:hint="eastAsia"/>
          <w:color w:val="auto"/>
          <w:sz w:val="32"/>
          <w:szCs w:val="32"/>
          <w:highlight w:val="none"/>
          <w:lang w:val="en-US" w:eastAsia="zh-CN"/>
        </w:rPr>
        <w:t xml:space="preserve"> </w:t>
      </w:r>
      <w:r>
        <w:rPr>
          <w:rFonts w:hint="eastAsia"/>
          <w:color w:val="auto"/>
          <w:sz w:val="32"/>
          <w:szCs w:val="32"/>
          <w:highlight w:val="none"/>
        </w:rPr>
        <w:t xml:space="preserve">购  </w:t>
      </w:r>
      <w:r>
        <w:rPr>
          <w:rFonts w:hint="eastAsia"/>
          <w:color w:val="auto"/>
          <w:sz w:val="32"/>
          <w:szCs w:val="32"/>
          <w:highlight w:val="none"/>
          <w:lang w:val="en-US" w:eastAsia="zh-CN"/>
        </w:rPr>
        <w:t xml:space="preserve"> </w:t>
      </w:r>
      <w:r>
        <w:rPr>
          <w:rFonts w:hint="eastAsia"/>
          <w:color w:val="auto"/>
          <w:sz w:val="32"/>
          <w:szCs w:val="32"/>
          <w:highlight w:val="none"/>
        </w:rPr>
        <w:t>人：</w:t>
      </w:r>
      <w:r>
        <w:rPr>
          <w:rFonts w:hint="eastAsia"/>
          <w:color w:val="auto"/>
          <w:sz w:val="32"/>
          <w:szCs w:val="32"/>
          <w:highlight w:val="none"/>
          <w:u w:val="single"/>
          <w:lang w:eastAsia="zh-CN"/>
        </w:rPr>
        <w:t>长沙市北鑫物业管理有限公司</w:t>
      </w:r>
    </w:p>
    <w:p w14:paraId="3AAD8C24">
      <w:pPr>
        <w:pStyle w:val="24"/>
        <w:ind w:firstLine="640"/>
        <w:rPr>
          <w:rFonts w:hint="eastAsia"/>
          <w:color w:val="auto"/>
          <w:sz w:val="32"/>
          <w:szCs w:val="32"/>
          <w:highlight w:val="none"/>
          <w:u w:val="single"/>
          <w:lang w:val="en-US" w:eastAsia="zh-CN"/>
        </w:rPr>
      </w:pPr>
      <w:r>
        <w:rPr>
          <w:rFonts w:hint="eastAsia"/>
          <w:color w:val="auto"/>
          <w:sz w:val="32"/>
          <w:szCs w:val="32"/>
          <w:highlight w:val="none"/>
        </w:rPr>
        <w:t>采</w:t>
      </w:r>
      <w:r>
        <w:rPr>
          <w:rFonts w:hint="eastAsia"/>
          <w:color w:val="auto"/>
          <w:sz w:val="32"/>
          <w:szCs w:val="32"/>
          <w:highlight w:val="none"/>
          <w:lang w:val="en-US" w:eastAsia="zh-CN"/>
        </w:rPr>
        <w:t xml:space="preserve"> </w:t>
      </w:r>
      <w:r>
        <w:rPr>
          <w:rFonts w:hint="eastAsia"/>
          <w:color w:val="auto"/>
          <w:sz w:val="32"/>
          <w:szCs w:val="32"/>
          <w:highlight w:val="none"/>
        </w:rPr>
        <w:t>购</w:t>
      </w:r>
      <w:r>
        <w:rPr>
          <w:rFonts w:hint="eastAsia"/>
          <w:color w:val="auto"/>
          <w:sz w:val="32"/>
          <w:szCs w:val="32"/>
          <w:highlight w:val="none"/>
          <w:lang w:val="en-US" w:eastAsia="zh-CN"/>
        </w:rPr>
        <w:t xml:space="preserve"> </w:t>
      </w:r>
      <w:r>
        <w:rPr>
          <w:rFonts w:hint="eastAsia"/>
          <w:color w:val="auto"/>
          <w:sz w:val="32"/>
          <w:szCs w:val="32"/>
          <w:highlight w:val="none"/>
        </w:rPr>
        <w:t>编</w:t>
      </w:r>
      <w:r>
        <w:rPr>
          <w:rFonts w:hint="eastAsia"/>
          <w:color w:val="auto"/>
          <w:sz w:val="32"/>
          <w:szCs w:val="32"/>
          <w:highlight w:val="none"/>
          <w:lang w:val="en-US" w:eastAsia="zh-CN"/>
        </w:rPr>
        <w:t xml:space="preserve"> </w:t>
      </w:r>
      <w:r>
        <w:rPr>
          <w:rFonts w:hint="eastAsia"/>
          <w:color w:val="auto"/>
          <w:sz w:val="32"/>
          <w:szCs w:val="32"/>
          <w:highlight w:val="none"/>
        </w:rPr>
        <w:t>号</w:t>
      </w:r>
      <w:r>
        <w:rPr>
          <w:rFonts w:hint="eastAsia"/>
          <w:color w:val="auto"/>
          <w:sz w:val="32"/>
          <w:szCs w:val="32"/>
          <w:highlight w:val="none"/>
          <w:lang w:val="en-US" w:eastAsia="zh-CN"/>
        </w:rPr>
        <w:t xml:space="preserve"> ：</w:t>
      </w:r>
      <w:r>
        <w:rPr>
          <w:rFonts w:hint="eastAsia"/>
          <w:color w:val="auto"/>
          <w:sz w:val="32"/>
          <w:szCs w:val="32"/>
          <w:highlight w:val="none"/>
          <w:u w:val="single"/>
          <w:lang w:val="en-US" w:eastAsia="zh-CN"/>
        </w:rPr>
        <w:t>KFCG-F202604070022</w:t>
      </w:r>
    </w:p>
    <w:p w14:paraId="676B63EF">
      <w:pPr>
        <w:pStyle w:val="24"/>
        <w:ind w:firstLine="640"/>
        <w:rPr>
          <w:rFonts w:hint="default" w:eastAsia="宋体"/>
          <w:color w:val="auto"/>
          <w:sz w:val="32"/>
          <w:szCs w:val="32"/>
          <w:highlight w:val="none"/>
          <w:u w:val="single"/>
          <w:lang w:val="en-US" w:eastAsia="zh-CN"/>
        </w:rPr>
      </w:pPr>
      <w:r>
        <w:rPr>
          <w:rFonts w:hint="eastAsia"/>
          <w:color w:val="auto"/>
          <w:sz w:val="32"/>
          <w:szCs w:val="32"/>
          <w:highlight w:val="none"/>
        </w:rPr>
        <w:t>委托代理编号</w:t>
      </w:r>
      <w:r>
        <w:rPr>
          <w:rFonts w:hint="eastAsia"/>
          <w:color w:val="auto"/>
          <w:sz w:val="32"/>
          <w:szCs w:val="32"/>
          <w:highlight w:val="none"/>
          <w:lang w:eastAsia="zh-CN"/>
        </w:rPr>
        <w:t>：</w:t>
      </w:r>
      <w:r>
        <w:rPr>
          <w:rFonts w:hint="eastAsia"/>
          <w:color w:val="auto"/>
          <w:sz w:val="32"/>
          <w:szCs w:val="32"/>
          <w:highlight w:val="none"/>
          <w:u w:val="single"/>
          <w:lang w:eastAsia="zh-CN"/>
        </w:rPr>
        <w:t>HNYY-2026047</w:t>
      </w:r>
    </w:p>
    <w:p w14:paraId="7DF0321C">
      <w:pPr>
        <w:pStyle w:val="24"/>
        <w:ind w:firstLine="640"/>
        <w:rPr>
          <w:rFonts w:hAnsi="宋体" w:cs="宋体"/>
          <w:color w:val="auto"/>
          <w:sz w:val="32"/>
          <w:szCs w:val="32"/>
          <w:highlight w:val="none"/>
        </w:rPr>
      </w:pPr>
      <w:r>
        <w:rPr>
          <w:rFonts w:hint="eastAsia" w:hAnsi="宋体" w:cs="宋体"/>
          <w:color w:val="auto"/>
          <w:sz w:val="32"/>
          <w:szCs w:val="32"/>
          <w:highlight w:val="none"/>
        </w:rPr>
        <w:t>采购代理机构</w:t>
      </w:r>
      <w:r>
        <w:rPr>
          <w:rFonts w:hint="eastAsia" w:hAnsi="宋体" w:cs="宋体"/>
          <w:color w:val="auto"/>
          <w:sz w:val="32"/>
          <w:szCs w:val="32"/>
          <w:highlight w:val="none"/>
          <w:lang w:eastAsia="zh-CN"/>
        </w:rPr>
        <w:t>：</w:t>
      </w:r>
      <w:r>
        <w:rPr>
          <w:color w:val="auto"/>
          <w:highlight w:val="none"/>
          <w:u w:val="single"/>
        </w:rPr>
        <w:fldChar w:fldCharType="begin"/>
      </w:r>
      <w:r>
        <w:rPr>
          <w:color w:val="auto"/>
          <w:highlight w:val="none"/>
          <w:u w:val="single"/>
        </w:rPr>
        <w:instrText xml:space="preserve"> HYPERLINK "http://jczy.ccgp.gov.cn/gs1/gs1agentreg/javascript:void(0);" </w:instrText>
      </w:r>
      <w:r>
        <w:rPr>
          <w:color w:val="auto"/>
          <w:highlight w:val="none"/>
          <w:u w:val="single"/>
        </w:rPr>
        <w:fldChar w:fldCharType="separate"/>
      </w:r>
      <w:r>
        <w:rPr>
          <w:rFonts w:hint="eastAsia" w:hAnsi="宋体" w:cs="宋体"/>
          <w:color w:val="auto"/>
          <w:sz w:val="32"/>
          <w:szCs w:val="32"/>
          <w:highlight w:val="none"/>
          <w:u w:val="single"/>
        </w:rPr>
        <w:t>湖南扬屹咨询管理有限公司</w:t>
      </w:r>
      <w:r>
        <w:rPr>
          <w:rFonts w:hint="eastAsia" w:hAnsi="宋体" w:cs="宋体"/>
          <w:color w:val="auto"/>
          <w:sz w:val="32"/>
          <w:szCs w:val="32"/>
          <w:highlight w:val="none"/>
          <w:u w:val="single"/>
        </w:rPr>
        <w:fldChar w:fldCharType="end"/>
      </w:r>
    </w:p>
    <w:p w14:paraId="42AA64B4">
      <w:pPr>
        <w:pStyle w:val="24"/>
        <w:rPr>
          <w:color w:val="auto"/>
          <w:highlight w:val="none"/>
        </w:rPr>
      </w:pPr>
    </w:p>
    <w:p w14:paraId="6BA9BB4E">
      <w:pPr>
        <w:pStyle w:val="24"/>
        <w:rPr>
          <w:color w:val="auto"/>
          <w:highlight w:val="none"/>
        </w:rPr>
      </w:pPr>
    </w:p>
    <w:p w14:paraId="3954B6D1">
      <w:pPr>
        <w:pStyle w:val="24"/>
        <w:rPr>
          <w:color w:val="auto"/>
          <w:highlight w:val="none"/>
        </w:rPr>
      </w:pPr>
    </w:p>
    <w:p w14:paraId="38471EF8">
      <w:pPr>
        <w:pStyle w:val="24"/>
        <w:rPr>
          <w:color w:val="auto"/>
          <w:highlight w:val="none"/>
        </w:rPr>
      </w:pPr>
    </w:p>
    <w:p w14:paraId="193F54F2">
      <w:pPr>
        <w:pStyle w:val="24"/>
        <w:rPr>
          <w:color w:val="auto"/>
          <w:highlight w:val="none"/>
        </w:rPr>
      </w:pPr>
    </w:p>
    <w:p w14:paraId="05D77EE2">
      <w:pPr>
        <w:pStyle w:val="24"/>
        <w:ind w:firstLine="640"/>
        <w:jc w:val="center"/>
        <w:rPr>
          <w:b/>
          <w:bCs/>
          <w:color w:val="auto"/>
          <w:sz w:val="32"/>
          <w:szCs w:val="32"/>
          <w:highlight w:val="none"/>
        </w:rPr>
      </w:pPr>
      <w:r>
        <w:rPr>
          <w:rFonts w:hint="eastAsia"/>
          <w:b/>
          <w:bCs/>
          <w:color w:val="auto"/>
          <w:sz w:val="32"/>
          <w:szCs w:val="32"/>
          <w:highlight w:val="none"/>
        </w:rPr>
        <w:t>二〇二</w:t>
      </w:r>
      <w:r>
        <w:rPr>
          <w:rFonts w:hint="eastAsia"/>
          <w:b/>
          <w:bCs/>
          <w:color w:val="auto"/>
          <w:sz w:val="32"/>
          <w:szCs w:val="32"/>
          <w:highlight w:val="none"/>
          <w:lang w:val="en-US" w:eastAsia="zh-CN"/>
        </w:rPr>
        <w:t>六</w:t>
      </w:r>
      <w:r>
        <w:rPr>
          <w:rFonts w:hint="eastAsia"/>
          <w:b/>
          <w:bCs/>
          <w:color w:val="auto"/>
          <w:sz w:val="32"/>
          <w:szCs w:val="32"/>
          <w:highlight w:val="none"/>
        </w:rPr>
        <w:t>年</w:t>
      </w:r>
      <w:r>
        <w:rPr>
          <w:rFonts w:hint="eastAsia"/>
          <w:b/>
          <w:bCs/>
          <w:color w:val="auto"/>
          <w:sz w:val="32"/>
          <w:szCs w:val="32"/>
          <w:highlight w:val="none"/>
          <w:lang w:val="en-US" w:eastAsia="zh-CN"/>
        </w:rPr>
        <w:t>四</w:t>
      </w:r>
      <w:r>
        <w:rPr>
          <w:rFonts w:hint="eastAsia"/>
          <w:b/>
          <w:bCs/>
          <w:color w:val="auto"/>
          <w:sz w:val="32"/>
          <w:szCs w:val="32"/>
          <w:highlight w:val="none"/>
        </w:rPr>
        <w:t>月</w:t>
      </w:r>
    </w:p>
    <w:p w14:paraId="1FB83EC4">
      <w:pPr>
        <w:pStyle w:val="24"/>
        <w:adjustRightInd w:val="0"/>
        <w:snapToGrid w:val="0"/>
        <w:spacing w:line="360" w:lineRule="auto"/>
        <w:ind w:firstLine="0" w:firstLineChars="0"/>
        <w:jc w:val="center"/>
        <w:rPr>
          <w:rFonts w:hint="eastAsia" w:hAnsi="宋体" w:cs="宋体"/>
          <w:color w:val="FF0000"/>
          <w:spacing w:val="160"/>
          <w:sz w:val="36"/>
          <w:szCs w:val="36"/>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531" w:bottom="1440" w:left="1531" w:header="851" w:footer="992" w:gutter="0"/>
          <w:pgNumType w:fmt="decimal" w:start="1"/>
          <w:cols w:space="720" w:num="1"/>
          <w:titlePg/>
          <w:docGrid w:type="lines" w:linePitch="312" w:charSpace="0"/>
        </w:sectPr>
      </w:pPr>
    </w:p>
    <w:p w14:paraId="3CCB687A">
      <w:pPr>
        <w:pStyle w:val="24"/>
        <w:adjustRightInd w:val="0"/>
        <w:snapToGrid w:val="0"/>
        <w:spacing w:line="360" w:lineRule="auto"/>
        <w:ind w:firstLine="0" w:firstLineChars="0"/>
        <w:jc w:val="center"/>
        <w:rPr>
          <w:rFonts w:hAnsi="宋体" w:cs="宋体"/>
          <w:b/>
          <w:bCs/>
          <w:color w:val="auto"/>
          <w:spacing w:val="160"/>
          <w:sz w:val="36"/>
          <w:szCs w:val="36"/>
          <w:highlight w:val="none"/>
        </w:rPr>
      </w:pPr>
      <w:r>
        <w:rPr>
          <w:rFonts w:hint="eastAsia" w:hAnsi="宋体" w:cs="宋体"/>
          <w:b/>
          <w:bCs/>
          <w:color w:val="auto"/>
          <w:spacing w:val="160"/>
          <w:sz w:val="36"/>
          <w:szCs w:val="36"/>
          <w:highlight w:val="none"/>
        </w:rPr>
        <w:t>目录</w:t>
      </w:r>
    </w:p>
    <w:p w14:paraId="0D0FF373">
      <w:pPr>
        <w:pStyle w:val="24"/>
        <w:rPr>
          <w:color w:val="auto"/>
          <w:highlight w:val="none"/>
        </w:rPr>
      </w:pPr>
    </w:p>
    <w:p w14:paraId="293D5EA3">
      <w:pPr>
        <w:pStyle w:val="24"/>
        <w:rPr>
          <w:color w:val="auto"/>
          <w:highlight w:val="none"/>
        </w:rPr>
      </w:pPr>
      <w:r>
        <w:rPr>
          <w:rFonts w:hint="eastAsia"/>
          <w:b/>
          <w:bCs/>
          <w:color w:val="auto"/>
          <w:highlight w:val="none"/>
        </w:rPr>
        <w:t>第一章  磋商邀请</w:t>
      </w:r>
    </w:p>
    <w:p w14:paraId="5D0DDA7A">
      <w:pPr>
        <w:pStyle w:val="24"/>
        <w:rPr>
          <w:b/>
          <w:bCs/>
          <w:color w:val="auto"/>
          <w:highlight w:val="none"/>
        </w:rPr>
      </w:pPr>
      <w:r>
        <w:rPr>
          <w:rFonts w:hint="eastAsia"/>
          <w:b/>
          <w:bCs/>
          <w:color w:val="auto"/>
          <w:highlight w:val="none"/>
        </w:rPr>
        <w:t>第二章  磋商须知</w:t>
      </w:r>
    </w:p>
    <w:p w14:paraId="3BBDF8D6">
      <w:pPr>
        <w:ind w:firstLine="630" w:firstLineChars="300"/>
        <w:rPr>
          <w:color w:val="auto"/>
          <w:highlight w:val="none"/>
        </w:rPr>
      </w:pPr>
      <w:r>
        <w:rPr>
          <w:rFonts w:hint="eastAsia"/>
          <w:color w:val="auto"/>
          <w:highlight w:val="none"/>
        </w:rPr>
        <w:t>磋商须知前附表</w:t>
      </w:r>
    </w:p>
    <w:p w14:paraId="6BAF5C2B">
      <w:pPr>
        <w:ind w:firstLine="630" w:firstLineChars="300"/>
        <w:rPr>
          <w:color w:val="auto"/>
          <w:highlight w:val="none"/>
        </w:rPr>
      </w:pPr>
      <w:r>
        <w:rPr>
          <w:rFonts w:hint="eastAsia"/>
          <w:color w:val="auto"/>
          <w:highlight w:val="none"/>
        </w:rPr>
        <w:t>磋商须知正文</w:t>
      </w:r>
    </w:p>
    <w:p w14:paraId="231CD1BC">
      <w:pPr>
        <w:ind w:firstLine="630" w:firstLineChars="300"/>
        <w:rPr>
          <w:color w:val="auto"/>
          <w:highlight w:val="none"/>
        </w:rPr>
      </w:pPr>
      <w:r>
        <w:rPr>
          <w:rFonts w:hint="eastAsia"/>
          <w:color w:val="auto"/>
          <w:highlight w:val="none"/>
        </w:rPr>
        <w:t>一、说明</w:t>
      </w:r>
    </w:p>
    <w:p w14:paraId="7BD32675">
      <w:pPr>
        <w:ind w:firstLine="630" w:firstLineChars="300"/>
        <w:rPr>
          <w:color w:val="auto"/>
          <w:highlight w:val="none"/>
        </w:rPr>
      </w:pPr>
      <w:r>
        <w:rPr>
          <w:rFonts w:hint="eastAsia"/>
          <w:color w:val="auto"/>
          <w:highlight w:val="none"/>
        </w:rPr>
        <w:t>二、</w:t>
      </w:r>
      <w:r>
        <w:rPr>
          <w:rFonts w:hint="eastAsia"/>
          <w:bCs/>
          <w:color w:val="auto"/>
          <w:highlight w:val="none"/>
        </w:rPr>
        <w:t>磋商</w:t>
      </w:r>
      <w:r>
        <w:rPr>
          <w:rFonts w:hint="eastAsia"/>
          <w:color w:val="auto"/>
          <w:highlight w:val="none"/>
        </w:rPr>
        <w:t>文件</w:t>
      </w:r>
    </w:p>
    <w:p w14:paraId="50966153">
      <w:pPr>
        <w:ind w:firstLine="630" w:firstLineChars="300"/>
        <w:rPr>
          <w:color w:val="auto"/>
          <w:highlight w:val="none"/>
        </w:rPr>
      </w:pPr>
      <w:r>
        <w:rPr>
          <w:rFonts w:hint="eastAsia"/>
          <w:color w:val="auto"/>
          <w:highlight w:val="none"/>
        </w:rPr>
        <w:t>三、响应文件</w:t>
      </w:r>
    </w:p>
    <w:p w14:paraId="297B6906">
      <w:pPr>
        <w:ind w:firstLine="630" w:firstLineChars="300"/>
        <w:rPr>
          <w:color w:val="auto"/>
          <w:highlight w:val="none"/>
        </w:rPr>
      </w:pPr>
      <w:r>
        <w:rPr>
          <w:rFonts w:hint="eastAsia"/>
          <w:color w:val="auto"/>
          <w:highlight w:val="none"/>
        </w:rPr>
        <w:t>四、响应文件的递交</w:t>
      </w:r>
    </w:p>
    <w:p w14:paraId="3985C05C">
      <w:pPr>
        <w:ind w:firstLine="630" w:firstLineChars="300"/>
        <w:rPr>
          <w:bCs/>
          <w:color w:val="auto"/>
          <w:highlight w:val="none"/>
        </w:rPr>
      </w:pPr>
      <w:r>
        <w:rPr>
          <w:rFonts w:hint="eastAsia"/>
          <w:bCs/>
          <w:color w:val="auto"/>
          <w:highlight w:val="none"/>
        </w:rPr>
        <w:t>五、</w:t>
      </w:r>
      <w:r>
        <w:rPr>
          <w:rFonts w:hint="eastAsia"/>
          <w:color w:val="auto"/>
          <w:highlight w:val="none"/>
        </w:rPr>
        <w:t>响应文件</w:t>
      </w:r>
      <w:r>
        <w:rPr>
          <w:rFonts w:hint="eastAsia"/>
          <w:bCs/>
          <w:color w:val="auto"/>
          <w:highlight w:val="none"/>
        </w:rPr>
        <w:t>的</w:t>
      </w:r>
      <w:r>
        <w:rPr>
          <w:rFonts w:hint="eastAsia"/>
          <w:color w:val="auto"/>
          <w:highlight w:val="none"/>
        </w:rPr>
        <w:t>磋商与评审</w:t>
      </w:r>
    </w:p>
    <w:p w14:paraId="77BBFBA1">
      <w:pPr>
        <w:ind w:firstLine="630" w:firstLineChars="300"/>
        <w:rPr>
          <w:color w:val="auto"/>
          <w:highlight w:val="none"/>
        </w:rPr>
      </w:pPr>
      <w:r>
        <w:rPr>
          <w:rFonts w:hint="eastAsia"/>
          <w:color w:val="auto"/>
          <w:highlight w:val="none"/>
        </w:rPr>
        <w:t>六、成交结果信息公布与授予合同</w:t>
      </w:r>
    </w:p>
    <w:p w14:paraId="09394D34">
      <w:pPr>
        <w:ind w:firstLine="630" w:firstLineChars="300"/>
        <w:rPr>
          <w:color w:val="auto"/>
          <w:highlight w:val="none"/>
        </w:rPr>
      </w:pPr>
      <w:r>
        <w:rPr>
          <w:rFonts w:hint="eastAsia"/>
          <w:color w:val="auto"/>
          <w:highlight w:val="none"/>
        </w:rPr>
        <w:t>七、其它规定</w:t>
      </w:r>
    </w:p>
    <w:p w14:paraId="28EDEB27">
      <w:pPr>
        <w:rPr>
          <w:b/>
          <w:bCs/>
          <w:color w:val="auto"/>
          <w:highlight w:val="none"/>
        </w:rPr>
      </w:pPr>
      <w:r>
        <w:rPr>
          <w:rFonts w:hint="eastAsia"/>
          <w:b/>
          <w:bCs/>
          <w:color w:val="auto"/>
          <w:highlight w:val="none"/>
        </w:rPr>
        <w:t>第三章  采购合同格式</w:t>
      </w:r>
    </w:p>
    <w:p w14:paraId="78D11285">
      <w:pPr>
        <w:rPr>
          <w:b/>
          <w:bCs/>
          <w:color w:val="auto"/>
          <w:highlight w:val="none"/>
        </w:rPr>
      </w:pPr>
      <w:r>
        <w:rPr>
          <w:rFonts w:hint="eastAsia"/>
          <w:b/>
          <w:bCs/>
          <w:color w:val="auto"/>
          <w:highlight w:val="none"/>
        </w:rPr>
        <w:t>第四章  采购需求</w:t>
      </w:r>
    </w:p>
    <w:p w14:paraId="316FDA67">
      <w:pPr>
        <w:pStyle w:val="24"/>
        <w:rPr>
          <w:b/>
          <w:bCs/>
          <w:color w:val="auto"/>
          <w:highlight w:val="none"/>
        </w:rPr>
      </w:pPr>
      <w:r>
        <w:rPr>
          <w:rFonts w:hint="eastAsia"/>
          <w:b/>
          <w:bCs/>
          <w:color w:val="auto"/>
          <w:highlight w:val="none"/>
        </w:rPr>
        <w:t>第五章  响应文件组成</w:t>
      </w:r>
    </w:p>
    <w:p w14:paraId="33252AA9">
      <w:pPr>
        <w:rPr>
          <w:color w:val="auto"/>
          <w:highlight w:val="none"/>
        </w:rPr>
      </w:pPr>
    </w:p>
    <w:p w14:paraId="618920C2">
      <w:pPr>
        <w:rPr>
          <w:color w:val="auto"/>
          <w:highlight w:val="none"/>
        </w:rPr>
      </w:pPr>
    </w:p>
    <w:p w14:paraId="6B547E32">
      <w:pPr>
        <w:rPr>
          <w:color w:val="auto"/>
          <w:highlight w:val="none"/>
        </w:rPr>
      </w:pPr>
    </w:p>
    <w:p w14:paraId="360DB6C7">
      <w:pPr>
        <w:rPr>
          <w:color w:val="auto"/>
          <w:highlight w:val="none"/>
        </w:rPr>
      </w:pPr>
    </w:p>
    <w:p w14:paraId="43F4C737">
      <w:pPr>
        <w:rPr>
          <w:color w:val="auto"/>
          <w:highlight w:val="none"/>
        </w:rPr>
      </w:pPr>
    </w:p>
    <w:p w14:paraId="1DB1DAE5">
      <w:pPr>
        <w:rPr>
          <w:color w:val="auto"/>
          <w:highlight w:val="none"/>
        </w:rPr>
      </w:pPr>
    </w:p>
    <w:p w14:paraId="33142BE0">
      <w:pPr>
        <w:rPr>
          <w:color w:val="auto"/>
          <w:highlight w:val="none"/>
        </w:rPr>
      </w:pPr>
    </w:p>
    <w:p w14:paraId="7CEC8BE7">
      <w:pPr>
        <w:rPr>
          <w:color w:val="auto"/>
          <w:highlight w:val="none"/>
        </w:rPr>
      </w:pPr>
    </w:p>
    <w:p w14:paraId="68F67551">
      <w:pPr>
        <w:rPr>
          <w:color w:val="auto"/>
          <w:highlight w:val="none"/>
        </w:rPr>
      </w:pPr>
    </w:p>
    <w:p w14:paraId="5C57B910">
      <w:pPr>
        <w:rPr>
          <w:color w:val="auto"/>
          <w:highlight w:val="none"/>
        </w:rPr>
      </w:pPr>
    </w:p>
    <w:p w14:paraId="4CB52172">
      <w:pPr>
        <w:rPr>
          <w:color w:val="auto"/>
          <w:highlight w:val="none"/>
        </w:rPr>
      </w:pPr>
    </w:p>
    <w:p w14:paraId="0F7A9C56">
      <w:pPr>
        <w:rPr>
          <w:color w:val="auto"/>
          <w:highlight w:val="none"/>
        </w:rPr>
      </w:pPr>
    </w:p>
    <w:p w14:paraId="3087C1D3">
      <w:pPr>
        <w:spacing w:line="240" w:lineRule="auto"/>
        <w:ind w:firstLine="0" w:firstLineChars="0"/>
        <w:jc w:val="center"/>
        <w:rPr>
          <w:rFonts w:hint="eastAsia" w:ascii="宋体" w:hAnsi="宋体" w:cs="宋体"/>
          <w:b/>
          <w:color w:val="auto"/>
          <w:sz w:val="32"/>
          <w:szCs w:val="32"/>
          <w:highlight w:val="none"/>
        </w:rPr>
        <w:sectPr>
          <w:footerReference r:id="rId12" w:type="first"/>
          <w:footerReference r:id="rId11" w:type="default"/>
          <w:pgSz w:w="11906" w:h="16838"/>
          <w:pgMar w:top="1440" w:right="1531" w:bottom="1440" w:left="1531" w:header="794" w:footer="680" w:gutter="0"/>
          <w:pgNumType w:fmt="decimal" w:start="1"/>
          <w:cols w:space="720" w:num="1"/>
          <w:titlePg/>
          <w:docGrid w:type="lines" w:linePitch="312" w:charSpace="0"/>
        </w:sectPr>
      </w:pPr>
    </w:p>
    <w:p w14:paraId="205E3089">
      <w:pPr>
        <w:spacing w:line="240" w:lineRule="auto"/>
        <w:ind w:firstLine="0" w:firstLineChars="0"/>
        <w:jc w:val="center"/>
        <w:rPr>
          <w:color w:val="auto"/>
          <w:kern w:val="0"/>
          <w:szCs w:val="21"/>
          <w:highlight w:val="none"/>
        </w:rPr>
      </w:pPr>
      <w:r>
        <w:rPr>
          <w:rFonts w:hint="eastAsia" w:ascii="宋体" w:hAnsi="宋体" w:cs="宋体"/>
          <w:b/>
          <w:color w:val="auto"/>
          <w:sz w:val="32"/>
          <w:szCs w:val="32"/>
          <w:highlight w:val="none"/>
        </w:rPr>
        <w:t>第一章  磋商邀请</w:t>
      </w:r>
    </w:p>
    <w:p w14:paraId="2E139DE1">
      <w:pPr>
        <w:rPr>
          <w:color w:val="auto"/>
          <w:highlight w:val="none"/>
        </w:rPr>
      </w:pPr>
      <w:r>
        <w:rPr>
          <w:color w:val="auto"/>
          <w:highlight w:val="none"/>
        </w:rPr>
        <w:fldChar w:fldCharType="begin"/>
      </w:r>
      <w:r>
        <w:rPr>
          <w:color w:val="auto"/>
          <w:highlight w:val="none"/>
        </w:rPr>
        <w:instrText xml:space="preserve"> HYPERLINK "http://jczy.ccgp.gov.cn/gs1/gs1agentreg/javascript:void(0);" </w:instrText>
      </w:r>
      <w:r>
        <w:rPr>
          <w:color w:val="auto"/>
          <w:highlight w:val="none"/>
        </w:rPr>
        <w:fldChar w:fldCharType="separate"/>
      </w:r>
      <w:r>
        <w:rPr>
          <w:rFonts w:hint="eastAsia"/>
          <w:color w:val="auto"/>
          <w:highlight w:val="none"/>
          <w:u w:val="single"/>
        </w:rPr>
        <w:t>湖南扬屹咨询管理有限公司</w:t>
      </w:r>
      <w:r>
        <w:rPr>
          <w:rFonts w:hint="eastAsia"/>
          <w:color w:val="auto"/>
          <w:highlight w:val="none"/>
          <w:u w:val="single"/>
        </w:rPr>
        <w:fldChar w:fldCharType="end"/>
      </w:r>
      <w:r>
        <w:rPr>
          <w:rFonts w:hint="eastAsia"/>
          <w:color w:val="auto"/>
          <w:highlight w:val="none"/>
        </w:rPr>
        <w:t>（采购代理机构）受</w:t>
      </w:r>
      <w:r>
        <w:rPr>
          <w:rFonts w:hint="eastAsia"/>
          <w:color w:val="auto"/>
          <w:highlight w:val="none"/>
          <w:u w:val="single"/>
          <w:lang w:eastAsia="zh-CN"/>
        </w:rPr>
        <w:t>长沙市北鑫物业管理有限公司</w:t>
      </w:r>
      <w:r>
        <w:rPr>
          <w:rFonts w:hint="eastAsia"/>
          <w:color w:val="auto"/>
          <w:highlight w:val="none"/>
        </w:rPr>
        <w:t>（采购人）的委托，对</w:t>
      </w:r>
      <w:r>
        <w:rPr>
          <w:rFonts w:hint="eastAsia"/>
          <w:color w:val="auto"/>
          <w:highlight w:val="none"/>
          <w:u w:val="single"/>
          <w:lang w:eastAsia="zh-CN"/>
        </w:rPr>
        <w:t>新河大厦保安保洁业务委托服务采购项目</w:t>
      </w:r>
      <w:r>
        <w:rPr>
          <w:rFonts w:hint="eastAsia"/>
          <w:color w:val="auto"/>
          <w:highlight w:val="none"/>
        </w:rPr>
        <w:t>进行竞争性磋商采购，现采用竞争性磋商方式，邀请符合资格条件的供应商参与竞争性磋商采购活动。</w:t>
      </w:r>
    </w:p>
    <w:p w14:paraId="0DFC9459">
      <w:pPr>
        <w:rPr>
          <w:b/>
          <w:bCs/>
          <w:color w:val="auto"/>
          <w:highlight w:val="none"/>
        </w:rPr>
      </w:pPr>
      <w:r>
        <w:rPr>
          <w:rFonts w:hint="eastAsia"/>
          <w:b/>
          <w:bCs/>
          <w:color w:val="auto"/>
          <w:highlight w:val="none"/>
          <w:lang w:val="en-US" w:eastAsia="zh-CN"/>
        </w:rPr>
        <w:t>一、</w:t>
      </w:r>
      <w:r>
        <w:rPr>
          <w:rFonts w:hint="eastAsia"/>
          <w:b/>
          <w:bCs/>
          <w:color w:val="auto"/>
          <w:highlight w:val="none"/>
        </w:rPr>
        <w:t>采购项目基本概况</w:t>
      </w:r>
    </w:p>
    <w:p w14:paraId="373D1CB6">
      <w:pPr>
        <w:rPr>
          <w:rFonts w:hint="eastAsia" w:eastAsia="宋体"/>
          <w:color w:val="auto"/>
          <w:highlight w:val="none"/>
          <w:lang w:eastAsia="zh-CN"/>
        </w:rPr>
      </w:pPr>
      <w:r>
        <w:rPr>
          <w:rFonts w:hint="eastAsia"/>
          <w:color w:val="auto"/>
          <w:highlight w:val="none"/>
        </w:rPr>
        <w:t>1、采购项目名称：</w:t>
      </w:r>
      <w:r>
        <w:rPr>
          <w:rFonts w:hint="eastAsia"/>
          <w:color w:val="auto"/>
          <w:highlight w:val="none"/>
          <w:lang w:eastAsia="zh-CN"/>
        </w:rPr>
        <w:t>新河大厦保安保洁业务委托服务采购项目</w:t>
      </w:r>
    </w:p>
    <w:p w14:paraId="2C4D4A98">
      <w:pPr>
        <w:rPr>
          <w:rFonts w:hint="eastAsia" w:eastAsia="宋体"/>
          <w:color w:val="auto"/>
          <w:highlight w:val="none"/>
          <w:u w:val="none"/>
          <w:lang w:eastAsia="zh-CN"/>
        </w:rPr>
      </w:pPr>
      <w:r>
        <w:rPr>
          <w:rFonts w:hint="eastAsia"/>
          <w:color w:val="auto"/>
          <w:highlight w:val="none"/>
        </w:rPr>
        <w:t>2、采购计划编号：</w:t>
      </w:r>
      <w:r>
        <w:rPr>
          <w:rFonts w:hint="eastAsia"/>
          <w:color w:val="auto"/>
          <w:highlight w:val="none"/>
          <w:u w:val="none"/>
          <w:lang w:eastAsia="zh-CN"/>
        </w:rPr>
        <w:t>KFCG-F202604070022</w:t>
      </w:r>
    </w:p>
    <w:p w14:paraId="581B97BD">
      <w:pPr>
        <w:rPr>
          <w:rFonts w:hint="default" w:eastAsia="宋体"/>
          <w:color w:val="auto"/>
          <w:highlight w:val="none"/>
          <w:lang w:val="en-US" w:eastAsia="zh-CN"/>
        </w:rPr>
      </w:pPr>
      <w:r>
        <w:rPr>
          <w:rFonts w:hint="eastAsia"/>
          <w:color w:val="auto"/>
          <w:highlight w:val="none"/>
        </w:rPr>
        <w:t>3、委托代理编号：HNYY-2026047</w:t>
      </w:r>
    </w:p>
    <w:p w14:paraId="379A8DAD">
      <w:pPr>
        <w:rPr>
          <w:color w:val="auto"/>
          <w:highlight w:val="none"/>
        </w:rPr>
      </w:pPr>
      <w:r>
        <w:rPr>
          <w:rFonts w:hint="eastAsia"/>
          <w:color w:val="auto"/>
          <w:highlight w:val="none"/>
        </w:rPr>
        <w:t>4、采购项目标的、数量及简要规格描述或项目基本概况介绍：详见磋商文件“第四章 采购需求”。</w:t>
      </w:r>
    </w:p>
    <w:p w14:paraId="143030B5">
      <w:pPr>
        <w:rPr>
          <w:rFonts w:hint="eastAsia"/>
          <w:b/>
          <w:bCs/>
          <w:color w:val="auto"/>
          <w:highlight w:val="none"/>
          <w:lang w:eastAsia="zh-CN"/>
        </w:rPr>
      </w:pPr>
      <w:r>
        <w:rPr>
          <w:rFonts w:hint="eastAsia"/>
          <w:b/>
          <w:bCs/>
          <w:color w:val="auto"/>
          <w:highlight w:val="none"/>
        </w:rPr>
        <w:t>二、采购项目总预算：</w:t>
      </w:r>
      <w:r>
        <w:rPr>
          <w:rFonts w:hint="eastAsia"/>
          <w:b/>
          <w:bCs/>
          <w:color w:val="auto"/>
          <w:highlight w:val="none"/>
          <w:lang w:eastAsia="zh-CN"/>
        </w:rPr>
        <w:t>925932.00元</w:t>
      </w:r>
    </w:p>
    <w:p w14:paraId="5C622922">
      <w:pPr>
        <w:rPr>
          <w:b/>
          <w:bCs/>
          <w:color w:val="auto"/>
          <w:highlight w:val="none"/>
        </w:rPr>
      </w:pPr>
      <w:r>
        <w:rPr>
          <w:rFonts w:hint="eastAsia"/>
          <w:b/>
          <w:bCs/>
          <w:color w:val="auto"/>
          <w:highlight w:val="none"/>
        </w:rPr>
        <w:t>三、供应商资格条件</w:t>
      </w:r>
    </w:p>
    <w:p w14:paraId="16A39D6A">
      <w:pPr>
        <w:rPr>
          <w:color w:val="auto"/>
          <w:highlight w:val="none"/>
        </w:rPr>
      </w:pPr>
      <w:r>
        <w:rPr>
          <w:rFonts w:hint="eastAsia"/>
          <w:color w:val="auto"/>
          <w:highlight w:val="none"/>
        </w:rPr>
        <w:t>1、基本资格条件：供应商应符合《中华人民共和国政府采购法》第二十二条第一款规定的供应商条件，并提供以下资料：</w:t>
      </w:r>
    </w:p>
    <w:p w14:paraId="6651C2EC">
      <w:pPr>
        <w:rPr>
          <w:color w:val="auto"/>
          <w:highlight w:val="none"/>
        </w:rPr>
      </w:pPr>
      <w:r>
        <w:rPr>
          <w:rFonts w:hint="eastAsia"/>
          <w:color w:val="auto"/>
          <w:highlight w:val="none"/>
        </w:rPr>
        <w:t>（1）法人提交企业法人营业执照副本(或者法人登记证书)；</w:t>
      </w:r>
    </w:p>
    <w:p w14:paraId="05643BC6">
      <w:pPr>
        <w:rPr>
          <w:color w:val="auto"/>
          <w:highlight w:val="none"/>
        </w:rPr>
      </w:pPr>
      <w:r>
        <w:rPr>
          <w:rFonts w:hint="eastAsia"/>
          <w:color w:val="auto"/>
          <w:highlight w:val="none"/>
        </w:rPr>
        <w:t>（2）提交《供应商资格承诺函》；</w:t>
      </w:r>
    </w:p>
    <w:p w14:paraId="7B53D707">
      <w:pPr>
        <w:rPr>
          <w:color w:val="auto"/>
          <w:highlight w:val="none"/>
        </w:rPr>
      </w:pPr>
      <w:r>
        <w:rPr>
          <w:rFonts w:hint="eastAsia"/>
          <w:color w:val="auto"/>
          <w:highlight w:val="none"/>
        </w:rPr>
        <w:t>（3）法人提交法定代表人身份证明原件或者法定代表人授权委托书原</w:t>
      </w:r>
      <w:r>
        <w:rPr>
          <w:rFonts w:hint="eastAsia"/>
          <w:b w:val="0"/>
          <w:bCs w:val="0"/>
          <w:color w:val="auto"/>
          <w:highlight w:val="none"/>
        </w:rPr>
        <w:t>件及提供被授权人在投标单位近三个月</w:t>
      </w:r>
      <w:r>
        <w:rPr>
          <w:rFonts w:hint="eastAsia"/>
          <w:b w:val="0"/>
          <w:bCs w:val="0"/>
          <w:color w:val="auto"/>
          <w:highlight w:val="none"/>
          <w:lang w:eastAsia="zh-CN"/>
        </w:rPr>
        <w:t>内任意一个月</w:t>
      </w:r>
      <w:r>
        <w:rPr>
          <w:rFonts w:hint="eastAsia"/>
          <w:b w:val="0"/>
          <w:bCs w:val="0"/>
          <w:color w:val="auto"/>
          <w:highlight w:val="none"/>
        </w:rPr>
        <w:t>的社保证明并附法定代表人身份证明原件；自然人</w:t>
      </w:r>
      <w:r>
        <w:rPr>
          <w:rFonts w:hint="eastAsia"/>
          <w:color w:val="auto"/>
          <w:highlight w:val="none"/>
        </w:rPr>
        <w:t>提交身份证复印件；</w:t>
      </w:r>
    </w:p>
    <w:p w14:paraId="29BE8117">
      <w:pPr>
        <w:rPr>
          <w:color w:val="auto"/>
          <w:highlight w:val="none"/>
        </w:rPr>
      </w:pPr>
      <w:r>
        <w:rPr>
          <w:rFonts w:hint="eastAsia"/>
          <w:color w:val="auto"/>
          <w:highlight w:val="none"/>
        </w:rPr>
        <w:t>（4）其他说明。(非法人组织参与投标需提供的相关证明材料)。</w:t>
      </w:r>
    </w:p>
    <w:p w14:paraId="4A96D8DC">
      <w:pPr>
        <w:rPr>
          <w:color w:val="auto"/>
          <w:highlight w:val="none"/>
        </w:rPr>
      </w:pPr>
      <w:r>
        <w:rPr>
          <w:rFonts w:hint="eastAsia"/>
          <w:color w:val="auto"/>
          <w:highlight w:val="none"/>
        </w:rPr>
        <w:t>（5）</w:t>
      </w:r>
      <w:r>
        <w:rPr>
          <w:rFonts w:hint="eastAsia"/>
          <w:bCs/>
          <w:color w:val="auto"/>
          <w:highlight w:val="none"/>
        </w:rPr>
        <w:t>近</w:t>
      </w:r>
      <w:r>
        <w:rPr>
          <w:rFonts w:hint="eastAsia"/>
          <w:color w:val="auto"/>
          <w:highlight w:val="none"/>
        </w:rPr>
        <w:t>三个月是指</w:t>
      </w:r>
      <w:r>
        <w:rPr>
          <w:rFonts w:hint="eastAsia"/>
          <w:color w:val="auto"/>
          <w:highlight w:val="none"/>
          <w:lang w:eastAsia="zh-CN"/>
        </w:rPr>
        <w:t>2026年2月至2026年4月</w:t>
      </w:r>
      <w:r>
        <w:rPr>
          <w:rFonts w:hint="eastAsia"/>
          <w:color w:val="auto"/>
          <w:highlight w:val="none"/>
        </w:rPr>
        <w:t>。</w:t>
      </w:r>
    </w:p>
    <w:p w14:paraId="4DD67AEB">
      <w:pPr>
        <w:rPr>
          <w:color w:val="auto"/>
          <w:highlight w:val="none"/>
        </w:rPr>
      </w:pPr>
      <w:r>
        <w:rPr>
          <w:rFonts w:hint="eastAsia"/>
          <w:color w:val="auto"/>
          <w:highlight w:val="none"/>
        </w:rPr>
        <w:t>2、供应商特定资格条件：</w:t>
      </w:r>
      <w:r>
        <w:rPr>
          <w:rFonts w:hint="eastAsia"/>
          <w:color w:val="auto"/>
          <w:highlight w:val="none"/>
          <w:lang w:val="en-US" w:eastAsia="zh-CN"/>
        </w:rPr>
        <w:t>无</w:t>
      </w:r>
      <w:r>
        <w:rPr>
          <w:rFonts w:hint="eastAsia"/>
          <w:color w:val="auto"/>
          <w:highlight w:val="none"/>
        </w:rPr>
        <w:t>。</w:t>
      </w:r>
    </w:p>
    <w:p w14:paraId="608330E4">
      <w:pPr>
        <w:rPr>
          <w:color w:val="auto"/>
          <w:highlight w:val="none"/>
        </w:rPr>
      </w:pPr>
      <w:r>
        <w:rPr>
          <w:rFonts w:hint="eastAsia"/>
          <w:color w:val="auto"/>
          <w:highlight w:val="none"/>
        </w:rPr>
        <w:t>3、本项目不接受联合体投标。</w:t>
      </w:r>
    </w:p>
    <w:p w14:paraId="76EAA507">
      <w:pPr>
        <w:rPr>
          <w:b/>
          <w:bCs w:val="0"/>
          <w:color w:val="auto"/>
          <w:highlight w:val="none"/>
        </w:rPr>
      </w:pPr>
      <w:r>
        <w:rPr>
          <w:rFonts w:hint="eastAsia"/>
          <w:b/>
          <w:bCs w:val="0"/>
          <w:color w:val="auto"/>
          <w:highlight w:val="none"/>
        </w:rPr>
        <w:t xml:space="preserve">四、获取磋商文件的时间、地点、方式及磋商文件售价 </w:t>
      </w:r>
    </w:p>
    <w:p w14:paraId="17D329EA">
      <w:pPr>
        <w:adjustRightInd w:val="0"/>
        <w:snapToGrid w:val="0"/>
        <w:spacing w:line="360" w:lineRule="auto"/>
        <w:ind w:firstLine="420" w:firstLineChars="200"/>
        <w:jc w:val="left"/>
        <w:outlineLvl w:val="0"/>
        <w:rPr>
          <w:rFonts w:hint="eastAsia"/>
          <w:color w:val="auto"/>
          <w:highlight w:val="none"/>
        </w:rPr>
      </w:pPr>
      <w:r>
        <w:rPr>
          <w:rFonts w:hint="eastAsia"/>
          <w:color w:val="auto"/>
          <w:highlight w:val="none"/>
        </w:rPr>
        <w:t>1、凡有意参加磋商采购活动的，请于</w:t>
      </w:r>
      <w:r>
        <w:rPr>
          <w:rFonts w:hint="eastAsia"/>
          <w:color w:val="auto"/>
          <w:highlight w:val="none"/>
          <w:u w:val="single"/>
          <w:lang w:val="en-US" w:eastAsia="zh-CN"/>
        </w:rPr>
        <w:t xml:space="preserve"> 2026 </w:t>
      </w:r>
      <w:r>
        <w:rPr>
          <w:rFonts w:hint="eastAsia"/>
          <w:color w:val="auto"/>
          <w:highlight w:val="none"/>
        </w:rPr>
        <w:t>年</w:t>
      </w:r>
      <w:r>
        <w:rPr>
          <w:rFonts w:hint="eastAsia"/>
          <w:color w:val="auto"/>
          <w:highlight w:val="none"/>
          <w:u w:val="single"/>
          <w:lang w:val="en-US" w:eastAsia="zh-CN"/>
        </w:rPr>
        <w:t xml:space="preserve"> 04</w:t>
      </w:r>
      <w:r>
        <w:rPr>
          <w:rFonts w:hint="eastAsia"/>
          <w:color w:val="auto"/>
          <w:highlight w:val="none"/>
        </w:rPr>
        <w:t>月</w:t>
      </w:r>
      <w:r>
        <w:rPr>
          <w:rFonts w:hint="eastAsia"/>
          <w:color w:val="auto"/>
          <w:highlight w:val="none"/>
          <w:u w:val="single"/>
          <w:lang w:val="en-US" w:eastAsia="zh-CN"/>
        </w:rPr>
        <w:t xml:space="preserve"> 14 </w:t>
      </w:r>
      <w:r>
        <w:rPr>
          <w:rFonts w:hint="eastAsia"/>
          <w:color w:val="auto"/>
          <w:highlight w:val="none"/>
        </w:rPr>
        <w:t>日起至</w:t>
      </w:r>
      <w:r>
        <w:rPr>
          <w:rFonts w:hint="eastAsia"/>
          <w:color w:val="auto"/>
          <w:highlight w:val="none"/>
          <w:u w:val="single"/>
          <w:lang w:val="en-US" w:eastAsia="zh-CN"/>
        </w:rPr>
        <w:t xml:space="preserve"> 2026</w:t>
      </w:r>
      <w:r>
        <w:rPr>
          <w:rFonts w:hint="eastAsia"/>
          <w:color w:val="auto"/>
          <w:highlight w:val="none"/>
        </w:rPr>
        <w:t>年</w:t>
      </w:r>
      <w:r>
        <w:rPr>
          <w:rFonts w:hint="eastAsia"/>
          <w:color w:val="auto"/>
          <w:highlight w:val="none"/>
          <w:u w:val="single"/>
          <w:lang w:val="en-US" w:eastAsia="zh-CN"/>
        </w:rPr>
        <w:t>04</w:t>
      </w:r>
      <w:r>
        <w:rPr>
          <w:rFonts w:hint="eastAsia"/>
          <w:color w:val="auto"/>
          <w:highlight w:val="none"/>
        </w:rPr>
        <w:t>月</w:t>
      </w:r>
      <w:r>
        <w:rPr>
          <w:rFonts w:hint="eastAsia"/>
          <w:color w:val="auto"/>
          <w:highlight w:val="none"/>
          <w:u w:val="single"/>
          <w:lang w:val="en-US" w:eastAsia="zh-CN"/>
        </w:rPr>
        <w:t>21</w:t>
      </w:r>
      <w:r>
        <w:rPr>
          <w:rFonts w:hint="eastAsia"/>
          <w:color w:val="auto"/>
          <w:highlight w:val="none"/>
        </w:rPr>
        <w:t>日(节假日除外)，每日上午</w:t>
      </w:r>
      <w:r>
        <w:rPr>
          <w:rFonts w:hint="eastAsia"/>
          <w:color w:val="auto"/>
          <w:highlight w:val="none"/>
          <w:u w:val="single"/>
        </w:rPr>
        <w:t xml:space="preserve"> 9:00 </w:t>
      </w:r>
      <w:r>
        <w:rPr>
          <w:rFonts w:hint="eastAsia"/>
          <w:color w:val="auto"/>
          <w:highlight w:val="none"/>
        </w:rPr>
        <w:t>～</w:t>
      </w:r>
      <w:r>
        <w:rPr>
          <w:rFonts w:hint="eastAsia"/>
          <w:color w:val="auto"/>
          <w:highlight w:val="none"/>
          <w:u w:val="single"/>
        </w:rPr>
        <w:t xml:space="preserve"> 12:00 </w:t>
      </w:r>
      <w:r>
        <w:rPr>
          <w:rFonts w:hint="eastAsia"/>
          <w:color w:val="auto"/>
          <w:highlight w:val="none"/>
        </w:rPr>
        <w:t>，下午</w:t>
      </w:r>
      <w:r>
        <w:rPr>
          <w:rFonts w:hint="eastAsia"/>
          <w:color w:val="auto"/>
          <w:highlight w:val="none"/>
          <w:u w:val="single"/>
        </w:rPr>
        <w:t xml:space="preserve"> 14:30 </w:t>
      </w:r>
      <w:r>
        <w:rPr>
          <w:rFonts w:hint="eastAsia"/>
          <w:color w:val="auto"/>
          <w:highlight w:val="none"/>
        </w:rPr>
        <w:t>～</w:t>
      </w:r>
      <w:r>
        <w:rPr>
          <w:rFonts w:hint="eastAsia"/>
          <w:color w:val="auto"/>
          <w:highlight w:val="none"/>
          <w:u w:val="single"/>
        </w:rPr>
        <w:t xml:space="preserve"> 17:00 </w:t>
      </w:r>
      <w:r>
        <w:rPr>
          <w:rFonts w:hint="eastAsia"/>
          <w:color w:val="auto"/>
          <w:highlight w:val="none"/>
        </w:rPr>
        <w:t>(北京时间)，</w:t>
      </w:r>
      <w:r>
        <w:rPr>
          <w:rFonts w:hint="eastAsia"/>
          <w:b/>
          <w:bCs/>
          <w:color w:val="auto"/>
          <w:highlight w:val="none"/>
        </w:rPr>
        <w:t>持以下盖章资料</w:t>
      </w:r>
      <w:r>
        <w:rPr>
          <w:rFonts w:hint="eastAsia"/>
          <w:color w:val="auto"/>
          <w:highlight w:val="none"/>
        </w:rPr>
        <w:t>：</w:t>
      </w:r>
      <w:r>
        <w:rPr>
          <w:rFonts w:hint="eastAsia"/>
          <w:b/>
          <w:bCs/>
          <w:color w:val="auto"/>
          <w:highlight w:val="none"/>
        </w:rPr>
        <w:t>①单位介绍信、②法定代表人身份证明（附营业执照）或者授权委托书(并附法定代表人身份证明、附营业执照)、③个人身份证</w:t>
      </w:r>
      <w:r>
        <w:rPr>
          <w:rFonts w:hint="eastAsia"/>
          <w:color w:val="auto"/>
          <w:highlight w:val="none"/>
        </w:rPr>
        <w:t>到</w:t>
      </w:r>
      <w:r>
        <w:rPr>
          <w:color w:val="auto"/>
          <w:highlight w:val="none"/>
        </w:rPr>
        <w:fldChar w:fldCharType="begin"/>
      </w:r>
      <w:r>
        <w:rPr>
          <w:color w:val="auto"/>
          <w:highlight w:val="none"/>
        </w:rPr>
        <w:instrText xml:space="preserve"> HYPERLINK "http://jczy.ccgp.gov.cn/gs1/gs1agentreg/javascript:void(0);" </w:instrText>
      </w:r>
      <w:r>
        <w:rPr>
          <w:color w:val="auto"/>
          <w:highlight w:val="none"/>
        </w:rPr>
        <w:fldChar w:fldCharType="separate"/>
      </w:r>
      <w:r>
        <w:rPr>
          <w:rFonts w:hint="eastAsia"/>
          <w:color w:val="auto"/>
          <w:highlight w:val="none"/>
        </w:rPr>
        <w:t>湖南扬屹咨询管理有限公司</w:t>
      </w:r>
      <w:r>
        <w:rPr>
          <w:rFonts w:hint="eastAsia"/>
          <w:color w:val="auto"/>
          <w:highlight w:val="none"/>
        </w:rPr>
        <w:fldChar w:fldCharType="end"/>
      </w:r>
      <w:r>
        <w:rPr>
          <w:rFonts w:hint="eastAsia"/>
          <w:color w:val="auto"/>
          <w:highlight w:val="none"/>
        </w:rPr>
        <w:t>（</w:t>
      </w:r>
      <w:r>
        <w:rPr>
          <w:rFonts w:hint="eastAsia"/>
          <w:color w:val="auto"/>
          <w:highlight w:val="none"/>
          <w:lang w:eastAsia="zh-CN"/>
        </w:rPr>
        <w:t>长沙市开福区青竹湖街道彩霞社区金霞跨境产贸城5栋12层1203房</w:t>
      </w:r>
      <w:r>
        <w:rPr>
          <w:rFonts w:hint="eastAsia"/>
          <w:color w:val="auto"/>
          <w:highlight w:val="none"/>
        </w:rPr>
        <w:t>）领取磋商文件。</w:t>
      </w:r>
    </w:p>
    <w:p w14:paraId="33217CF4">
      <w:pPr>
        <w:adjustRightInd w:val="0"/>
        <w:snapToGrid w:val="0"/>
        <w:spacing w:line="360" w:lineRule="auto"/>
        <w:ind w:firstLine="420" w:firstLineChars="200"/>
        <w:jc w:val="left"/>
        <w:outlineLvl w:val="0"/>
        <w:rPr>
          <w:rFonts w:hint="eastAsia" w:ascii="Times New Roman" w:hAnsi="Times New Roman" w:eastAsia="宋体" w:cs="Times New Roman"/>
          <w:color w:val="auto"/>
          <w:highlight w:val="none"/>
        </w:rPr>
      </w:pPr>
      <w:r>
        <w:rPr>
          <w:rFonts w:hint="eastAsia" w:ascii="宋体" w:hAnsi="宋体" w:eastAsia="宋体" w:cs="宋体"/>
          <w:color w:val="auto"/>
          <w:szCs w:val="21"/>
          <w:highlight w:val="none"/>
        </w:rPr>
        <w:t>2、磋商文件每份人民币</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元，售后不退。</w:t>
      </w:r>
    </w:p>
    <w:p w14:paraId="49D6EAB3">
      <w:pPr>
        <w:ind w:left="0" w:leftChars="0" w:firstLine="422" w:firstLineChars="200"/>
        <w:rPr>
          <w:b/>
          <w:bCs/>
          <w:color w:val="auto"/>
          <w:highlight w:val="none"/>
        </w:rPr>
      </w:pPr>
      <w:r>
        <w:rPr>
          <w:rFonts w:hint="eastAsia"/>
          <w:b/>
          <w:bCs/>
          <w:color w:val="auto"/>
          <w:highlight w:val="none"/>
        </w:rPr>
        <w:t>五、响应文件提交的截止时间、开启时间及地点</w:t>
      </w:r>
    </w:p>
    <w:p w14:paraId="6554DC23">
      <w:pPr>
        <w:rPr>
          <w:color w:val="auto"/>
          <w:highlight w:val="none"/>
        </w:rPr>
      </w:pPr>
      <w:r>
        <w:rPr>
          <w:rFonts w:hint="eastAsia"/>
          <w:color w:val="auto"/>
          <w:highlight w:val="none"/>
        </w:rPr>
        <w:t>1、提交首次响应文件的截止时间为</w:t>
      </w:r>
      <w:r>
        <w:rPr>
          <w:rFonts w:hint="eastAsia"/>
          <w:color w:val="auto"/>
          <w:highlight w:val="none"/>
          <w:u w:val="single"/>
          <w:lang w:val="en-US" w:eastAsia="zh-CN"/>
        </w:rPr>
        <w:t xml:space="preserve"> 2026</w:t>
      </w:r>
      <w:r>
        <w:rPr>
          <w:rFonts w:hint="eastAsia"/>
          <w:color w:val="auto"/>
          <w:highlight w:val="none"/>
        </w:rPr>
        <w:t>年</w:t>
      </w:r>
      <w:r>
        <w:rPr>
          <w:rFonts w:hint="eastAsia"/>
          <w:color w:val="auto"/>
          <w:highlight w:val="none"/>
          <w:u w:val="single"/>
          <w:lang w:val="en-US" w:eastAsia="zh-CN"/>
        </w:rPr>
        <w:t xml:space="preserve">  04 </w:t>
      </w:r>
      <w:r>
        <w:rPr>
          <w:rFonts w:hint="eastAsia"/>
          <w:color w:val="auto"/>
          <w:highlight w:val="none"/>
        </w:rPr>
        <w:t>月</w:t>
      </w:r>
      <w:r>
        <w:rPr>
          <w:rFonts w:hint="eastAsia"/>
          <w:color w:val="auto"/>
          <w:highlight w:val="none"/>
          <w:u w:val="single"/>
          <w:lang w:val="en-US" w:eastAsia="zh-CN"/>
        </w:rPr>
        <w:t xml:space="preserve">  25  </w:t>
      </w:r>
      <w:r>
        <w:rPr>
          <w:rFonts w:hint="eastAsia"/>
          <w:color w:val="auto"/>
          <w:highlight w:val="none"/>
        </w:rPr>
        <w:t>日</w:t>
      </w:r>
      <w:r>
        <w:rPr>
          <w:rFonts w:hint="eastAsia"/>
          <w:color w:val="auto"/>
          <w:highlight w:val="none"/>
          <w:u w:val="single"/>
        </w:rPr>
        <w:t xml:space="preserve"> </w:t>
      </w:r>
      <w:r>
        <w:rPr>
          <w:rFonts w:hint="eastAsia"/>
          <w:color w:val="auto"/>
          <w:highlight w:val="none"/>
          <w:u w:val="single"/>
          <w:lang w:val="en-US" w:eastAsia="zh-CN"/>
        </w:rPr>
        <w:t>10</w:t>
      </w:r>
      <w:r>
        <w:rPr>
          <w:rFonts w:hint="eastAsia"/>
          <w:color w:val="auto"/>
          <w:highlight w:val="none"/>
          <w:u w:val="single"/>
        </w:rPr>
        <w:t xml:space="preserve"> </w:t>
      </w:r>
      <w:r>
        <w:rPr>
          <w:rFonts w:hint="eastAsia"/>
          <w:color w:val="auto"/>
          <w:highlight w:val="none"/>
        </w:rPr>
        <w:t>时</w:t>
      </w:r>
      <w:r>
        <w:rPr>
          <w:rFonts w:hint="eastAsia"/>
          <w:color w:val="auto"/>
          <w:highlight w:val="none"/>
          <w:u w:val="single"/>
          <w:lang w:val="en-US" w:eastAsia="zh-CN"/>
        </w:rPr>
        <w:t xml:space="preserve"> 30 </w:t>
      </w:r>
      <w:r>
        <w:rPr>
          <w:rFonts w:hint="eastAsia"/>
          <w:color w:val="auto"/>
          <w:highlight w:val="none"/>
        </w:rPr>
        <w:t>分（北京时间），地点为</w:t>
      </w:r>
      <w:r>
        <w:rPr>
          <w:color w:val="auto"/>
          <w:highlight w:val="none"/>
        </w:rPr>
        <w:fldChar w:fldCharType="begin"/>
      </w:r>
      <w:r>
        <w:rPr>
          <w:color w:val="auto"/>
          <w:highlight w:val="none"/>
        </w:rPr>
        <w:instrText xml:space="preserve"> HYPERLINK "http://jczy.ccgp.gov.cn/gs1/gs1agentreg/javascript:void(0);" </w:instrText>
      </w:r>
      <w:r>
        <w:rPr>
          <w:color w:val="auto"/>
          <w:highlight w:val="none"/>
        </w:rPr>
        <w:fldChar w:fldCharType="separate"/>
      </w:r>
      <w:r>
        <w:rPr>
          <w:rFonts w:hint="eastAsia"/>
          <w:color w:val="auto"/>
          <w:highlight w:val="none"/>
          <w:u w:val="single"/>
        </w:rPr>
        <w:t>湖南扬屹咨询管理有限公司</w:t>
      </w:r>
      <w:r>
        <w:rPr>
          <w:rFonts w:hint="eastAsia"/>
          <w:color w:val="auto"/>
          <w:highlight w:val="none"/>
          <w:u w:val="single"/>
        </w:rPr>
        <w:fldChar w:fldCharType="end"/>
      </w:r>
      <w:r>
        <w:rPr>
          <w:rFonts w:hint="eastAsia"/>
          <w:color w:val="auto"/>
          <w:highlight w:val="none"/>
          <w:u w:val="single"/>
        </w:rPr>
        <w:t>开标室（</w:t>
      </w:r>
      <w:r>
        <w:rPr>
          <w:rFonts w:hint="eastAsia"/>
          <w:color w:val="auto"/>
          <w:highlight w:val="none"/>
          <w:u w:val="single"/>
          <w:lang w:eastAsia="zh-CN"/>
        </w:rPr>
        <w:t>长沙市开福区青竹湖街道彩霞社区金霞跨境产贸城5栋12层1203房</w:t>
      </w:r>
      <w:r>
        <w:rPr>
          <w:rFonts w:hint="eastAsia"/>
          <w:color w:val="auto"/>
          <w:highlight w:val="none"/>
          <w:u w:val="single"/>
        </w:rPr>
        <w:t>）</w:t>
      </w:r>
      <w:r>
        <w:rPr>
          <w:rFonts w:hint="eastAsia"/>
          <w:color w:val="auto"/>
          <w:highlight w:val="none"/>
        </w:rPr>
        <w:t>(指定地点)。在截止时间后送达的响应文件为无效文件，采购人、采购代理机构或者磋商小组应当拒收。</w:t>
      </w:r>
    </w:p>
    <w:p w14:paraId="11D41E4C">
      <w:pPr>
        <w:rPr>
          <w:color w:val="auto"/>
          <w:highlight w:val="none"/>
        </w:rPr>
      </w:pPr>
      <w:r>
        <w:rPr>
          <w:rFonts w:hint="eastAsia"/>
          <w:color w:val="auto"/>
          <w:highlight w:val="none"/>
        </w:rPr>
        <w:t>2、首次响应文件的开启时间及地点与提交首次响应文件的截止时间及地点为同一时间及地点。</w:t>
      </w:r>
    </w:p>
    <w:p w14:paraId="06DC7CD9">
      <w:pPr>
        <w:ind w:left="0" w:leftChars="0" w:firstLine="422" w:firstLineChars="200"/>
        <w:rPr>
          <w:b/>
          <w:bCs/>
          <w:color w:val="auto"/>
          <w:highlight w:val="none"/>
        </w:rPr>
      </w:pPr>
      <w:r>
        <w:rPr>
          <w:rFonts w:hint="eastAsia"/>
          <w:b/>
          <w:bCs/>
          <w:color w:val="auto"/>
          <w:highlight w:val="none"/>
        </w:rPr>
        <w:t>六、公告期限</w:t>
      </w:r>
    </w:p>
    <w:p w14:paraId="0B791999">
      <w:pPr>
        <w:pStyle w:val="60"/>
        <w:keepNext w:val="0"/>
        <w:keepLines w:val="0"/>
        <w:pageBreakBefore w:val="0"/>
        <w:widowControl w:val="0"/>
        <w:kinsoku/>
        <w:wordWrap/>
        <w:overflowPunct/>
        <w:topLinePunct w:val="0"/>
        <w:autoSpaceDE/>
        <w:autoSpaceDN/>
        <w:bidi w:val="0"/>
        <w:spacing w:line="440" w:lineRule="exact"/>
        <w:textAlignment w:val="auto"/>
        <w:rPr>
          <w:color w:val="auto"/>
          <w:highlight w:val="none"/>
        </w:rPr>
      </w:pPr>
      <w:r>
        <w:rPr>
          <w:rFonts w:hint="eastAsia" w:ascii="宋体" w:hAnsi="宋体" w:cs="宋体"/>
          <w:color w:val="auto"/>
          <w:szCs w:val="21"/>
          <w:highlight w:val="none"/>
          <w:u w:val="single"/>
          <w:lang w:val="en-US" w:eastAsia="zh-CN"/>
        </w:rPr>
        <w:t xml:space="preserve"> 2026 </w:t>
      </w:r>
      <w:r>
        <w:rPr>
          <w:rFonts w:hint="eastAsia" w:ascii="宋体" w:hAnsi="宋体" w:cs="宋体"/>
          <w:color w:val="auto"/>
          <w:szCs w:val="21"/>
          <w:highlight w:val="none"/>
        </w:rPr>
        <w:t>年</w:t>
      </w:r>
      <w:r>
        <w:rPr>
          <w:rFonts w:hint="eastAsia" w:ascii="宋体" w:hAnsi="宋体" w:cs="宋体"/>
          <w:color w:val="auto"/>
          <w:szCs w:val="21"/>
          <w:highlight w:val="none"/>
          <w:u w:val="single"/>
          <w:lang w:val="en-US" w:eastAsia="zh-CN"/>
        </w:rPr>
        <w:t xml:space="preserve">  04 </w:t>
      </w:r>
      <w:r>
        <w:rPr>
          <w:rFonts w:hint="eastAsia" w:ascii="宋体" w:hAnsi="宋体" w:cs="宋体"/>
          <w:color w:val="auto"/>
          <w:highlight w:val="none"/>
        </w:rPr>
        <w:t>月</w:t>
      </w:r>
      <w:r>
        <w:rPr>
          <w:rFonts w:hint="eastAsia" w:ascii="宋体" w:hAnsi="宋体" w:cs="宋体"/>
          <w:color w:val="auto"/>
          <w:highlight w:val="none"/>
          <w:u w:val="single"/>
          <w:lang w:val="en-US" w:eastAsia="zh-CN"/>
        </w:rPr>
        <w:t xml:space="preserve">  14  </w:t>
      </w:r>
      <w:r>
        <w:rPr>
          <w:rFonts w:hint="eastAsia" w:ascii="宋体" w:hAnsi="宋体" w:cs="宋体"/>
          <w:color w:val="auto"/>
          <w:highlight w:val="none"/>
        </w:rPr>
        <w:t>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17</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时起至</w:t>
      </w:r>
      <w:r>
        <w:rPr>
          <w:rFonts w:hint="eastAsia" w:ascii="宋体" w:hAnsi="宋体" w:cs="宋体"/>
          <w:color w:val="auto"/>
          <w:szCs w:val="21"/>
          <w:highlight w:val="none"/>
          <w:u w:val="single"/>
          <w:lang w:val="en-US" w:eastAsia="zh-CN"/>
        </w:rPr>
        <w:t xml:space="preserve">  2026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04  </w:t>
      </w:r>
      <w:r>
        <w:rPr>
          <w:rFonts w:hint="eastAsia" w:ascii="宋体" w:hAnsi="宋体" w:cs="宋体"/>
          <w:color w:val="auto"/>
          <w:highlight w:val="none"/>
        </w:rPr>
        <w:t>月</w:t>
      </w:r>
      <w:r>
        <w:rPr>
          <w:rFonts w:hint="eastAsia" w:ascii="宋体" w:hAnsi="宋体" w:cs="宋体"/>
          <w:color w:val="auto"/>
          <w:highlight w:val="none"/>
          <w:u w:val="single"/>
          <w:lang w:val="en-US" w:eastAsia="zh-CN"/>
        </w:rPr>
        <w:t xml:space="preserve"> 17</w:t>
      </w:r>
      <w:r>
        <w:rPr>
          <w:rFonts w:hint="eastAsia" w:ascii="宋体" w:hAnsi="宋体" w:cs="宋体"/>
          <w:color w:val="auto"/>
          <w:highlight w:val="none"/>
        </w:rPr>
        <w:t>日</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17</w:t>
      </w:r>
      <w:r>
        <w:rPr>
          <w:rFonts w:hint="eastAsia" w:ascii="宋体" w:hAnsi="宋体" w:cs="宋体"/>
          <w:color w:val="auto"/>
          <w:szCs w:val="21"/>
          <w:highlight w:val="none"/>
          <w:u w:val="single"/>
        </w:rPr>
        <w:t xml:space="preserve"> </w:t>
      </w:r>
      <w:r>
        <w:rPr>
          <w:color w:val="auto"/>
          <w:szCs w:val="21"/>
          <w:highlight w:val="none"/>
        </w:rPr>
        <w:t>时（3个工作日）。</w:t>
      </w:r>
    </w:p>
    <w:p w14:paraId="30046D4B">
      <w:pPr>
        <w:keepNext w:val="0"/>
        <w:keepLines w:val="0"/>
        <w:pageBreakBefore w:val="0"/>
        <w:widowControl w:val="0"/>
        <w:kinsoku/>
        <w:wordWrap/>
        <w:overflowPunct/>
        <w:topLinePunct w:val="0"/>
        <w:autoSpaceDE/>
        <w:autoSpaceDN/>
        <w:bidi w:val="0"/>
        <w:spacing w:line="440" w:lineRule="exact"/>
        <w:textAlignment w:val="auto"/>
        <w:rPr>
          <w:color w:val="auto"/>
          <w:highlight w:val="none"/>
        </w:rPr>
      </w:pPr>
      <w:r>
        <w:rPr>
          <w:rFonts w:hint="eastAsia"/>
          <w:color w:val="auto"/>
          <w:highlight w:val="none"/>
        </w:rPr>
        <w:t>采购项目联系人姓名和电话</w:t>
      </w:r>
    </w:p>
    <w:p w14:paraId="035942AA">
      <w:pPr>
        <w:keepNext w:val="0"/>
        <w:keepLines w:val="0"/>
        <w:pageBreakBefore w:val="0"/>
        <w:widowControl w:val="0"/>
        <w:tabs>
          <w:tab w:val="left" w:pos="360"/>
        </w:tabs>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采 购 人：</w:t>
      </w:r>
      <w:r>
        <w:rPr>
          <w:rFonts w:hint="eastAsia" w:ascii="宋体" w:hAnsi="宋体" w:eastAsia="宋体" w:cs="宋体"/>
          <w:color w:val="auto"/>
          <w:szCs w:val="21"/>
          <w:highlight w:val="none"/>
          <w:lang w:eastAsia="zh-CN"/>
        </w:rPr>
        <w:t>长沙市北鑫物业管理有限公司</w:t>
      </w:r>
    </w:p>
    <w:p w14:paraId="56853887">
      <w:pPr>
        <w:keepNext w:val="0"/>
        <w:keepLines w:val="0"/>
        <w:pageBreakBefore w:val="0"/>
        <w:widowControl w:val="0"/>
        <w:tabs>
          <w:tab w:val="left" w:pos="360"/>
        </w:tabs>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址：长沙市开福区凤舞路30号</w:t>
      </w:r>
    </w:p>
    <w:p w14:paraId="6AED5FC9">
      <w:pPr>
        <w:keepNext w:val="0"/>
        <w:keepLines w:val="0"/>
        <w:pageBreakBefore w:val="0"/>
        <w:widowControl w:val="0"/>
        <w:tabs>
          <w:tab w:val="left" w:pos="360"/>
        </w:tabs>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lang w:eastAsia="zh-CN"/>
        </w:rPr>
        <w:t>0731-84390929</w:t>
      </w:r>
    </w:p>
    <w:p w14:paraId="1CF5D0CF">
      <w:pPr>
        <w:keepNext w:val="0"/>
        <w:keepLines w:val="0"/>
        <w:pageBreakBefore w:val="0"/>
        <w:widowControl w:val="0"/>
        <w:tabs>
          <w:tab w:val="left" w:pos="360"/>
        </w:tabs>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r>
        <w:rPr>
          <w:rFonts w:hint="eastAsia" w:ascii="宋体" w:hAnsi="宋体" w:eastAsia="宋体" w:cs="宋体"/>
          <w:color w:val="auto"/>
          <w:szCs w:val="21"/>
          <w:highlight w:val="none"/>
          <w:lang w:val="en-US" w:eastAsia="zh-CN"/>
        </w:rPr>
        <w:t>王</w:t>
      </w:r>
      <w:r>
        <w:rPr>
          <w:rFonts w:hint="eastAsia" w:ascii="宋体" w:hAnsi="宋体" w:eastAsia="宋体" w:cs="宋体"/>
          <w:color w:val="auto"/>
          <w:szCs w:val="21"/>
          <w:highlight w:val="none"/>
        </w:rPr>
        <w:t>女士</w:t>
      </w:r>
    </w:p>
    <w:p w14:paraId="5EEEEE81">
      <w:pPr>
        <w:keepNext w:val="0"/>
        <w:keepLines w:val="0"/>
        <w:pageBreakBefore w:val="0"/>
        <w:widowControl w:val="0"/>
        <w:tabs>
          <w:tab w:val="left" w:pos="360"/>
        </w:tabs>
        <w:kinsoku/>
        <w:wordWrap/>
        <w:overflowPunct/>
        <w:topLinePunct w:val="0"/>
        <w:autoSpaceDE/>
        <w:autoSpaceDN/>
        <w:bidi w:val="0"/>
        <w:adjustRightInd w:val="0"/>
        <w:snapToGrid w:val="0"/>
        <w:spacing w:line="440" w:lineRule="exact"/>
        <w:ind w:firstLine="420" w:firstLineChars="200"/>
        <w:textAlignment w:val="auto"/>
        <w:rPr>
          <w:rFonts w:hint="eastAsia" w:ascii="宋体" w:hAnsi="宋体" w:eastAsia="宋体" w:cs="宋体"/>
          <w:color w:val="auto"/>
          <w:szCs w:val="21"/>
          <w:highlight w:val="none"/>
        </w:rPr>
      </w:pPr>
    </w:p>
    <w:p w14:paraId="0C6BB350">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"http://jczy.ccgp.gov.cn/gs1/gs1agentreg/javascript:void(0);"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湖南扬屹咨询管理有限公司</w:t>
      </w:r>
      <w:r>
        <w:rPr>
          <w:rFonts w:hint="eastAsia" w:ascii="宋体" w:hAnsi="宋体" w:eastAsia="宋体" w:cs="宋体"/>
          <w:color w:val="auto"/>
          <w:szCs w:val="21"/>
          <w:highlight w:val="none"/>
        </w:rPr>
        <w:fldChar w:fldCharType="end"/>
      </w:r>
    </w:p>
    <w:p w14:paraId="09DBF29C">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    址：</w:t>
      </w:r>
      <w:r>
        <w:rPr>
          <w:rFonts w:hint="eastAsia" w:cs="宋体"/>
          <w:color w:val="auto"/>
          <w:szCs w:val="21"/>
          <w:highlight w:val="none"/>
          <w:lang w:eastAsia="zh-CN"/>
        </w:rPr>
        <w:t>长沙市开福区青竹湖街道彩霞社区金霞跨境产贸城5栋12层1203房</w:t>
      </w:r>
    </w:p>
    <w:p w14:paraId="3C733383">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话：0731-85581303、18874701060 </w:t>
      </w:r>
    </w:p>
    <w:p w14:paraId="09D51AE3">
      <w:pPr>
        <w:keepNext w:val="0"/>
        <w:keepLines w:val="0"/>
        <w:pageBreakBefore w:val="0"/>
        <w:widowControl w:val="0"/>
        <w:tabs>
          <w:tab w:val="left" w:pos="360"/>
        </w:tabs>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人：唐聪、肖杨</w:t>
      </w:r>
    </w:p>
    <w:p w14:paraId="2EBC6632">
      <w:pPr>
        <w:adjustRightInd w:val="0"/>
        <w:snapToGrid w:val="0"/>
        <w:spacing w:line="360" w:lineRule="auto"/>
        <w:ind w:firstLine="422"/>
        <w:rPr>
          <w:rFonts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七、补充其他内容</w:t>
      </w:r>
    </w:p>
    <w:p w14:paraId="5DB74FD9">
      <w:pPr>
        <w:keepNext w:val="0"/>
        <w:keepLines w:val="0"/>
        <w:pageBreakBefore w:val="0"/>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Times New Roman"/>
          <w:b w:val="0"/>
          <w:bCs w:val="0"/>
          <w:color w:val="auto"/>
          <w:szCs w:val="21"/>
          <w:highlight w:val="none"/>
        </w:rPr>
      </w:pPr>
      <w:r>
        <w:rPr>
          <w:rFonts w:hint="eastAsia" w:ascii="宋体" w:hAnsi="宋体" w:eastAsia="宋体" w:cs="Times New Roman"/>
          <w:b w:val="0"/>
          <w:bCs w:val="0"/>
          <w:color w:val="auto"/>
          <w:szCs w:val="21"/>
          <w:highlight w:val="none"/>
          <w:lang w:val="en-US" w:eastAsia="zh-CN"/>
        </w:rPr>
        <w:t>本项目为国有企业</w:t>
      </w:r>
      <w:r>
        <w:rPr>
          <w:rFonts w:hint="eastAsia" w:cs="Times New Roman"/>
          <w:b w:val="0"/>
          <w:bCs w:val="0"/>
          <w:color w:val="auto"/>
          <w:szCs w:val="21"/>
          <w:highlight w:val="none"/>
          <w:lang w:val="en-US" w:eastAsia="zh-CN"/>
        </w:rPr>
        <w:t>自主</w:t>
      </w:r>
      <w:r>
        <w:rPr>
          <w:rFonts w:hint="eastAsia" w:ascii="宋体" w:hAnsi="宋体" w:eastAsia="宋体" w:cs="Times New Roman"/>
          <w:b w:val="0"/>
          <w:bCs w:val="0"/>
          <w:color w:val="auto"/>
          <w:szCs w:val="21"/>
          <w:highlight w:val="none"/>
          <w:lang w:val="en-US" w:eastAsia="zh-CN"/>
        </w:rPr>
        <w:t>采购活动，</w:t>
      </w:r>
      <w:r>
        <w:rPr>
          <w:rFonts w:hint="eastAsia" w:ascii="宋体" w:hAnsi="宋体" w:eastAsia="宋体" w:cs="Times New Roman"/>
          <w:color w:val="auto"/>
          <w:szCs w:val="21"/>
          <w:highlight w:val="none"/>
        </w:rPr>
        <w:t>不属于依法必须招标的项目，也不属于政府采购项目</w:t>
      </w:r>
      <w:r>
        <w:rPr>
          <w:rFonts w:hint="eastAsia" w:ascii="宋体" w:hAnsi="宋体" w:eastAsia="宋体" w:cs="Times New Roman"/>
          <w:b w:val="0"/>
          <w:bCs w:val="0"/>
          <w:color w:val="auto"/>
          <w:szCs w:val="21"/>
          <w:highlight w:val="none"/>
          <w:lang w:val="en-US" w:eastAsia="zh-CN"/>
        </w:rPr>
        <w:t>，本文件所称政府采购的表述不代表本项目适用政府采购政策规定，</w:t>
      </w:r>
      <w:r>
        <w:rPr>
          <w:rFonts w:hint="eastAsia" w:ascii="宋体" w:hAnsi="宋体" w:eastAsia="宋体" w:cs="Times New Roman"/>
          <w:color w:val="auto"/>
          <w:szCs w:val="21"/>
          <w:highlight w:val="none"/>
          <w:lang w:val="en-US" w:eastAsia="zh-CN"/>
        </w:rPr>
        <w:t>本项目</w:t>
      </w:r>
      <w:r>
        <w:rPr>
          <w:rFonts w:hint="eastAsia" w:ascii="宋体" w:hAnsi="宋体" w:eastAsia="宋体" w:cs="Times New Roman"/>
          <w:color w:val="auto"/>
          <w:szCs w:val="21"/>
          <w:highlight w:val="none"/>
        </w:rPr>
        <w:t>不受《招标投标法》和《政府采购法》约束，仅以</w:t>
      </w:r>
      <w:r>
        <w:rPr>
          <w:rFonts w:hint="eastAsia" w:ascii="宋体" w:hAnsi="宋体" w:eastAsia="宋体" w:cs="Times New Roman"/>
          <w:color w:val="auto"/>
          <w:szCs w:val="21"/>
          <w:highlight w:val="none"/>
          <w:lang w:val="en-US" w:eastAsia="zh-CN"/>
        </w:rPr>
        <w:t>采购人</w:t>
      </w:r>
      <w:r>
        <w:rPr>
          <w:rFonts w:hint="eastAsia" w:ascii="宋体" w:hAnsi="宋体" w:eastAsia="宋体" w:cs="Times New Roman"/>
          <w:b w:val="0"/>
          <w:bCs w:val="0"/>
          <w:color w:val="auto"/>
          <w:szCs w:val="21"/>
          <w:highlight w:val="none"/>
          <w:lang w:val="en-US" w:eastAsia="zh-CN"/>
        </w:rPr>
        <w:t>所属集团</w:t>
      </w:r>
      <w:r>
        <w:rPr>
          <w:rFonts w:hint="eastAsia" w:ascii="宋体" w:hAnsi="宋体" w:eastAsia="宋体" w:cs="Times New Roman"/>
          <w:b w:val="0"/>
          <w:bCs w:val="0"/>
          <w:color w:val="auto"/>
          <w:szCs w:val="21"/>
          <w:highlight w:val="none"/>
        </w:rPr>
        <w:t>的规章制度或项目采购文件为依据。</w:t>
      </w:r>
      <w:r>
        <w:rPr>
          <w:rFonts w:hint="eastAsia" w:ascii="宋体" w:hAnsi="宋体" w:eastAsia="宋体" w:cs="Times New Roman"/>
          <w:b w:val="0"/>
          <w:bCs w:val="0"/>
          <w:color w:val="auto"/>
          <w:szCs w:val="21"/>
          <w:highlight w:val="none"/>
          <w:lang w:val="en-US" w:eastAsia="zh-CN"/>
        </w:rPr>
        <w:t>所有相关问题的处理及本采购需求最终解释权在采购人，</w:t>
      </w:r>
      <w:r>
        <w:rPr>
          <w:rFonts w:hint="eastAsia" w:ascii="宋体" w:hAnsi="宋体"/>
          <w:b w:val="0"/>
          <w:bCs w:val="0"/>
          <w:color w:val="auto"/>
          <w:kern w:val="0"/>
          <w:szCs w:val="21"/>
          <w:highlight w:val="none"/>
        </w:rPr>
        <w:t>由采购人负责项目的监管及相关问题的处理，采购人可根据项目实际情况确定商务条款、相关评审办法等。</w:t>
      </w:r>
    </w:p>
    <w:p w14:paraId="2452E72A">
      <w:pPr>
        <w:pStyle w:val="24"/>
        <w:jc w:val="center"/>
        <w:rPr>
          <w:color w:val="auto"/>
          <w:highlight w:val="none"/>
        </w:rPr>
      </w:pPr>
      <w:r>
        <w:rPr>
          <w:rFonts w:hint="eastAsia"/>
          <w:color w:val="auto"/>
          <w:highlight w:val="none"/>
        </w:rPr>
        <w:br w:type="page"/>
      </w:r>
      <w:r>
        <w:rPr>
          <w:rFonts w:hint="eastAsia" w:hAnsi="宋体" w:cs="宋体"/>
          <w:b/>
          <w:color w:val="auto"/>
          <w:sz w:val="32"/>
          <w:szCs w:val="32"/>
          <w:highlight w:val="none"/>
        </w:rPr>
        <w:t>第二章 磋商须知</w:t>
      </w:r>
    </w:p>
    <w:p w14:paraId="1FD142B2">
      <w:pPr>
        <w:pStyle w:val="24"/>
        <w:ind w:left="0" w:leftChars="0" w:firstLine="0" w:firstLineChars="0"/>
        <w:rPr>
          <w:b/>
          <w:bCs/>
          <w:color w:val="auto"/>
          <w:sz w:val="24"/>
          <w:szCs w:val="24"/>
          <w:highlight w:val="none"/>
        </w:rPr>
      </w:pPr>
      <w:r>
        <w:rPr>
          <w:rFonts w:hint="eastAsia"/>
          <w:b/>
          <w:bCs/>
          <w:color w:val="auto"/>
          <w:sz w:val="24"/>
          <w:szCs w:val="24"/>
          <w:highlight w:val="none"/>
        </w:rPr>
        <w:t>磋商须知前附表</w:t>
      </w:r>
    </w:p>
    <w:p w14:paraId="3A03A1C9">
      <w:pPr>
        <w:pStyle w:val="24"/>
        <w:ind w:left="0" w:leftChars="0" w:firstLine="0" w:firstLineChars="0"/>
        <w:rPr>
          <w:color w:val="auto"/>
          <w:highlight w:val="none"/>
        </w:rPr>
      </w:pPr>
      <w:r>
        <w:rPr>
          <w:rFonts w:hint="eastAsia"/>
          <w:color w:val="auto"/>
          <w:highlight w:val="none"/>
        </w:rPr>
        <w:t>注： 请在方框□内划√选择，在“条款号”内限选一项。（本项目采用的条款用“■”标示）</w:t>
      </w:r>
    </w:p>
    <w:tbl>
      <w:tblPr>
        <w:tblStyle w:val="43"/>
        <w:tblW w:w="884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67"/>
        <w:gridCol w:w="1710"/>
        <w:gridCol w:w="5268"/>
      </w:tblGrid>
      <w:tr w14:paraId="093440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tblHeader/>
          <w:jc w:val="center"/>
        </w:trPr>
        <w:tc>
          <w:tcPr>
            <w:tcW w:w="1867" w:type="dxa"/>
            <w:vAlign w:val="center"/>
          </w:tcPr>
          <w:p w14:paraId="474C75D8">
            <w:pPr>
              <w:keepNext w:val="0"/>
              <w:keepLines w:val="0"/>
              <w:suppressLineNumbers w:val="0"/>
              <w:spacing w:before="0" w:beforeAutospacing="0" w:after="0" w:afterAutospacing="0"/>
              <w:ind w:left="0" w:right="0"/>
              <w:rPr>
                <w:rFonts w:hint="default"/>
                <w:b/>
                <w:bCs/>
                <w:color w:val="auto"/>
                <w:highlight w:val="none"/>
              </w:rPr>
            </w:pPr>
            <w:r>
              <w:rPr>
                <w:rFonts w:hint="eastAsia"/>
                <w:b/>
                <w:bCs/>
                <w:color w:val="auto"/>
                <w:highlight w:val="none"/>
              </w:rPr>
              <w:t>条款号</w:t>
            </w:r>
          </w:p>
        </w:tc>
        <w:tc>
          <w:tcPr>
            <w:tcW w:w="1710" w:type="dxa"/>
            <w:vAlign w:val="center"/>
          </w:tcPr>
          <w:p w14:paraId="6E17B546">
            <w:pPr>
              <w:keepNext w:val="0"/>
              <w:keepLines w:val="0"/>
              <w:suppressLineNumbers w:val="0"/>
              <w:spacing w:before="0" w:beforeAutospacing="0" w:after="0" w:afterAutospacing="0"/>
              <w:ind w:left="0" w:right="0"/>
              <w:rPr>
                <w:rFonts w:hint="default"/>
                <w:b/>
                <w:bCs/>
                <w:color w:val="auto"/>
                <w:highlight w:val="none"/>
              </w:rPr>
            </w:pPr>
            <w:r>
              <w:rPr>
                <w:rFonts w:hint="eastAsia"/>
                <w:b/>
                <w:bCs/>
                <w:color w:val="auto"/>
                <w:highlight w:val="none"/>
              </w:rPr>
              <w:t>条款名称</w:t>
            </w:r>
          </w:p>
        </w:tc>
        <w:tc>
          <w:tcPr>
            <w:tcW w:w="5268" w:type="dxa"/>
            <w:vAlign w:val="center"/>
          </w:tcPr>
          <w:p w14:paraId="1431D2DB">
            <w:pPr>
              <w:keepNext w:val="0"/>
              <w:keepLines w:val="0"/>
              <w:suppressLineNumbers w:val="0"/>
              <w:spacing w:before="0" w:beforeAutospacing="0" w:after="0" w:afterAutospacing="0"/>
              <w:ind w:left="0" w:right="0" w:firstLine="1476" w:firstLineChars="700"/>
              <w:rPr>
                <w:rFonts w:hint="default"/>
                <w:b/>
                <w:bCs/>
                <w:color w:val="auto"/>
                <w:highlight w:val="none"/>
              </w:rPr>
            </w:pPr>
            <w:r>
              <w:rPr>
                <w:rFonts w:hint="eastAsia"/>
                <w:b/>
                <w:bCs/>
                <w:color w:val="auto"/>
                <w:highlight w:val="none"/>
              </w:rPr>
              <w:t>编列内容规定</w:t>
            </w:r>
          </w:p>
        </w:tc>
      </w:tr>
      <w:tr w14:paraId="3DA0BD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8845" w:type="dxa"/>
            <w:gridSpan w:val="3"/>
            <w:vAlign w:val="center"/>
          </w:tcPr>
          <w:p w14:paraId="15DE9A35">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b/>
                <w:bCs/>
                <w:color w:val="auto"/>
                <w:highlight w:val="none"/>
              </w:rPr>
              <w:t>一、说明</w:t>
            </w:r>
          </w:p>
        </w:tc>
      </w:tr>
      <w:tr w14:paraId="33DE6D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7" w:hRule="atLeast"/>
          <w:jc w:val="center"/>
        </w:trPr>
        <w:tc>
          <w:tcPr>
            <w:tcW w:w="1867" w:type="dxa"/>
            <w:vAlign w:val="center"/>
          </w:tcPr>
          <w:p w14:paraId="0B814F51">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第二章第1.1款</w:t>
            </w:r>
          </w:p>
        </w:tc>
        <w:tc>
          <w:tcPr>
            <w:tcW w:w="1710" w:type="dxa"/>
            <w:vAlign w:val="center"/>
          </w:tcPr>
          <w:p w14:paraId="4744183F">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采购项目</w:t>
            </w:r>
          </w:p>
        </w:tc>
        <w:tc>
          <w:tcPr>
            <w:tcW w:w="5268" w:type="dxa"/>
            <w:vAlign w:val="center"/>
          </w:tcPr>
          <w:p w14:paraId="019AD33A">
            <w:pPr>
              <w:keepNext w:val="0"/>
              <w:keepLines w:val="0"/>
              <w:suppressLineNumbers w:val="0"/>
              <w:spacing w:before="0" w:beforeAutospacing="0" w:after="0" w:afterAutospacing="0"/>
              <w:ind w:left="0" w:leftChars="0" w:right="0" w:firstLine="0" w:firstLineChars="0"/>
              <w:rPr>
                <w:rFonts w:hint="eastAsia" w:eastAsia="宋体"/>
                <w:color w:val="auto"/>
                <w:highlight w:val="none"/>
                <w:lang w:eastAsia="zh-CN"/>
              </w:rPr>
            </w:pPr>
            <w:r>
              <w:rPr>
                <w:rFonts w:hint="eastAsia"/>
                <w:color w:val="auto"/>
                <w:highlight w:val="none"/>
                <w:lang w:eastAsia="zh-CN"/>
              </w:rPr>
              <w:t>新河大厦保安保洁业务委托服务采购项目</w:t>
            </w:r>
          </w:p>
        </w:tc>
      </w:tr>
      <w:tr w14:paraId="662D2E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90" w:hRule="atLeast"/>
          <w:jc w:val="center"/>
        </w:trPr>
        <w:tc>
          <w:tcPr>
            <w:tcW w:w="1867" w:type="dxa"/>
            <w:vAlign w:val="center"/>
          </w:tcPr>
          <w:p w14:paraId="165E8FFB">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第二章第2.1款</w:t>
            </w:r>
          </w:p>
        </w:tc>
        <w:tc>
          <w:tcPr>
            <w:tcW w:w="1710" w:type="dxa"/>
            <w:vAlign w:val="center"/>
          </w:tcPr>
          <w:p w14:paraId="1D78AE35">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采购人</w:t>
            </w:r>
          </w:p>
        </w:tc>
        <w:tc>
          <w:tcPr>
            <w:tcW w:w="5268" w:type="dxa"/>
            <w:vAlign w:val="center"/>
          </w:tcPr>
          <w:p w14:paraId="23EA4562">
            <w:pPr>
              <w:pStyle w:val="24"/>
              <w:keepNext w:val="0"/>
              <w:keepLines w:val="0"/>
              <w:suppressLineNumbers w:val="0"/>
              <w:spacing w:before="0" w:beforeAutospacing="0" w:after="0" w:afterAutospacing="0"/>
              <w:ind w:left="0" w:leftChars="0" w:right="0" w:firstLine="0" w:firstLineChars="0"/>
              <w:rPr>
                <w:rFonts w:hint="eastAsia" w:eastAsia="宋体"/>
                <w:color w:val="auto"/>
                <w:highlight w:val="none"/>
                <w:lang w:eastAsia="zh-CN"/>
              </w:rPr>
            </w:pPr>
            <w:r>
              <w:rPr>
                <w:rFonts w:hint="eastAsia"/>
                <w:color w:val="auto"/>
                <w:highlight w:val="none"/>
              </w:rPr>
              <w:t>采购人：</w:t>
            </w:r>
            <w:r>
              <w:rPr>
                <w:rFonts w:hint="eastAsia"/>
                <w:color w:val="auto"/>
                <w:highlight w:val="none"/>
                <w:lang w:eastAsia="zh-CN"/>
              </w:rPr>
              <w:t>长沙市北鑫物业管理有限公司</w:t>
            </w:r>
          </w:p>
          <w:p w14:paraId="610B64B4">
            <w:pPr>
              <w:pStyle w:val="24"/>
              <w:keepNext w:val="0"/>
              <w:keepLines w:val="0"/>
              <w:suppressLineNumbers w:val="0"/>
              <w:spacing w:before="0" w:beforeAutospacing="0" w:after="0" w:afterAutospacing="0"/>
              <w:ind w:left="0" w:leftChars="0" w:right="0" w:firstLine="0" w:firstLineChars="0"/>
              <w:rPr>
                <w:rFonts w:hint="eastAsia" w:eastAsia="宋体"/>
                <w:color w:val="auto"/>
                <w:highlight w:val="none"/>
                <w:lang w:eastAsia="zh-CN"/>
              </w:rPr>
            </w:pPr>
            <w:r>
              <w:rPr>
                <w:rFonts w:hint="eastAsia"/>
                <w:color w:val="auto"/>
                <w:highlight w:val="none"/>
              </w:rPr>
              <w:t>联系人：</w:t>
            </w:r>
            <w:r>
              <w:rPr>
                <w:rFonts w:hint="eastAsia"/>
                <w:color w:val="auto"/>
                <w:highlight w:val="none"/>
                <w:lang w:eastAsia="zh-CN"/>
              </w:rPr>
              <w:t>王女士</w:t>
            </w:r>
          </w:p>
          <w:p w14:paraId="5050208C">
            <w:pPr>
              <w:pStyle w:val="24"/>
              <w:keepNext w:val="0"/>
              <w:keepLines w:val="0"/>
              <w:suppressLineNumbers w:val="0"/>
              <w:spacing w:before="0" w:beforeAutospacing="0" w:after="0" w:afterAutospacing="0"/>
              <w:ind w:left="0" w:leftChars="0" w:right="0" w:firstLine="0" w:firstLineChars="0"/>
              <w:rPr>
                <w:rFonts w:hint="eastAsia" w:eastAsia="宋体"/>
                <w:color w:val="auto"/>
                <w:highlight w:val="none"/>
                <w:lang w:eastAsia="zh-CN"/>
              </w:rPr>
            </w:pPr>
            <w:r>
              <w:rPr>
                <w:rFonts w:hint="eastAsia"/>
                <w:color w:val="auto"/>
                <w:highlight w:val="none"/>
              </w:rPr>
              <w:t>电  话：</w:t>
            </w:r>
            <w:r>
              <w:rPr>
                <w:rFonts w:hint="eastAsia"/>
                <w:color w:val="auto"/>
                <w:highlight w:val="none"/>
                <w:lang w:eastAsia="zh-CN"/>
              </w:rPr>
              <w:t>0731-84390929</w:t>
            </w:r>
          </w:p>
          <w:p w14:paraId="53F2AFDA">
            <w:pPr>
              <w:pStyle w:val="24"/>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地  址：长沙市开福区凤舞路30号</w:t>
            </w:r>
          </w:p>
        </w:tc>
      </w:tr>
      <w:tr w14:paraId="5CCB65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547D1C6B">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第二章第2.2款</w:t>
            </w:r>
          </w:p>
        </w:tc>
        <w:tc>
          <w:tcPr>
            <w:tcW w:w="1710" w:type="dxa"/>
            <w:vAlign w:val="center"/>
          </w:tcPr>
          <w:p w14:paraId="5905CA56">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采购代理机构</w:t>
            </w:r>
          </w:p>
        </w:tc>
        <w:tc>
          <w:tcPr>
            <w:tcW w:w="5268" w:type="dxa"/>
            <w:vAlign w:val="center"/>
          </w:tcPr>
          <w:p w14:paraId="17B75779">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代理机构：</w:t>
            </w:r>
            <w:r>
              <w:rPr>
                <w:rFonts w:hint="default"/>
                <w:color w:val="auto"/>
                <w:highlight w:val="none"/>
              </w:rPr>
              <w:fldChar w:fldCharType="begin"/>
            </w:r>
            <w:r>
              <w:rPr>
                <w:rFonts w:hint="default"/>
                <w:color w:val="auto"/>
                <w:highlight w:val="none"/>
              </w:rPr>
              <w:instrText xml:space="preserve"> HYPERLINK "http://jczy.ccgp.gov.cn/gs1/gs1agentreg/javascript:void(0);" </w:instrText>
            </w:r>
            <w:r>
              <w:rPr>
                <w:rFonts w:hint="default"/>
                <w:color w:val="auto"/>
                <w:highlight w:val="none"/>
              </w:rPr>
              <w:fldChar w:fldCharType="separate"/>
            </w:r>
            <w:r>
              <w:rPr>
                <w:rFonts w:hint="eastAsia"/>
                <w:color w:val="auto"/>
                <w:highlight w:val="none"/>
              </w:rPr>
              <w:t>湖南扬屹咨询管理有限公司</w:t>
            </w:r>
            <w:r>
              <w:rPr>
                <w:rFonts w:hint="eastAsia"/>
                <w:color w:val="auto"/>
                <w:highlight w:val="none"/>
              </w:rPr>
              <w:fldChar w:fldCharType="end"/>
            </w:r>
          </w:p>
          <w:p w14:paraId="25184AF7">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联系人：唐聪、肖杨</w:t>
            </w:r>
          </w:p>
          <w:p w14:paraId="4F0AE9F7">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 xml:space="preserve">电  话：0731-85581303、18874701060 </w:t>
            </w:r>
          </w:p>
          <w:p w14:paraId="3EF4ED41">
            <w:pPr>
              <w:keepNext w:val="0"/>
              <w:keepLines w:val="0"/>
              <w:suppressLineNumbers w:val="0"/>
              <w:spacing w:before="0" w:beforeAutospacing="0" w:after="0" w:afterAutospacing="0"/>
              <w:ind w:left="0" w:leftChars="0" w:right="0" w:firstLine="0" w:firstLineChars="0"/>
              <w:rPr>
                <w:rFonts w:hint="eastAsia" w:eastAsia="宋体"/>
                <w:color w:val="auto"/>
                <w:szCs w:val="21"/>
                <w:highlight w:val="none"/>
                <w:lang w:eastAsia="zh-CN"/>
              </w:rPr>
            </w:pPr>
            <w:r>
              <w:rPr>
                <w:rFonts w:hint="eastAsia"/>
                <w:color w:val="auto"/>
                <w:highlight w:val="none"/>
              </w:rPr>
              <w:t>地  址：</w:t>
            </w:r>
            <w:r>
              <w:rPr>
                <w:rFonts w:hint="eastAsia"/>
                <w:color w:val="auto"/>
                <w:highlight w:val="none"/>
                <w:lang w:eastAsia="zh-CN"/>
              </w:rPr>
              <w:t>长沙市开福区青竹湖街道彩霞社区金霞跨境产贸城5栋12层1203房</w:t>
            </w:r>
          </w:p>
        </w:tc>
      </w:tr>
      <w:tr w14:paraId="4896E7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96" w:hRule="atLeast"/>
          <w:jc w:val="center"/>
        </w:trPr>
        <w:tc>
          <w:tcPr>
            <w:tcW w:w="1867" w:type="dxa"/>
            <w:vAlign w:val="center"/>
          </w:tcPr>
          <w:p w14:paraId="301A08A6">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第二章第2.3款</w:t>
            </w:r>
          </w:p>
        </w:tc>
        <w:tc>
          <w:tcPr>
            <w:tcW w:w="1710" w:type="dxa"/>
            <w:vAlign w:val="center"/>
          </w:tcPr>
          <w:p w14:paraId="4AFBCE6D">
            <w:pPr>
              <w:keepNext w:val="0"/>
              <w:keepLines w:val="0"/>
              <w:suppressLineNumbers w:val="0"/>
              <w:spacing w:before="0" w:beforeAutospacing="0" w:after="0" w:afterAutospacing="0"/>
              <w:ind w:left="0" w:leftChars="0" w:right="0" w:firstLine="0" w:firstLineChars="0"/>
              <w:rPr>
                <w:rFonts w:hint="default"/>
                <w:bCs/>
                <w:color w:val="auto"/>
                <w:highlight w:val="none"/>
              </w:rPr>
            </w:pPr>
            <w:r>
              <w:rPr>
                <w:rFonts w:hint="eastAsia"/>
                <w:color w:val="auto"/>
                <w:kern w:val="0"/>
                <w:highlight w:val="none"/>
              </w:rPr>
              <w:t>供应商的</w:t>
            </w:r>
            <w:r>
              <w:rPr>
                <w:rFonts w:hint="eastAsia"/>
                <w:color w:val="auto"/>
                <w:highlight w:val="none"/>
              </w:rPr>
              <w:t>邀请方式</w:t>
            </w:r>
          </w:p>
        </w:tc>
        <w:tc>
          <w:tcPr>
            <w:tcW w:w="5268" w:type="dxa"/>
            <w:vAlign w:val="center"/>
          </w:tcPr>
          <w:p w14:paraId="53BDCC65">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 发布公告</w:t>
            </w:r>
          </w:p>
          <w:p w14:paraId="6CB694DD">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 从省级以上财政部门建立的供应商库中随机抽取</w:t>
            </w:r>
          </w:p>
          <w:p w14:paraId="002B0BC4">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 采购人和评审专家分别书面推荐的方式</w:t>
            </w:r>
          </w:p>
        </w:tc>
      </w:tr>
      <w:tr w14:paraId="3B7BCD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1867" w:type="dxa"/>
            <w:vAlign w:val="center"/>
          </w:tcPr>
          <w:p w14:paraId="5B7B59E1">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第二章第3.1款</w:t>
            </w:r>
          </w:p>
          <w:p w14:paraId="343FFDC5">
            <w:pPr>
              <w:keepNext w:val="0"/>
              <w:keepLines w:val="0"/>
              <w:suppressLineNumbers w:val="0"/>
              <w:spacing w:before="0" w:beforeAutospacing="0" w:after="0" w:afterAutospacing="0"/>
              <w:ind w:left="0" w:right="0"/>
              <w:rPr>
                <w:rFonts w:hint="default"/>
                <w:color w:val="auto"/>
                <w:highlight w:val="none"/>
              </w:rPr>
            </w:pPr>
          </w:p>
        </w:tc>
        <w:tc>
          <w:tcPr>
            <w:tcW w:w="1710" w:type="dxa"/>
            <w:vAlign w:val="center"/>
          </w:tcPr>
          <w:p w14:paraId="1C9ABD3E">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bCs/>
                <w:color w:val="auto"/>
                <w:highlight w:val="none"/>
              </w:rPr>
              <w:t>供应商</w:t>
            </w:r>
            <w:r>
              <w:rPr>
                <w:rFonts w:hint="eastAsia"/>
                <w:color w:val="auto"/>
                <w:highlight w:val="none"/>
              </w:rPr>
              <w:t>资格条件</w:t>
            </w:r>
          </w:p>
          <w:p w14:paraId="1F709EF3">
            <w:pPr>
              <w:keepNext w:val="0"/>
              <w:keepLines w:val="0"/>
              <w:suppressLineNumbers w:val="0"/>
              <w:spacing w:before="0" w:beforeAutospacing="0" w:after="0" w:afterAutospacing="0"/>
              <w:ind w:left="0" w:right="0"/>
              <w:rPr>
                <w:rFonts w:hint="default"/>
                <w:color w:val="auto"/>
                <w:kern w:val="0"/>
                <w:highlight w:val="none"/>
              </w:rPr>
            </w:pPr>
          </w:p>
        </w:tc>
        <w:tc>
          <w:tcPr>
            <w:tcW w:w="5268" w:type="dxa"/>
            <w:vAlign w:val="center"/>
          </w:tcPr>
          <w:p w14:paraId="08AD510B">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1、基本资格条件：供应商应符合《中华人民共和国政府采购法》第二十二条第一款规定的供应商条件，并提供以下资料：</w:t>
            </w:r>
          </w:p>
          <w:p w14:paraId="0F3E8F1D">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（1）法人提交企业法人营业执照副本(或者法人登记证书)；</w:t>
            </w:r>
          </w:p>
          <w:p w14:paraId="3A375916">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（2）提交《供应商资格承诺函》；</w:t>
            </w:r>
          </w:p>
          <w:p w14:paraId="6A76FA5F">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（3）法人提交法定代表人身份证明原件或者法定代表人授权委托书原件及</w:t>
            </w:r>
            <w:r>
              <w:rPr>
                <w:rFonts w:hint="eastAsia"/>
                <w:b w:val="0"/>
                <w:bCs w:val="0"/>
                <w:color w:val="auto"/>
                <w:highlight w:val="none"/>
              </w:rPr>
              <w:t>提供被授权人在投标单位近三个月</w:t>
            </w:r>
            <w:r>
              <w:rPr>
                <w:rFonts w:hint="eastAsia"/>
                <w:b w:val="0"/>
                <w:bCs w:val="0"/>
                <w:color w:val="auto"/>
                <w:highlight w:val="none"/>
                <w:lang w:eastAsia="zh-CN"/>
              </w:rPr>
              <w:t>内任意一个月</w:t>
            </w:r>
            <w:r>
              <w:rPr>
                <w:rFonts w:hint="eastAsia"/>
                <w:b w:val="0"/>
                <w:bCs w:val="0"/>
                <w:color w:val="auto"/>
                <w:highlight w:val="none"/>
              </w:rPr>
              <w:t>的社保证明并附法定代表人身份证明原件；</w:t>
            </w:r>
            <w:r>
              <w:rPr>
                <w:rFonts w:hint="eastAsia"/>
                <w:color w:val="auto"/>
                <w:highlight w:val="none"/>
              </w:rPr>
              <w:t>自然人提交身份证复印件；</w:t>
            </w:r>
          </w:p>
          <w:p w14:paraId="2EECADAA">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（4）其他说明。(非法人组织参与投标需提供的相关证明材料)。</w:t>
            </w:r>
          </w:p>
          <w:p w14:paraId="0CB3F9A5">
            <w:pPr>
              <w:keepNext w:val="0"/>
              <w:keepLines w:val="0"/>
              <w:suppressLineNumbers w:val="0"/>
              <w:spacing w:before="0" w:beforeAutospacing="0" w:after="0" w:afterAutospacing="0"/>
              <w:ind w:left="0" w:leftChars="0" w:right="0" w:firstLine="0" w:firstLineChars="0"/>
              <w:rPr>
                <w:rFonts w:hint="default" w:ascii="Times New Roman" w:hAnsi="Times New Roman"/>
                <w:color w:val="auto"/>
                <w:highlight w:val="none"/>
              </w:rPr>
            </w:pPr>
            <w:r>
              <w:rPr>
                <w:rFonts w:hint="eastAsia"/>
                <w:color w:val="auto"/>
                <w:highlight w:val="none"/>
              </w:rPr>
              <w:t>（5）</w:t>
            </w:r>
            <w:r>
              <w:rPr>
                <w:rFonts w:hint="eastAsia"/>
                <w:bCs/>
                <w:color w:val="auto"/>
                <w:highlight w:val="none"/>
              </w:rPr>
              <w:t>近</w:t>
            </w:r>
            <w:r>
              <w:rPr>
                <w:rFonts w:hint="eastAsia"/>
                <w:color w:val="auto"/>
                <w:highlight w:val="none"/>
              </w:rPr>
              <w:t>三个月是指</w:t>
            </w:r>
            <w:r>
              <w:rPr>
                <w:rFonts w:hint="eastAsia"/>
                <w:color w:val="auto"/>
                <w:highlight w:val="none"/>
                <w:lang w:val="en-US" w:eastAsia="zh-CN"/>
              </w:rPr>
              <w:t>2026年2月至2026年4月</w:t>
            </w:r>
            <w:r>
              <w:rPr>
                <w:rFonts w:hint="eastAsia"/>
                <w:color w:val="auto"/>
                <w:highlight w:val="none"/>
              </w:rPr>
              <w:t>。</w:t>
            </w:r>
          </w:p>
          <w:p w14:paraId="350DDA3F">
            <w:pPr>
              <w:keepNext w:val="0"/>
              <w:keepLines w:val="0"/>
              <w:suppressLineNumbers w:val="0"/>
              <w:spacing w:before="0" w:beforeAutospacing="0" w:after="0" w:afterAutospacing="0"/>
              <w:ind w:left="0" w:leftChars="0" w:right="0" w:firstLine="0" w:firstLineChars="0"/>
              <w:rPr>
                <w:rFonts w:hint="default"/>
                <w:b/>
                <w:bCs/>
                <w:color w:val="auto"/>
                <w:highlight w:val="none"/>
              </w:rPr>
            </w:pPr>
            <w:r>
              <w:rPr>
                <w:rFonts w:hint="eastAsia"/>
                <w:color w:val="auto"/>
                <w:highlight w:val="none"/>
              </w:rPr>
              <w:t>2、供应商特定资格条件：</w:t>
            </w:r>
            <w:r>
              <w:rPr>
                <w:rFonts w:hint="eastAsia"/>
                <w:color w:val="auto"/>
                <w:highlight w:val="none"/>
                <w:lang w:val="en-US" w:eastAsia="zh-CN"/>
              </w:rPr>
              <w:t>无</w:t>
            </w:r>
            <w:r>
              <w:rPr>
                <w:rFonts w:hint="eastAsia"/>
                <w:color w:val="auto"/>
                <w:highlight w:val="none"/>
              </w:rPr>
              <w:t>。</w:t>
            </w:r>
          </w:p>
          <w:p w14:paraId="6FF16CFE">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3、本项目不接受联合体投标。</w:t>
            </w:r>
          </w:p>
        </w:tc>
      </w:tr>
      <w:tr w14:paraId="732A07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867" w:type="dxa"/>
            <w:vAlign w:val="center"/>
          </w:tcPr>
          <w:p w14:paraId="3C5FD6BA">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第二章第6.1款</w:t>
            </w:r>
          </w:p>
        </w:tc>
        <w:tc>
          <w:tcPr>
            <w:tcW w:w="1710" w:type="dxa"/>
            <w:vAlign w:val="center"/>
          </w:tcPr>
          <w:p w14:paraId="7CB0FAF8">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联合体形式</w:t>
            </w:r>
          </w:p>
        </w:tc>
        <w:tc>
          <w:tcPr>
            <w:tcW w:w="5268" w:type="dxa"/>
            <w:vAlign w:val="center"/>
          </w:tcPr>
          <w:p w14:paraId="465E097B">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 不接受</w:t>
            </w:r>
          </w:p>
          <w:p w14:paraId="14A73CAB">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 接受</w:t>
            </w:r>
          </w:p>
        </w:tc>
      </w:tr>
      <w:tr w14:paraId="1E3B68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867" w:type="dxa"/>
            <w:vAlign w:val="center"/>
          </w:tcPr>
          <w:p w14:paraId="50B485AA">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第二章第6.2款</w:t>
            </w:r>
          </w:p>
        </w:tc>
        <w:tc>
          <w:tcPr>
            <w:tcW w:w="1710" w:type="dxa"/>
            <w:vAlign w:val="center"/>
          </w:tcPr>
          <w:p w14:paraId="7FB4EE95">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对联合体各方的要求</w:t>
            </w:r>
          </w:p>
        </w:tc>
        <w:tc>
          <w:tcPr>
            <w:tcW w:w="5268" w:type="dxa"/>
            <w:vAlign w:val="center"/>
          </w:tcPr>
          <w:p w14:paraId="5332B949">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w:t>
            </w:r>
          </w:p>
        </w:tc>
      </w:tr>
      <w:tr w14:paraId="7E947A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 w:hRule="atLeast"/>
          <w:jc w:val="center"/>
        </w:trPr>
        <w:tc>
          <w:tcPr>
            <w:tcW w:w="1867" w:type="dxa"/>
            <w:vAlign w:val="center"/>
          </w:tcPr>
          <w:p w14:paraId="09487E4E">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第二章第7.1款</w:t>
            </w:r>
          </w:p>
        </w:tc>
        <w:tc>
          <w:tcPr>
            <w:tcW w:w="1710" w:type="dxa"/>
            <w:vAlign w:val="center"/>
          </w:tcPr>
          <w:p w14:paraId="20CF0858">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现场勘察</w:t>
            </w:r>
          </w:p>
        </w:tc>
        <w:tc>
          <w:tcPr>
            <w:tcW w:w="5268" w:type="dxa"/>
            <w:vAlign w:val="center"/>
          </w:tcPr>
          <w:p w14:paraId="27565CB3">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■采购人不组织</w:t>
            </w:r>
          </w:p>
          <w:p w14:paraId="035F20D9">
            <w:pPr>
              <w:keepNext w:val="0"/>
              <w:keepLines w:val="0"/>
              <w:suppressLineNumbers w:val="0"/>
              <w:spacing w:before="0" w:beforeAutospacing="0" w:after="0" w:afterAutospacing="0"/>
              <w:ind w:left="0" w:leftChars="0" w:right="0" w:firstLine="0" w:firstLineChars="0"/>
              <w:rPr>
                <w:rFonts w:hint="default"/>
                <w:color w:val="auto"/>
                <w:highlight w:val="none"/>
                <w:u w:val="single"/>
              </w:rPr>
            </w:pPr>
            <w:r>
              <w:rPr>
                <w:rFonts w:hint="eastAsia"/>
                <w:color w:val="auto"/>
                <w:highlight w:val="none"/>
              </w:rPr>
              <w:t>□采购人组织，时间：</w:t>
            </w:r>
            <w:r>
              <w:rPr>
                <w:rFonts w:hint="eastAsia"/>
                <w:color w:val="auto"/>
                <w:highlight w:val="none"/>
                <w:u w:val="single"/>
              </w:rPr>
              <w:t xml:space="preserve"> /  </w:t>
            </w:r>
            <w:r>
              <w:rPr>
                <w:rFonts w:hint="eastAsia"/>
                <w:color w:val="auto"/>
                <w:highlight w:val="none"/>
              </w:rPr>
              <w:t>地点：</w:t>
            </w:r>
            <w:r>
              <w:rPr>
                <w:rFonts w:hint="eastAsia"/>
                <w:color w:val="auto"/>
                <w:highlight w:val="none"/>
                <w:u w:val="single"/>
              </w:rPr>
              <w:t xml:space="preserve">/  </w:t>
            </w:r>
            <w:r>
              <w:rPr>
                <w:rFonts w:hint="eastAsia"/>
                <w:color w:val="auto"/>
                <w:highlight w:val="none"/>
              </w:rPr>
              <w:t>联系人：</w:t>
            </w:r>
            <w:r>
              <w:rPr>
                <w:rFonts w:hint="eastAsia"/>
                <w:color w:val="auto"/>
                <w:highlight w:val="none"/>
                <w:u w:val="single"/>
              </w:rPr>
              <w:t xml:space="preserve">  / </w:t>
            </w:r>
          </w:p>
          <w:p w14:paraId="0CD8F4A6">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提供现场勘察回执单。</w:t>
            </w:r>
          </w:p>
        </w:tc>
      </w:tr>
      <w:tr w14:paraId="0F47CD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97" w:hRule="atLeast"/>
          <w:jc w:val="center"/>
        </w:trPr>
        <w:tc>
          <w:tcPr>
            <w:tcW w:w="1867" w:type="dxa"/>
            <w:vAlign w:val="center"/>
          </w:tcPr>
          <w:p w14:paraId="2663588F">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第二章第8.1款</w:t>
            </w:r>
          </w:p>
        </w:tc>
        <w:tc>
          <w:tcPr>
            <w:tcW w:w="1710" w:type="dxa"/>
            <w:vAlign w:val="center"/>
          </w:tcPr>
          <w:p w14:paraId="0A18CFA5">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ascii="宋体" w:hAnsi="宋体" w:cs="宋体"/>
                <w:szCs w:val="21"/>
              </w:rPr>
              <w:t>政府</w:t>
            </w:r>
            <w:r>
              <w:rPr>
                <w:rFonts w:hint="eastAsia"/>
                <w:color w:val="auto"/>
                <w:highlight w:val="none"/>
              </w:rPr>
              <w:t>采购进口产品</w:t>
            </w:r>
          </w:p>
        </w:tc>
        <w:tc>
          <w:tcPr>
            <w:tcW w:w="5268" w:type="dxa"/>
            <w:vAlign w:val="center"/>
          </w:tcPr>
          <w:p w14:paraId="6DD1F863">
            <w:pPr>
              <w:keepNext w:val="0"/>
              <w:keepLines w:val="0"/>
              <w:suppressLineNumbers w:val="0"/>
              <w:spacing w:before="0" w:beforeAutospacing="0" w:after="0" w:afterAutospacing="0"/>
              <w:ind w:left="0" w:leftChars="0" w:right="0" w:firstLine="0" w:firstLineChars="0"/>
              <w:jc w:val="left"/>
              <w:rPr>
                <w:rFonts w:hint="default"/>
                <w:color w:val="auto"/>
                <w:highlight w:val="none"/>
              </w:rPr>
            </w:pPr>
            <w:r>
              <w:rPr>
                <w:rFonts w:hint="eastAsia"/>
                <w:color w:val="auto"/>
                <w:highlight w:val="none"/>
              </w:rPr>
              <w:t>本项目不适用</w:t>
            </w:r>
          </w:p>
        </w:tc>
      </w:tr>
      <w:tr w14:paraId="03E6F7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97" w:hRule="atLeast"/>
          <w:jc w:val="center"/>
        </w:trPr>
        <w:tc>
          <w:tcPr>
            <w:tcW w:w="1867" w:type="dxa"/>
            <w:vAlign w:val="center"/>
          </w:tcPr>
          <w:p w14:paraId="66E0DD40">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第二章第9.1款</w:t>
            </w:r>
          </w:p>
        </w:tc>
        <w:tc>
          <w:tcPr>
            <w:tcW w:w="1710" w:type="dxa"/>
            <w:shd w:val="clear" w:color="auto" w:fill="auto"/>
            <w:vAlign w:val="center"/>
          </w:tcPr>
          <w:p w14:paraId="7751ACF1">
            <w:pPr>
              <w:keepNext w:val="0"/>
              <w:keepLines w:val="0"/>
              <w:suppressLineNumbers w:val="0"/>
              <w:adjustRightInd w:val="0"/>
              <w:snapToGrid w:val="0"/>
              <w:spacing w:before="0" w:beforeAutospacing="0" w:after="0" w:afterAutospacing="0" w:line="360" w:lineRule="auto"/>
              <w:ind w:left="0" w:leftChars="0" w:right="0" w:firstLine="0" w:firstLineChars="0"/>
              <w:rPr>
                <w:rFonts w:hint="default" w:ascii="宋体" w:hAnsi="宋体" w:eastAsia="宋体" w:cs="宋体"/>
                <w:kern w:val="2"/>
                <w:sz w:val="21"/>
                <w:szCs w:val="21"/>
                <w:lang w:val="en-US" w:eastAsia="zh-CN" w:bidi="ar-SA"/>
              </w:rPr>
            </w:pPr>
            <w:r>
              <w:rPr>
                <w:rFonts w:hint="eastAsia" w:ascii="宋体" w:hAnsi="宋体" w:cs="宋体"/>
                <w:szCs w:val="21"/>
              </w:rPr>
              <w:t>政府采购强制采购</w:t>
            </w:r>
          </w:p>
        </w:tc>
        <w:tc>
          <w:tcPr>
            <w:tcW w:w="5268" w:type="dxa"/>
            <w:shd w:val="clear" w:color="auto" w:fill="auto"/>
            <w:vAlign w:val="center"/>
          </w:tcPr>
          <w:p w14:paraId="70BB5B82">
            <w:pPr>
              <w:keepNext w:val="0"/>
              <w:keepLines w:val="0"/>
              <w:suppressLineNumbers w:val="0"/>
              <w:adjustRightInd w:val="0"/>
              <w:snapToGrid w:val="0"/>
              <w:spacing w:before="0" w:beforeAutospacing="0" w:after="0" w:afterAutospacing="0" w:line="360" w:lineRule="auto"/>
              <w:ind w:left="0" w:leftChars="0" w:right="0" w:firstLine="0" w:firstLineChars="0"/>
              <w:jc w:val="left"/>
              <w:rPr>
                <w:rFonts w:hint="default" w:ascii="宋体" w:hAnsi="宋体" w:eastAsia="宋体" w:cs="宋体"/>
                <w:kern w:val="2"/>
                <w:sz w:val="21"/>
                <w:szCs w:val="21"/>
                <w:lang w:val="en-US" w:eastAsia="zh-CN" w:bidi="ar-SA"/>
              </w:rPr>
            </w:pPr>
            <w:r>
              <w:rPr>
                <w:rFonts w:hint="eastAsia"/>
                <w:color w:val="auto"/>
                <w:highlight w:val="none"/>
              </w:rPr>
              <w:t>本项目不适用</w:t>
            </w:r>
          </w:p>
        </w:tc>
      </w:tr>
      <w:tr w14:paraId="27CEA0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97" w:hRule="atLeast"/>
          <w:jc w:val="center"/>
        </w:trPr>
        <w:tc>
          <w:tcPr>
            <w:tcW w:w="1867" w:type="dxa"/>
            <w:vAlign w:val="center"/>
          </w:tcPr>
          <w:p w14:paraId="0E47F3EC">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第二章第9.2款</w:t>
            </w:r>
          </w:p>
        </w:tc>
        <w:tc>
          <w:tcPr>
            <w:tcW w:w="1710" w:type="dxa"/>
            <w:shd w:val="clear" w:color="auto" w:fill="auto"/>
            <w:vAlign w:val="center"/>
          </w:tcPr>
          <w:p w14:paraId="7185CE38">
            <w:pPr>
              <w:keepNext w:val="0"/>
              <w:keepLines w:val="0"/>
              <w:suppressLineNumbers w:val="0"/>
              <w:adjustRightInd w:val="0"/>
              <w:snapToGrid w:val="0"/>
              <w:spacing w:before="0" w:beforeAutospacing="0" w:after="0" w:afterAutospacing="0" w:line="360" w:lineRule="auto"/>
              <w:ind w:left="0" w:leftChars="0" w:right="0" w:firstLine="0" w:firstLineChars="0"/>
              <w:rPr>
                <w:rFonts w:hint="default" w:ascii="宋体" w:hAnsi="宋体" w:eastAsia="宋体" w:cs="宋体"/>
                <w:kern w:val="2"/>
                <w:sz w:val="21"/>
                <w:szCs w:val="21"/>
                <w:lang w:val="en-US" w:eastAsia="zh-CN" w:bidi="ar-SA"/>
              </w:rPr>
            </w:pPr>
            <w:r>
              <w:rPr>
                <w:rFonts w:hint="eastAsia"/>
                <w:color w:val="auto"/>
                <w:highlight w:val="none"/>
              </w:rPr>
              <w:t>政府采购</w:t>
            </w:r>
            <w:r>
              <w:rPr>
                <w:rFonts w:hint="eastAsia" w:ascii="Times New Roman" w:eastAsia="宋体"/>
                <w:color w:val="auto"/>
                <w:highlight w:val="none"/>
                <w:lang w:val="en-US" w:eastAsia="zh-CN"/>
              </w:rPr>
              <w:t>优先采购</w:t>
            </w:r>
          </w:p>
        </w:tc>
        <w:tc>
          <w:tcPr>
            <w:tcW w:w="5268" w:type="dxa"/>
            <w:shd w:val="clear" w:color="auto" w:fill="auto"/>
            <w:vAlign w:val="center"/>
          </w:tcPr>
          <w:p w14:paraId="525BDDD1">
            <w:pPr>
              <w:keepNext w:val="0"/>
              <w:keepLines w:val="0"/>
              <w:suppressLineNumbers w:val="0"/>
              <w:adjustRightInd w:val="0"/>
              <w:snapToGrid w:val="0"/>
              <w:spacing w:before="0" w:beforeAutospacing="0" w:after="0" w:afterAutospacing="0" w:line="360" w:lineRule="auto"/>
              <w:ind w:left="0" w:leftChars="0" w:right="0" w:firstLine="0" w:firstLineChars="0"/>
              <w:jc w:val="left"/>
              <w:rPr>
                <w:rFonts w:hint="default" w:ascii="宋体" w:hAnsi="宋体" w:eastAsia="宋体" w:cs="宋体"/>
                <w:kern w:val="2"/>
                <w:sz w:val="21"/>
                <w:szCs w:val="21"/>
                <w:lang w:val="en-US" w:eastAsia="zh-CN" w:bidi="ar-SA"/>
              </w:rPr>
            </w:pPr>
            <w:r>
              <w:rPr>
                <w:rFonts w:hint="eastAsia"/>
                <w:color w:val="auto"/>
                <w:highlight w:val="none"/>
              </w:rPr>
              <w:t>本项目不适用</w:t>
            </w:r>
          </w:p>
        </w:tc>
      </w:tr>
      <w:tr w14:paraId="2432DC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8845" w:type="dxa"/>
            <w:gridSpan w:val="3"/>
            <w:vAlign w:val="center"/>
          </w:tcPr>
          <w:p w14:paraId="158AB660">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b/>
                <w:bCs/>
                <w:color w:val="auto"/>
                <w:highlight w:val="none"/>
              </w:rPr>
              <w:t>二、磋商文件</w:t>
            </w:r>
          </w:p>
        </w:tc>
      </w:tr>
      <w:tr w14:paraId="6C36C6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1867" w:type="dxa"/>
            <w:vAlign w:val="center"/>
          </w:tcPr>
          <w:p w14:paraId="5E13CD7B">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第二章第10.2款</w:t>
            </w:r>
          </w:p>
        </w:tc>
        <w:tc>
          <w:tcPr>
            <w:tcW w:w="1710" w:type="dxa"/>
            <w:vAlign w:val="center"/>
          </w:tcPr>
          <w:p w14:paraId="6CDC5A37">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磋商文件的可能实质性变动内容</w:t>
            </w:r>
          </w:p>
        </w:tc>
        <w:tc>
          <w:tcPr>
            <w:tcW w:w="5268" w:type="dxa"/>
            <w:vAlign w:val="center"/>
          </w:tcPr>
          <w:p w14:paraId="37DEDB22">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在磋商过程中，磋商文件的技术、商务要求以及合同草案条款可能发生实质性变动，由磋商小组根据磋商情况确定。如有变动，磋商小组将书面告知供应商。供应商书面回复和进行响应承诺。</w:t>
            </w:r>
          </w:p>
        </w:tc>
      </w:tr>
      <w:tr w14:paraId="42CE46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5" w:hRule="atLeast"/>
          <w:jc w:val="center"/>
        </w:trPr>
        <w:tc>
          <w:tcPr>
            <w:tcW w:w="1867" w:type="dxa"/>
            <w:vAlign w:val="center"/>
          </w:tcPr>
          <w:p w14:paraId="3A5A076D">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第二章第11.1款</w:t>
            </w:r>
          </w:p>
        </w:tc>
        <w:tc>
          <w:tcPr>
            <w:tcW w:w="1710" w:type="dxa"/>
            <w:vAlign w:val="center"/>
          </w:tcPr>
          <w:p w14:paraId="6C34C847">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提供磋商文件期限</w:t>
            </w:r>
          </w:p>
        </w:tc>
        <w:tc>
          <w:tcPr>
            <w:tcW w:w="5268" w:type="dxa"/>
            <w:vAlign w:val="center"/>
          </w:tcPr>
          <w:p w14:paraId="1248963E">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详见磋商公告</w:t>
            </w:r>
          </w:p>
        </w:tc>
      </w:tr>
      <w:tr w14:paraId="0EC43C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1867" w:type="dxa"/>
            <w:vAlign w:val="center"/>
          </w:tcPr>
          <w:p w14:paraId="35910C98">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第二章第11.2款</w:t>
            </w:r>
          </w:p>
        </w:tc>
        <w:tc>
          <w:tcPr>
            <w:tcW w:w="1710" w:type="dxa"/>
            <w:vAlign w:val="center"/>
          </w:tcPr>
          <w:p w14:paraId="2A690DD6">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领取或购买磋商文件时应提供的资料</w:t>
            </w:r>
          </w:p>
        </w:tc>
        <w:tc>
          <w:tcPr>
            <w:tcW w:w="5268" w:type="dxa"/>
            <w:vAlign w:val="center"/>
          </w:tcPr>
          <w:p w14:paraId="5ED5A23D">
            <w:pPr>
              <w:keepNext w:val="0"/>
              <w:keepLines w:val="0"/>
              <w:suppressLineNumbers w:val="0"/>
              <w:spacing w:before="0" w:beforeAutospacing="0" w:after="0" w:afterAutospacing="0"/>
              <w:ind w:left="0" w:leftChars="0" w:right="0" w:firstLine="0" w:firstLineChars="0"/>
              <w:rPr>
                <w:rFonts w:hint="default"/>
                <w:color w:val="auto"/>
                <w:highlight w:val="none"/>
                <w:u w:val="single"/>
              </w:rPr>
            </w:pPr>
            <w:r>
              <w:rPr>
                <w:rFonts w:hint="eastAsia"/>
                <w:color w:val="auto"/>
                <w:highlight w:val="none"/>
              </w:rPr>
              <w:t xml:space="preserve">①单位介绍信、②法定代表人身份证明（附营业执照）或者授权委托书(并附法定代表人身份证明、附营业执照)、③个人身份证 </w:t>
            </w:r>
          </w:p>
        </w:tc>
      </w:tr>
      <w:tr w14:paraId="65F8BF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867" w:type="dxa"/>
            <w:vAlign w:val="center"/>
          </w:tcPr>
          <w:p w14:paraId="4BF40579">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第二章第12.1款</w:t>
            </w:r>
          </w:p>
        </w:tc>
        <w:tc>
          <w:tcPr>
            <w:tcW w:w="1710" w:type="dxa"/>
            <w:vAlign w:val="center"/>
          </w:tcPr>
          <w:p w14:paraId="79D555FC">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提交首次响应文件的截止时间</w:t>
            </w:r>
          </w:p>
        </w:tc>
        <w:tc>
          <w:tcPr>
            <w:tcW w:w="5268" w:type="dxa"/>
            <w:vAlign w:val="center"/>
          </w:tcPr>
          <w:p w14:paraId="4E5D565D">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 xml:space="preserve">①单位介绍信、②法定代表人身份证明（附营业执照）或者授权委托书(并附法定代表人身份证明、附营业执照)、③个人身份证 </w:t>
            </w:r>
          </w:p>
        </w:tc>
      </w:tr>
      <w:tr w14:paraId="787349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7" w:hRule="atLeast"/>
          <w:jc w:val="center"/>
        </w:trPr>
        <w:tc>
          <w:tcPr>
            <w:tcW w:w="8845" w:type="dxa"/>
            <w:gridSpan w:val="3"/>
            <w:vAlign w:val="center"/>
          </w:tcPr>
          <w:p w14:paraId="0A65E077">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b/>
                <w:bCs/>
                <w:color w:val="auto"/>
                <w:highlight w:val="none"/>
              </w:rPr>
              <w:t>三、响应文件的编写</w:t>
            </w:r>
          </w:p>
        </w:tc>
      </w:tr>
      <w:tr w14:paraId="44ECB9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0" w:hRule="atLeast"/>
          <w:jc w:val="center"/>
        </w:trPr>
        <w:tc>
          <w:tcPr>
            <w:tcW w:w="1867" w:type="dxa"/>
            <w:vAlign w:val="center"/>
          </w:tcPr>
          <w:p w14:paraId="2539D8BE">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第二章第16.1款</w:t>
            </w:r>
          </w:p>
        </w:tc>
        <w:tc>
          <w:tcPr>
            <w:tcW w:w="1710" w:type="dxa"/>
            <w:vAlign w:val="center"/>
          </w:tcPr>
          <w:p w14:paraId="3F235632">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采购项目预算</w:t>
            </w:r>
          </w:p>
        </w:tc>
        <w:tc>
          <w:tcPr>
            <w:tcW w:w="5268" w:type="dxa"/>
            <w:vAlign w:val="center"/>
          </w:tcPr>
          <w:p w14:paraId="450D68F4">
            <w:pPr>
              <w:keepNext w:val="0"/>
              <w:keepLines w:val="0"/>
              <w:suppressLineNumbers w:val="0"/>
              <w:spacing w:before="0" w:beforeAutospacing="0" w:after="0" w:afterAutospacing="0" w:line="360" w:lineRule="auto"/>
              <w:ind w:left="0" w:leftChars="0" w:right="0" w:firstLine="0" w:firstLineChars="0"/>
              <w:rPr>
                <w:rFonts w:hint="eastAsia"/>
                <w:color w:val="auto"/>
                <w:highlight w:val="none"/>
              </w:rPr>
            </w:pPr>
            <w:r>
              <w:rPr>
                <w:rFonts w:hint="eastAsia"/>
                <w:color w:val="auto"/>
                <w:highlight w:val="none"/>
              </w:rPr>
              <w:t>采购项目预算</w:t>
            </w:r>
            <w:r>
              <w:rPr>
                <w:rFonts w:hint="eastAsia"/>
                <w:color w:val="auto"/>
                <w:highlight w:val="none"/>
                <w:lang w:eastAsia="zh-CN"/>
              </w:rPr>
              <w:t>：</w:t>
            </w:r>
            <w:r>
              <w:rPr>
                <w:rFonts w:hint="eastAsia"/>
                <w:b/>
                <w:bCs/>
                <w:color w:val="auto"/>
                <w:highlight w:val="none"/>
                <w:lang w:eastAsia="zh-CN"/>
              </w:rPr>
              <w:t>925932.00元</w:t>
            </w:r>
          </w:p>
          <w:p w14:paraId="3D341989">
            <w:pPr>
              <w:pStyle w:val="24"/>
              <w:keepNext w:val="0"/>
              <w:keepLines w:val="0"/>
              <w:suppressLineNumbers w:val="0"/>
              <w:spacing w:before="0" w:beforeAutospacing="0" w:after="0" w:afterAutospacing="0" w:line="360" w:lineRule="auto"/>
              <w:ind w:left="0" w:leftChars="0" w:right="0" w:firstLine="0" w:firstLineChars="0"/>
              <w:jc w:val="left"/>
              <w:rPr>
                <w:rFonts w:hint="eastAsia" w:hAnsi="宋体" w:cs="宋体"/>
                <w:b/>
                <w:bCs/>
                <w:color w:val="auto"/>
                <w:highlight w:val="none"/>
                <w:lang w:eastAsia="zh-CN"/>
              </w:rPr>
            </w:pPr>
            <w:r>
              <w:rPr>
                <w:rFonts w:hint="eastAsia" w:ascii="宋体" w:hAnsi="宋体" w:eastAsia="宋体" w:cs="宋体"/>
                <w:color w:val="auto"/>
                <w:kern w:val="2"/>
                <w:sz w:val="21"/>
                <w:szCs w:val="21"/>
                <w:highlight w:val="none"/>
                <w:lang w:val="en-US" w:eastAsia="zh-CN" w:bidi="ar-SA"/>
              </w:rPr>
              <w:t>最高投标限价：</w:t>
            </w:r>
            <w:r>
              <w:rPr>
                <w:rFonts w:hint="eastAsia" w:hAnsi="宋体" w:cs="宋体"/>
                <w:b/>
                <w:bCs/>
                <w:color w:val="auto"/>
                <w:highlight w:val="none"/>
                <w:lang w:eastAsia="zh-CN"/>
              </w:rPr>
              <w:t>925932.00元</w:t>
            </w:r>
          </w:p>
          <w:p w14:paraId="4EA259B2">
            <w:pPr>
              <w:pStyle w:val="24"/>
              <w:keepNext w:val="0"/>
              <w:keepLines w:val="0"/>
              <w:suppressLineNumbers w:val="0"/>
              <w:spacing w:before="0" w:beforeAutospacing="0" w:after="0" w:afterAutospacing="0" w:line="360" w:lineRule="auto"/>
              <w:ind w:left="0" w:leftChars="0" w:right="0" w:firstLine="0" w:firstLineChars="0"/>
              <w:jc w:val="left"/>
              <w:rPr>
                <w:rFonts w:hint="default"/>
                <w:color w:val="auto"/>
                <w:highlight w:val="none"/>
              </w:rPr>
            </w:pPr>
            <w:r>
              <w:rPr>
                <w:rFonts w:hint="eastAsia" w:ascii="宋体" w:hAnsi="宋体" w:cs="宋体"/>
                <w:b/>
                <w:bCs/>
                <w:color w:val="auto"/>
                <w:szCs w:val="21"/>
                <w:highlight w:val="none"/>
              </w:rPr>
              <w:t>注：投标人投标总报价不得超过采购项目预算，否则按无效投标处理。磋商小组要求所有继续参与磋商的供应商，在规定时间内提交本轮磋商报价</w:t>
            </w:r>
            <w:r>
              <w:rPr>
                <w:rFonts w:hint="eastAsia" w:hAnsi="宋体" w:cs="宋体"/>
                <w:b/>
                <w:bCs/>
                <w:color w:val="auto"/>
                <w:szCs w:val="21"/>
                <w:highlight w:val="none"/>
                <w:lang w:eastAsia="zh-CN"/>
              </w:rPr>
              <w:t>。</w:t>
            </w:r>
          </w:p>
        </w:tc>
      </w:tr>
      <w:tr w14:paraId="2DEC3D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1867" w:type="dxa"/>
            <w:vAlign w:val="center"/>
          </w:tcPr>
          <w:p w14:paraId="17A60206">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第二章第19.1款</w:t>
            </w:r>
          </w:p>
        </w:tc>
        <w:tc>
          <w:tcPr>
            <w:tcW w:w="1710" w:type="dxa"/>
            <w:vAlign w:val="center"/>
          </w:tcPr>
          <w:p w14:paraId="7B9D4D6D">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磋商保证金</w:t>
            </w:r>
          </w:p>
        </w:tc>
        <w:tc>
          <w:tcPr>
            <w:tcW w:w="5268" w:type="dxa"/>
            <w:vAlign w:val="center"/>
          </w:tcPr>
          <w:p w14:paraId="5FADD05F">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■不要求提供</w:t>
            </w:r>
          </w:p>
          <w:p w14:paraId="28D90A07">
            <w:pPr>
              <w:pStyle w:val="24"/>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fldChar w:fldCharType="begin"/>
            </w:r>
            <w:r>
              <w:rPr>
                <w:rFonts w:hint="eastAsia"/>
                <w:color w:val="auto"/>
                <w:highlight w:val="none"/>
              </w:rPr>
              <w:instrText xml:space="preserve"> eq \o\ac(</w:instrText>
            </w:r>
            <w:r>
              <w:rPr>
                <w:rFonts w:hint="eastAsia"/>
                <w:color w:val="auto"/>
                <w:position w:val="-2"/>
                <w:highlight w:val="none"/>
              </w:rPr>
              <w:instrText xml:space="preserve">□</w:instrText>
            </w:r>
            <w:r>
              <w:rPr>
                <w:rFonts w:hint="eastAsia"/>
                <w:color w:val="auto"/>
                <w:highlight w:val="none"/>
              </w:rPr>
              <w:instrText xml:space="preserve">)</w:instrText>
            </w:r>
            <w:r>
              <w:rPr>
                <w:rFonts w:hint="eastAsia"/>
                <w:color w:val="auto"/>
                <w:highlight w:val="none"/>
              </w:rPr>
              <w:fldChar w:fldCharType="end"/>
            </w:r>
            <w:r>
              <w:rPr>
                <w:rFonts w:hint="eastAsia"/>
                <w:color w:val="auto"/>
                <w:highlight w:val="none"/>
              </w:rPr>
              <w:t xml:space="preserve"> 要求提供：</w:t>
            </w:r>
          </w:p>
        </w:tc>
      </w:tr>
      <w:tr w14:paraId="105176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72A95B03">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第二章第20.1款</w:t>
            </w:r>
          </w:p>
        </w:tc>
        <w:tc>
          <w:tcPr>
            <w:tcW w:w="1710" w:type="dxa"/>
            <w:vAlign w:val="center"/>
          </w:tcPr>
          <w:p w14:paraId="11EE1AB8">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响应文件有效期</w:t>
            </w:r>
          </w:p>
        </w:tc>
        <w:tc>
          <w:tcPr>
            <w:tcW w:w="5268" w:type="dxa"/>
            <w:vAlign w:val="center"/>
          </w:tcPr>
          <w:p w14:paraId="009BDE71">
            <w:pPr>
              <w:keepNext w:val="0"/>
              <w:keepLines w:val="0"/>
              <w:suppressLineNumbers w:val="0"/>
              <w:spacing w:before="0" w:beforeAutospacing="0" w:after="0" w:afterAutospacing="0"/>
              <w:ind w:left="0" w:leftChars="0" w:right="0" w:firstLine="0" w:firstLineChars="0"/>
              <w:rPr>
                <w:rFonts w:hint="default"/>
                <w:bCs/>
                <w:color w:val="auto"/>
                <w:highlight w:val="none"/>
              </w:rPr>
            </w:pPr>
            <w:r>
              <w:rPr>
                <w:rFonts w:hint="default"/>
                <w:color w:val="auto"/>
                <w:highlight w:val="none"/>
                <w:u w:val="single"/>
              </w:rPr>
              <w:t>9</w:t>
            </w:r>
            <w:r>
              <w:rPr>
                <w:rFonts w:hint="eastAsia"/>
                <w:color w:val="auto"/>
                <w:highlight w:val="none"/>
                <w:u w:val="single"/>
              </w:rPr>
              <w:t xml:space="preserve">0 </w:t>
            </w:r>
            <w:r>
              <w:rPr>
                <w:rFonts w:hint="eastAsia"/>
                <w:color w:val="auto"/>
                <w:highlight w:val="none"/>
              </w:rPr>
              <w:t>日（日历日）</w:t>
            </w:r>
          </w:p>
        </w:tc>
      </w:tr>
      <w:tr w14:paraId="6226C9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5E7A4286">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第二章第21.1款</w:t>
            </w:r>
          </w:p>
        </w:tc>
        <w:tc>
          <w:tcPr>
            <w:tcW w:w="1710" w:type="dxa"/>
            <w:vAlign w:val="center"/>
          </w:tcPr>
          <w:p w14:paraId="4F261DFF">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bCs/>
                <w:color w:val="auto"/>
                <w:highlight w:val="none"/>
              </w:rPr>
              <w:t>响应</w:t>
            </w:r>
            <w:r>
              <w:rPr>
                <w:rFonts w:hint="eastAsia"/>
                <w:color w:val="auto"/>
                <w:highlight w:val="none"/>
              </w:rPr>
              <w:t>文件副本份数</w:t>
            </w:r>
          </w:p>
        </w:tc>
        <w:tc>
          <w:tcPr>
            <w:tcW w:w="5268" w:type="dxa"/>
            <w:vAlign w:val="center"/>
          </w:tcPr>
          <w:p w14:paraId="1D5D5876">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正本一份，副本二份，电子标书一份（U盘）</w:t>
            </w:r>
          </w:p>
          <w:p w14:paraId="57285878">
            <w:pPr>
              <w:keepNext w:val="0"/>
              <w:keepLines w:val="0"/>
              <w:suppressLineNumbers w:val="0"/>
              <w:spacing w:before="0" w:beforeAutospacing="0" w:after="0" w:afterAutospacing="0"/>
              <w:ind w:left="0" w:leftChars="0" w:right="0" w:firstLine="0" w:firstLineChars="0"/>
              <w:rPr>
                <w:rFonts w:hint="default"/>
                <w:color w:val="auto"/>
                <w:szCs w:val="21"/>
                <w:highlight w:val="none"/>
                <w:u w:val="single"/>
              </w:rPr>
            </w:pPr>
            <w:r>
              <w:rPr>
                <w:rFonts w:hint="eastAsia"/>
                <w:b/>
                <w:bCs/>
                <w:color w:val="auto"/>
                <w:highlight w:val="none"/>
              </w:rPr>
              <w:t>（电子文件应当为其响应文件正本签章后的彩色扫描件，格式为PDF，并标注供应商名称）</w:t>
            </w:r>
          </w:p>
        </w:tc>
      </w:tr>
      <w:tr w14:paraId="718324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8845" w:type="dxa"/>
            <w:gridSpan w:val="3"/>
            <w:vAlign w:val="center"/>
          </w:tcPr>
          <w:p w14:paraId="6A57336F">
            <w:pPr>
              <w:keepNext w:val="0"/>
              <w:keepLines w:val="0"/>
              <w:suppressLineNumbers w:val="0"/>
              <w:spacing w:before="0" w:beforeAutospacing="0" w:after="0" w:afterAutospacing="0"/>
              <w:ind w:left="0" w:leftChars="0" w:right="0" w:firstLine="0" w:firstLineChars="0"/>
              <w:rPr>
                <w:rFonts w:hint="default"/>
                <w:bCs/>
                <w:color w:val="auto"/>
                <w:highlight w:val="none"/>
              </w:rPr>
            </w:pPr>
            <w:r>
              <w:rPr>
                <w:rFonts w:hint="eastAsia"/>
                <w:b/>
                <w:bCs/>
                <w:color w:val="auto"/>
                <w:highlight w:val="none"/>
              </w:rPr>
              <w:t>四、响应文件的递交</w:t>
            </w:r>
          </w:p>
        </w:tc>
      </w:tr>
      <w:tr w14:paraId="2CC733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 w:hRule="atLeast"/>
          <w:jc w:val="center"/>
        </w:trPr>
        <w:tc>
          <w:tcPr>
            <w:tcW w:w="1867" w:type="dxa"/>
            <w:vAlign w:val="center"/>
          </w:tcPr>
          <w:p w14:paraId="34948B6D">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第二章第22.2款</w:t>
            </w:r>
          </w:p>
        </w:tc>
        <w:tc>
          <w:tcPr>
            <w:tcW w:w="1710" w:type="dxa"/>
            <w:vAlign w:val="center"/>
          </w:tcPr>
          <w:p w14:paraId="2F01D83B">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封套上应载明的信息</w:t>
            </w:r>
          </w:p>
        </w:tc>
        <w:tc>
          <w:tcPr>
            <w:tcW w:w="5268" w:type="dxa"/>
            <w:vAlign w:val="center"/>
          </w:tcPr>
          <w:p w14:paraId="3A9C0EB8">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u w:val="single"/>
                <w:lang w:eastAsia="zh-CN"/>
              </w:rPr>
              <w:t>新河大厦保安保洁业务委托服务采购项目</w:t>
            </w:r>
            <w:r>
              <w:rPr>
                <w:rFonts w:hint="eastAsia"/>
                <w:color w:val="auto"/>
                <w:highlight w:val="none"/>
              </w:rPr>
              <w:t>响应文件</w:t>
            </w:r>
          </w:p>
          <w:p w14:paraId="7ED3C6E5">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采购编号：</w:t>
            </w:r>
          </w:p>
          <w:p w14:paraId="49E07683">
            <w:pPr>
              <w:keepNext w:val="0"/>
              <w:keepLines w:val="0"/>
              <w:suppressLineNumbers w:val="0"/>
              <w:spacing w:before="0" w:beforeAutospacing="0" w:after="0" w:afterAutospacing="0"/>
              <w:ind w:left="0" w:leftChars="0" w:right="0" w:firstLine="0" w:firstLineChars="0"/>
              <w:rPr>
                <w:rFonts w:hint="default"/>
                <w:color w:val="auto"/>
                <w:highlight w:val="none"/>
                <w:u w:val="single"/>
              </w:rPr>
            </w:pPr>
            <w:r>
              <w:rPr>
                <w:rFonts w:hint="eastAsia"/>
                <w:color w:val="auto"/>
                <w:highlight w:val="none"/>
              </w:rPr>
              <w:t>委托代理编号：</w:t>
            </w:r>
          </w:p>
          <w:p w14:paraId="100A0C0A">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供应商名称：</w:t>
            </w:r>
          </w:p>
          <w:p w14:paraId="7168DCAC">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在</w:t>
            </w:r>
            <w:r>
              <w:rPr>
                <w:rFonts w:hint="eastAsia"/>
                <w:color w:val="auto"/>
                <w:highlight w:val="none"/>
                <w:lang w:val="en-US" w:eastAsia="zh-CN"/>
              </w:rPr>
              <w:t xml:space="preserve"> </w:t>
            </w:r>
            <w:r>
              <w:rPr>
                <w:rFonts w:hint="eastAsia"/>
                <w:color w:val="auto"/>
                <w:highlight w:val="none"/>
              </w:rPr>
              <w:t>年</w:t>
            </w:r>
            <w:r>
              <w:rPr>
                <w:rFonts w:hint="eastAsia"/>
                <w:color w:val="auto"/>
                <w:highlight w:val="none"/>
                <w:lang w:val="en-US" w:eastAsia="zh-CN"/>
              </w:rPr>
              <w:t xml:space="preserve"> </w:t>
            </w:r>
            <w:r>
              <w:rPr>
                <w:rFonts w:hint="eastAsia"/>
                <w:color w:val="auto"/>
                <w:highlight w:val="none"/>
              </w:rPr>
              <w:t>月</w:t>
            </w:r>
            <w:r>
              <w:rPr>
                <w:rFonts w:hint="eastAsia"/>
                <w:color w:val="auto"/>
                <w:highlight w:val="none"/>
                <w:lang w:val="en-US" w:eastAsia="zh-CN"/>
              </w:rPr>
              <w:t xml:space="preserve"> </w:t>
            </w:r>
            <w:r>
              <w:rPr>
                <w:rFonts w:hint="eastAsia"/>
                <w:color w:val="auto"/>
                <w:highlight w:val="none"/>
              </w:rPr>
              <w:t>日（星期</w:t>
            </w:r>
            <w:r>
              <w:rPr>
                <w:rFonts w:hint="eastAsia"/>
                <w:color w:val="auto"/>
                <w:highlight w:val="none"/>
                <w:lang w:val="en-US" w:eastAsia="zh-CN"/>
              </w:rPr>
              <w:t xml:space="preserve">  </w:t>
            </w:r>
            <w:r>
              <w:rPr>
                <w:rFonts w:hint="eastAsia"/>
                <w:color w:val="auto"/>
                <w:highlight w:val="none"/>
              </w:rPr>
              <w:t xml:space="preserve">）时分之前不得启封 </w:t>
            </w:r>
          </w:p>
        </w:tc>
      </w:tr>
      <w:tr w14:paraId="08CA0E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026ADBB8">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第二章第24.1款</w:t>
            </w:r>
          </w:p>
        </w:tc>
        <w:tc>
          <w:tcPr>
            <w:tcW w:w="1710" w:type="dxa"/>
            <w:vAlign w:val="center"/>
          </w:tcPr>
          <w:p w14:paraId="5B5F422F">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响应文件的递交地点</w:t>
            </w:r>
          </w:p>
        </w:tc>
        <w:tc>
          <w:tcPr>
            <w:tcW w:w="5268" w:type="dxa"/>
            <w:vAlign w:val="center"/>
          </w:tcPr>
          <w:p w14:paraId="595DEE26">
            <w:pPr>
              <w:keepNext w:val="0"/>
              <w:keepLines w:val="0"/>
              <w:suppressLineNumbers w:val="0"/>
              <w:spacing w:before="0" w:beforeAutospacing="0" w:after="0" w:afterAutospacing="0"/>
              <w:ind w:left="0" w:leftChars="0" w:right="0" w:firstLine="0" w:firstLineChars="0"/>
              <w:rPr>
                <w:rFonts w:hint="default"/>
                <w:bCs/>
                <w:color w:val="auto"/>
                <w:szCs w:val="21"/>
                <w:highlight w:val="none"/>
              </w:rPr>
            </w:pPr>
            <w:r>
              <w:rPr>
                <w:rFonts w:hint="default"/>
                <w:color w:val="auto"/>
                <w:highlight w:val="none"/>
              </w:rPr>
              <w:fldChar w:fldCharType="begin"/>
            </w:r>
            <w:r>
              <w:rPr>
                <w:rFonts w:hint="default"/>
                <w:color w:val="auto"/>
                <w:highlight w:val="none"/>
              </w:rPr>
              <w:instrText xml:space="preserve"> HYPERLINK "http://jczy.ccgp.gov.cn/gs1/gs1agentreg/javascript:void(0);" </w:instrText>
            </w:r>
            <w:r>
              <w:rPr>
                <w:rFonts w:hint="default"/>
                <w:color w:val="auto"/>
                <w:highlight w:val="none"/>
              </w:rPr>
              <w:fldChar w:fldCharType="separate"/>
            </w:r>
            <w:r>
              <w:rPr>
                <w:rFonts w:hint="eastAsia"/>
                <w:color w:val="auto"/>
                <w:szCs w:val="21"/>
                <w:highlight w:val="none"/>
              </w:rPr>
              <w:t>湖南扬屹咨询管理有限公司</w:t>
            </w:r>
            <w:r>
              <w:rPr>
                <w:rFonts w:hint="eastAsia"/>
                <w:color w:val="auto"/>
                <w:szCs w:val="21"/>
                <w:highlight w:val="none"/>
              </w:rPr>
              <w:fldChar w:fldCharType="end"/>
            </w:r>
            <w:r>
              <w:rPr>
                <w:rFonts w:hint="eastAsia"/>
                <w:color w:val="auto"/>
                <w:szCs w:val="21"/>
                <w:highlight w:val="none"/>
              </w:rPr>
              <w:t>（</w:t>
            </w:r>
            <w:r>
              <w:rPr>
                <w:rFonts w:hint="eastAsia"/>
                <w:color w:val="auto"/>
                <w:szCs w:val="21"/>
                <w:highlight w:val="none"/>
                <w:lang w:eastAsia="zh-CN"/>
              </w:rPr>
              <w:t>长沙市开福区青竹湖街道彩霞社区金霞跨境产贸城5栋12层1203房</w:t>
            </w:r>
            <w:r>
              <w:rPr>
                <w:rFonts w:hint="eastAsia"/>
                <w:color w:val="auto"/>
                <w:szCs w:val="21"/>
                <w:highlight w:val="none"/>
              </w:rPr>
              <w:t>）</w:t>
            </w:r>
          </w:p>
        </w:tc>
      </w:tr>
      <w:tr w14:paraId="708B8E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8845" w:type="dxa"/>
            <w:gridSpan w:val="3"/>
            <w:vAlign w:val="center"/>
          </w:tcPr>
          <w:p w14:paraId="0941CC31">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b/>
                <w:bCs/>
                <w:color w:val="auto"/>
                <w:highlight w:val="none"/>
              </w:rPr>
              <w:t>五、响应文件的磋商与评审</w:t>
            </w:r>
          </w:p>
        </w:tc>
      </w:tr>
      <w:tr w14:paraId="462E6C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2E2EFE14">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第二章第31.2款</w:t>
            </w:r>
          </w:p>
        </w:tc>
        <w:tc>
          <w:tcPr>
            <w:tcW w:w="1710" w:type="dxa"/>
            <w:vAlign w:val="center"/>
          </w:tcPr>
          <w:p w14:paraId="14CCCB0D">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评审因素和标准</w:t>
            </w:r>
          </w:p>
        </w:tc>
        <w:tc>
          <w:tcPr>
            <w:tcW w:w="5268" w:type="dxa"/>
            <w:vAlign w:val="center"/>
          </w:tcPr>
          <w:p w14:paraId="1B522A41">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见附页4</w:t>
            </w:r>
          </w:p>
        </w:tc>
      </w:tr>
      <w:tr w14:paraId="5A8615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576277CD">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第二章第31.3款</w:t>
            </w:r>
          </w:p>
        </w:tc>
        <w:tc>
          <w:tcPr>
            <w:tcW w:w="1710" w:type="dxa"/>
            <w:vAlign w:val="center"/>
          </w:tcPr>
          <w:p w14:paraId="23465427">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kern w:val="0"/>
                <w:highlight w:val="none"/>
              </w:rPr>
              <w:t>最后报价</w:t>
            </w:r>
            <w:r>
              <w:rPr>
                <w:rFonts w:hint="eastAsia"/>
                <w:color w:val="auto"/>
                <w:highlight w:val="none"/>
              </w:rPr>
              <w:t>调整</w:t>
            </w:r>
          </w:p>
        </w:tc>
        <w:tc>
          <w:tcPr>
            <w:tcW w:w="5268" w:type="dxa"/>
            <w:vAlign w:val="center"/>
          </w:tcPr>
          <w:p w14:paraId="76DB7FD2">
            <w:pPr>
              <w:keepNext w:val="0"/>
              <w:keepLines w:val="0"/>
              <w:suppressLineNumbers w:val="0"/>
              <w:spacing w:before="0" w:beforeAutospacing="0" w:after="0" w:afterAutospacing="0"/>
              <w:ind w:left="0" w:right="0"/>
              <w:rPr>
                <w:rFonts w:hint="default"/>
                <w:color w:val="auto"/>
                <w:highlight w:val="none"/>
              </w:rPr>
            </w:pPr>
            <w:r>
              <w:rPr>
                <w:rFonts w:hint="eastAsia"/>
                <w:bCs/>
                <w:color w:val="auto"/>
                <w:kern w:val="0"/>
                <w:highlight w:val="none"/>
              </w:rPr>
              <w:t>采购支持中小微企业发展</w:t>
            </w:r>
            <w:r>
              <w:rPr>
                <w:rFonts w:hint="eastAsia"/>
                <w:color w:val="auto"/>
                <w:highlight w:val="none"/>
              </w:rPr>
              <w:t>（1.货物类供应商和产品制造商应同时满足中小微企业的条件；2.残疾人福利企业、监狱企业视同小型和微型企业）</w:t>
            </w:r>
            <w:r>
              <w:rPr>
                <w:rFonts w:hint="eastAsia"/>
                <w:bCs/>
                <w:color w:val="auto"/>
                <w:kern w:val="0"/>
                <w:highlight w:val="none"/>
              </w:rPr>
              <w:t>：</w:t>
            </w:r>
            <w:r>
              <w:rPr>
                <w:rFonts w:hint="eastAsia"/>
                <w:color w:val="auto"/>
                <w:highlight w:val="none"/>
              </w:rPr>
              <w:t>小型或微型企业，</w:t>
            </w:r>
            <w:r>
              <w:rPr>
                <w:rFonts w:hint="eastAsia"/>
                <w:color w:val="auto"/>
                <w:kern w:val="0"/>
                <w:highlight w:val="none"/>
              </w:rPr>
              <w:t>价格</w:t>
            </w:r>
            <w:r>
              <w:rPr>
                <w:rFonts w:hint="eastAsia"/>
                <w:color w:val="auto"/>
                <w:highlight w:val="none"/>
              </w:rPr>
              <w:t>扣除比例为</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rPr>
              <w:t>％；中型企业，</w:t>
            </w:r>
            <w:r>
              <w:rPr>
                <w:rFonts w:hint="eastAsia"/>
                <w:color w:val="auto"/>
                <w:kern w:val="0"/>
                <w:highlight w:val="none"/>
              </w:rPr>
              <w:t>价格</w:t>
            </w:r>
            <w:r>
              <w:rPr>
                <w:rFonts w:hint="eastAsia"/>
                <w:color w:val="auto"/>
                <w:highlight w:val="none"/>
              </w:rPr>
              <w:t xml:space="preserve">扣除比例为 </w:t>
            </w:r>
            <w:r>
              <w:rPr>
                <w:rFonts w:hint="eastAsia"/>
                <w:color w:val="auto"/>
                <w:highlight w:val="none"/>
                <w:u w:val="single"/>
              </w:rPr>
              <w:t>/</w:t>
            </w:r>
            <w:r>
              <w:rPr>
                <w:rFonts w:hint="eastAsia"/>
                <w:color w:val="auto"/>
                <w:highlight w:val="none"/>
              </w:rPr>
              <w:t>％；联合体投标的，价格扣除比例为</w:t>
            </w:r>
            <w:r>
              <w:rPr>
                <w:rFonts w:hint="eastAsia"/>
                <w:color w:val="auto"/>
                <w:highlight w:val="none"/>
                <w:u w:val="single"/>
              </w:rPr>
              <w:t xml:space="preserve">  /  </w:t>
            </w:r>
            <w:r>
              <w:rPr>
                <w:rFonts w:hint="eastAsia"/>
                <w:color w:val="auto"/>
                <w:highlight w:val="none"/>
              </w:rPr>
              <w:t xml:space="preserve"> %。评审时，用扣除后的最后报价计算价格分。</w:t>
            </w:r>
          </w:p>
        </w:tc>
      </w:tr>
      <w:tr w14:paraId="357467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8845" w:type="dxa"/>
            <w:gridSpan w:val="3"/>
            <w:vAlign w:val="center"/>
          </w:tcPr>
          <w:p w14:paraId="43285A10">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b/>
                <w:bCs/>
                <w:color w:val="auto"/>
                <w:highlight w:val="none"/>
              </w:rPr>
              <w:t>六、成交结果信息公布与授予合同</w:t>
            </w:r>
          </w:p>
        </w:tc>
      </w:tr>
      <w:tr w14:paraId="5492B5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1F6B8007">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第二章第37.1款</w:t>
            </w:r>
          </w:p>
        </w:tc>
        <w:tc>
          <w:tcPr>
            <w:tcW w:w="1710" w:type="dxa"/>
            <w:vAlign w:val="center"/>
          </w:tcPr>
          <w:p w14:paraId="471E8D01">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财政部门指定的媒体</w:t>
            </w:r>
          </w:p>
        </w:tc>
        <w:tc>
          <w:tcPr>
            <w:tcW w:w="5268" w:type="dxa"/>
            <w:vAlign w:val="center"/>
          </w:tcPr>
          <w:p w14:paraId="28397B93">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default"/>
                <w:color w:val="auto"/>
                <w:highlight w:val="none"/>
              </w:rPr>
              <w:t>长沙</w:t>
            </w:r>
            <w:r>
              <w:rPr>
                <w:rFonts w:hint="eastAsia"/>
                <w:color w:val="auto"/>
                <w:highlight w:val="none"/>
                <w:lang w:val="en-US" w:eastAsia="zh-CN"/>
              </w:rPr>
              <w:t>市</w:t>
            </w:r>
            <w:r>
              <w:rPr>
                <w:rFonts w:hint="default"/>
                <w:color w:val="auto"/>
                <w:highlight w:val="none"/>
              </w:rPr>
              <w:t>政府采购网</w:t>
            </w:r>
          </w:p>
          <w:p w14:paraId="3904B5C3">
            <w:pPr>
              <w:keepNext w:val="0"/>
              <w:keepLines w:val="0"/>
              <w:suppressLineNumbers w:val="0"/>
              <w:spacing w:before="0" w:beforeAutospacing="0" w:after="0" w:afterAutospacing="0"/>
              <w:ind w:left="0" w:leftChars="0" w:right="0" w:firstLine="0" w:firstLineChars="0"/>
              <w:rPr>
                <w:rFonts w:hint="default"/>
                <w:color w:val="auto"/>
                <w:szCs w:val="21"/>
                <w:highlight w:val="none"/>
              </w:rPr>
            </w:pPr>
            <w:r>
              <w:rPr>
                <w:rFonts w:hint="default"/>
                <w:color w:val="auto"/>
                <w:highlight w:val="none"/>
              </w:rPr>
              <w:t>http://changs.ccgp-hunan.gov.cn</w:t>
            </w:r>
          </w:p>
        </w:tc>
      </w:tr>
      <w:tr w14:paraId="62FBFF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144B8C96">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第二章第39.3款</w:t>
            </w:r>
          </w:p>
        </w:tc>
        <w:tc>
          <w:tcPr>
            <w:tcW w:w="1710" w:type="dxa"/>
            <w:vAlign w:val="center"/>
          </w:tcPr>
          <w:p w14:paraId="747D1842">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履约担保</w:t>
            </w:r>
          </w:p>
        </w:tc>
        <w:tc>
          <w:tcPr>
            <w:tcW w:w="5268" w:type="dxa"/>
            <w:vAlign w:val="center"/>
          </w:tcPr>
          <w:p w14:paraId="23DDFC36">
            <w:pPr>
              <w:keepNext w:val="0"/>
              <w:keepLines w:val="0"/>
              <w:suppressLineNumbers w:val="0"/>
              <w:adjustRightInd w:val="0"/>
              <w:snapToGrid w:val="0"/>
              <w:spacing w:before="156" w:beforeLines="50" w:beforeAutospacing="0" w:after="0" w:afterAutospacing="0" w:line="276" w:lineRule="auto"/>
              <w:ind w:left="0" w:right="0" w:firstLine="0" w:firstLineChars="0"/>
              <w:rPr>
                <w:rFonts w:hint="eastAsia" w:ascii="宋体" w:hAnsi="宋体" w:eastAsia="宋体" w:cs="宋体"/>
                <w:color w:val="auto"/>
                <w:szCs w:val="21"/>
                <w:highlight w:val="none"/>
              </w:rPr>
            </w:pPr>
            <w:r>
              <w:rPr>
                <w:rFonts w:hint="eastAsia" w:ascii="宋体" w:hAnsi="宋体" w:eastAsia="宋体" w:cs="宋体"/>
                <w:color w:val="auto"/>
                <w:highlight w:val="none"/>
                <w:lang w:eastAsia="zh-CN"/>
              </w:rPr>
              <w:sym w:font="Wingdings 2" w:char="00A3"/>
            </w:r>
            <w:r>
              <w:rPr>
                <w:rFonts w:hint="eastAsia" w:ascii="宋体" w:hAnsi="宋体" w:eastAsia="宋体" w:cs="宋体"/>
                <w:color w:val="auto"/>
                <w:highlight w:val="none"/>
              </w:rPr>
              <w:t xml:space="preserve"> </w:t>
            </w:r>
            <w:r>
              <w:rPr>
                <w:rFonts w:hint="eastAsia" w:ascii="宋体" w:hAnsi="宋体" w:eastAsia="宋体" w:cs="宋体"/>
                <w:color w:val="auto"/>
                <w:szCs w:val="21"/>
                <w:highlight w:val="none"/>
              </w:rPr>
              <w:t>不要求提供</w:t>
            </w:r>
          </w:p>
          <w:p w14:paraId="33FE2ACA">
            <w:pPr>
              <w:keepNext w:val="0"/>
              <w:keepLines w:val="0"/>
              <w:suppressLineNumbers w:val="0"/>
              <w:spacing w:before="0" w:beforeAutospacing="0" w:after="0" w:afterAutospacing="0"/>
              <w:ind w:left="0" w:leftChars="0" w:right="0" w:firstLine="0" w:firstLineChars="0"/>
              <w:rPr>
                <w:rFonts w:hint="default"/>
                <w:color w:val="auto"/>
                <w:szCs w:val="21"/>
                <w:highlight w:val="none"/>
              </w:rPr>
            </w:pPr>
            <w:r>
              <w:rPr>
                <w:rFonts w:hint="eastAsia"/>
                <w:color w:val="auto"/>
                <w:highlight w:val="none"/>
              </w:rPr>
              <w:t>■</w:t>
            </w:r>
            <w:r>
              <w:rPr>
                <w:rFonts w:hint="eastAsia"/>
                <w:color w:val="auto"/>
                <w:highlight w:val="none"/>
                <w:lang w:val="en-US" w:eastAsia="zh-CN"/>
              </w:rPr>
              <w:t xml:space="preserve"> </w:t>
            </w:r>
            <w:r>
              <w:rPr>
                <w:rFonts w:hint="eastAsia" w:ascii="宋体" w:hAnsi="宋体" w:eastAsia="宋体" w:cs="宋体"/>
                <w:b/>
                <w:bCs/>
                <w:color w:val="auto"/>
                <w:szCs w:val="21"/>
                <w:highlight w:val="none"/>
              </w:rPr>
              <w:t>要求提供，履约担保的金额为：</w:t>
            </w:r>
            <w:r>
              <w:rPr>
                <w:rFonts w:hint="eastAsia" w:ascii="宋体" w:hAnsi="宋体" w:eastAsia="宋体" w:cs="宋体"/>
                <w:b/>
                <w:bCs/>
                <w:color w:val="auto"/>
                <w:szCs w:val="21"/>
                <w:highlight w:val="none"/>
                <w:u w:val="single"/>
                <w:lang w:eastAsia="zh-CN"/>
              </w:rPr>
              <w:t>依据成交供应商的成交金额，支付</w:t>
            </w:r>
            <w:r>
              <w:rPr>
                <w:rFonts w:hint="eastAsia" w:ascii="宋体" w:hAnsi="宋体" w:eastAsia="宋体" w:cs="宋体"/>
                <w:b/>
                <w:bCs/>
                <w:color w:val="auto"/>
                <w:szCs w:val="21"/>
                <w:highlight w:val="none"/>
                <w:u w:val="single"/>
                <w:lang w:val="en-US" w:eastAsia="zh-CN"/>
              </w:rPr>
              <w:t>1个月的服务费为履约担保</w:t>
            </w:r>
            <w:r>
              <w:rPr>
                <w:rFonts w:hint="eastAsia" w:ascii="宋体" w:hAnsi="宋体" w:eastAsia="宋体" w:cs="宋体"/>
                <w:b/>
                <w:bCs/>
                <w:color w:val="auto"/>
                <w:szCs w:val="21"/>
                <w:highlight w:val="none"/>
                <w:u w:val="single"/>
              </w:rPr>
              <w:t>。</w:t>
            </w:r>
          </w:p>
        </w:tc>
      </w:tr>
      <w:tr w14:paraId="10127E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8845" w:type="dxa"/>
            <w:gridSpan w:val="3"/>
            <w:vAlign w:val="center"/>
          </w:tcPr>
          <w:p w14:paraId="4C4DDDC7">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七、其它规定</w:t>
            </w:r>
          </w:p>
        </w:tc>
      </w:tr>
      <w:tr w14:paraId="75918B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2" w:hRule="atLeast"/>
          <w:jc w:val="center"/>
        </w:trPr>
        <w:tc>
          <w:tcPr>
            <w:tcW w:w="1867" w:type="dxa"/>
            <w:vAlign w:val="center"/>
          </w:tcPr>
          <w:p w14:paraId="4ADBA174">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第二章第41.1款</w:t>
            </w:r>
          </w:p>
        </w:tc>
        <w:tc>
          <w:tcPr>
            <w:tcW w:w="1710" w:type="dxa"/>
            <w:vAlign w:val="center"/>
          </w:tcPr>
          <w:p w14:paraId="654C41F6">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采购代理服务费</w:t>
            </w:r>
          </w:p>
        </w:tc>
        <w:tc>
          <w:tcPr>
            <w:tcW w:w="5268" w:type="dxa"/>
            <w:vAlign w:val="center"/>
          </w:tcPr>
          <w:p w14:paraId="0D2FF5C9">
            <w:pPr>
              <w:keepNext w:val="0"/>
              <w:keepLines w:val="0"/>
              <w:suppressLineNumbers w:val="0"/>
              <w:spacing w:before="0" w:beforeAutospacing="0" w:after="0" w:afterAutospacing="0"/>
              <w:ind w:left="0" w:leftChars="0" w:right="0" w:firstLine="0" w:firstLineChars="0"/>
              <w:rPr>
                <w:rFonts w:hint="default"/>
                <w:color w:val="auto"/>
                <w:highlight w:val="none"/>
                <w:u w:val="single"/>
              </w:rPr>
            </w:pPr>
            <w:r>
              <w:rPr>
                <w:rFonts w:hint="eastAsia"/>
                <w:color w:val="auto"/>
                <w:highlight w:val="none"/>
              </w:rPr>
              <w:t>按委托代理协议约定由成交供应商进行支付。</w:t>
            </w:r>
          </w:p>
        </w:tc>
      </w:tr>
      <w:tr w14:paraId="58B6EE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867" w:type="dxa"/>
            <w:vAlign w:val="center"/>
          </w:tcPr>
          <w:p w14:paraId="6FF6A706">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第二章第42.1款</w:t>
            </w:r>
          </w:p>
        </w:tc>
        <w:tc>
          <w:tcPr>
            <w:tcW w:w="1710" w:type="dxa"/>
            <w:vAlign w:val="center"/>
          </w:tcPr>
          <w:p w14:paraId="30BECBBA">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其它规定</w:t>
            </w:r>
          </w:p>
        </w:tc>
        <w:tc>
          <w:tcPr>
            <w:tcW w:w="5268" w:type="dxa"/>
            <w:vAlign w:val="center"/>
          </w:tcPr>
          <w:p w14:paraId="1781E10F">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对列入失信被执行人、重大税收违法案件当事人名单、政府采购严重违法失信行为记录名单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1777178">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1、信用信息查询的查询渠道：“信用中国”网站（www.creditchina.gov.cn）、中国政府采购网（www.ccgp.gov.cn）。</w:t>
            </w:r>
          </w:p>
          <w:p w14:paraId="1D37C054">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2、信用信息查询的截止时点：至本项目投标截止时间止。</w:t>
            </w:r>
          </w:p>
          <w:p w14:paraId="6B2DB36C">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3、信用信息查询记录的具体方式：采购人或采购代理机构在开标后在规定的查询渠道进行查询。</w:t>
            </w:r>
          </w:p>
          <w:p w14:paraId="2E60F8C5">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4、信用信息查询记录证据留存的具体方式：查询记录的网上打印件。</w:t>
            </w:r>
          </w:p>
          <w:p w14:paraId="6FAFAF87">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5、信用信息的使用规则：查询后交由评标委员会评定。</w:t>
            </w:r>
          </w:p>
        </w:tc>
      </w:tr>
    </w:tbl>
    <w:p w14:paraId="3D40B957">
      <w:pPr>
        <w:ind w:left="0" w:leftChars="0" w:firstLine="0" w:firstLineChars="0"/>
        <w:rPr>
          <w:color w:val="auto"/>
          <w:highlight w:val="none"/>
        </w:rPr>
      </w:pPr>
    </w:p>
    <w:p w14:paraId="6362FD06">
      <w:pPr>
        <w:rPr>
          <w:rFonts w:hint="eastAsia"/>
          <w:b/>
          <w:bCs/>
          <w:color w:val="auto"/>
          <w:highlight w:val="none"/>
        </w:rPr>
      </w:pPr>
      <w:r>
        <w:rPr>
          <w:rFonts w:hint="eastAsia"/>
          <w:b/>
          <w:bCs/>
          <w:color w:val="auto"/>
          <w:highlight w:val="none"/>
        </w:rPr>
        <w:br w:type="page"/>
      </w:r>
    </w:p>
    <w:p w14:paraId="0AD4D74F">
      <w:pPr>
        <w:jc w:val="center"/>
        <w:rPr>
          <w:rFonts w:hint="eastAsia"/>
          <w:b/>
          <w:bCs/>
          <w:color w:val="auto"/>
          <w:sz w:val="24"/>
          <w:szCs w:val="24"/>
          <w:highlight w:val="none"/>
        </w:rPr>
      </w:pPr>
      <w:r>
        <w:rPr>
          <w:rFonts w:hint="eastAsia"/>
          <w:b/>
          <w:bCs/>
          <w:color w:val="auto"/>
          <w:sz w:val="24"/>
          <w:szCs w:val="24"/>
          <w:highlight w:val="none"/>
        </w:rPr>
        <w:t>评审因素和标准</w:t>
      </w:r>
    </w:p>
    <w:tbl>
      <w:tblPr>
        <w:tblStyle w:val="43"/>
        <w:tblW w:w="9704" w:type="dxa"/>
        <w:tblInd w:w="-233" w:type="dxa"/>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683"/>
        <w:gridCol w:w="1159"/>
        <w:gridCol w:w="1258"/>
        <w:gridCol w:w="6604"/>
      </w:tblGrid>
      <w:tr w14:paraId="6B83212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c>
          <w:tcPr>
            <w:tcW w:w="683" w:type="dxa"/>
            <w:noWrap w:val="0"/>
            <w:vAlign w:val="center"/>
          </w:tcPr>
          <w:p w14:paraId="7D8BFD87">
            <w:pPr>
              <w:keepNext w:val="0"/>
              <w:keepLines w:val="0"/>
              <w:suppressLineNumbers w:val="0"/>
              <w:snapToGrid w:val="0"/>
              <w:spacing w:before="0" w:beforeAutospacing="0" w:after="0" w:afterAutospacing="0" w:line="360" w:lineRule="auto"/>
              <w:ind w:left="628" w:leftChars="1" w:right="0" w:hanging="626" w:hangingChars="297"/>
              <w:jc w:val="center"/>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序号</w:t>
            </w:r>
          </w:p>
        </w:tc>
        <w:tc>
          <w:tcPr>
            <w:tcW w:w="1159" w:type="dxa"/>
            <w:noWrap w:val="0"/>
            <w:vAlign w:val="center"/>
          </w:tcPr>
          <w:p w14:paraId="28ABE141">
            <w:pPr>
              <w:keepNext w:val="0"/>
              <w:keepLines w:val="0"/>
              <w:suppressLineNumbers w:val="0"/>
              <w:snapToGrid w:val="0"/>
              <w:spacing w:before="0" w:beforeAutospacing="0" w:after="0" w:afterAutospacing="0" w:line="360" w:lineRule="auto"/>
              <w:ind w:left="0" w:right="0" w:firstLine="0" w:firstLineChars="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评审因素</w:t>
            </w:r>
          </w:p>
        </w:tc>
        <w:tc>
          <w:tcPr>
            <w:tcW w:w="7862" w:type="dxa"/>
            <w:gridSpan w:val="2"/>
            <w:noWrap w:val="0"/>
            <w:vAlign w:val="center"/>
          </w:tcPr>
          <w:p w14:paraId="71A34A4E">
            <w:pPr>
              <w:keepNext w:val="0"/>
              <w:keepLines w:val="0"/>
              <w:suppressLineNumbers w:val="0"/>
              <w:snapToGrid w:val="0"/>
              <w:spacing w:before="0" w:beforeAutospacing="0" w:after="0" w:afterAutospacing="0" w:line="360" w:lineRule="auto"/>
              <w:ind w:left="0" w:right="0" w:firstLine="0" w:firstLineChars="0"/>
              <w:jc w:val="center"/>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评分标准</w:t>
            </w:r>
          </w:p>
        </w:tc>
      </w:tr>
      <w:tr w14:paraId="0CC8D47D">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684" w:hRule="atLeast"/>
        </w:trPr>
        <w:tc>
          <w:tcPr>
            <w:tcW w:w="683" w:type="dxa"/>
            <w:noWrap w:val="0"/>
            <w:vAlign w:val="center"/>
          </w:tcPr>
          <w:p w14:paraId="230D4D77">
            <w:pPr>
              <w:keepNext w:val="0"/>
              <w:keepLines w:val="0"/>
              <w:suppressLineNumbers w:val="0"/>
              <w:snapToGrid w:val="0"/>
              <w:spacing w:before="0" w:beforeAutospacing="0" w:after="0" w:afterAutospacing="0" w:line="360" w:lineRule="auto"/>
              <w:ind w:left="0" w:right="0" w:firstLine="0" w:firstLineChars="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w:t>
            </w:r>
          </w:p>
        </w:tc>
        <w:tc>
          <w:tcPr>
            <w:tcW w:w="1159" w:type="dxa"/>
            <w:noWrap w:val="0"/>
            <w:vAlign w:val="center"/>
          </w:tcPr>
          <w:p w14:paraId="1EE009A5">
            <w:pPr>
              <w:keepNext w:val="0"/>
              <w:keepLines w:val="0"/>
              <w:suppressLineNumbers w:val="0"/>
              <w:spacing w:before="0" w:beforeAutospacing="0" w:after="0" w:afterAutospacing="0" w:line="340" w:lineRule="exact"/>
              <w:ind w:left="0" w:right="0" w:firstLine="0" w:firstLineChars="0"/>
              <w:jc w:val="center"/>
              <w:rPr>
                <w:rFonts w:hint="eastAsia" w:ascii="宋体" w:hAnsi="宋体" w:cs="Times New Roman"/>
                <w:color w:val="auto"/>
                <w:szCs w:val="21"/>
                <w:highlight w:val="none"/>
              </w:rPr>
            </w:pPr>
            <w:r>
              <w:rPr>
                <w:rFonts w:hint="eastAsia" w:ascii="宋体" w:hAnsi="宋体" w:cs="Times New Roman"/>
                <w:color w:val="auto"/>
                <w:szCs w:val="21"/>
                <w:highlight w:val="none"/>
              </w:rPr>
              <w:t>报价</w:t>
            </w:r>
          </w:p>
          <w:p w14:paraId="75EB2241">
            <w:pPr>
              <w:pStyle w:val="280"/>
              <w:keepNext w:val="0"/>
              <w:keepLines w:val="0"/>
              <w:suppressLineNumbers w:val="0"/>
              <w:spacing w:before="0" w:beforeAutospacing="0" w:after="0" w:afterAutospacing="0" w:line="240" w:lineRule="auto"/>
              <w:ind w:left="0" w:leftChars="0" w:right="0" w:firstLine="0" w:firstLineChars="0"/>
              <w:jc w:val="center"/>
              <w:rPr>
                <w:rFonts w:hint="eastAsia" w:ascii="宋体" w:hAnsi="宋体" w:eastAsia="宋体" w:cs="Times New Roman"/>
                <w:color w:val="auto"/>
                <w:kern w:val="0"/>
                <w:sz w:val="20"/>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w:t>
            </w:r>
            <w:r>
              <w:rPr>
                <w:rFonts w:hint="eastAsia" w:ascii="宋体" w:hAnsi="宋体" w:cs="Times New Roman"/>
                <w:color w:val="auto"/>
                <w:kern w:val="2"/>
                <w:sz w:val="21"/>
                <w:szCs w:val="21"/>
                <w:highlight w:val="none"/>
                <w:lang w:val="en-US" w:eastAsia="zh-CN" w:bidi="ar-SA"/>
              </w:rPr>
              <w:t>4</w:t>
            </w:r>
            <w:r>
              <w:rPr>
                <w:rFonts w:hint="eastAsia" w:ascii="宋体" w:hAnsi="宋体" w:eastAsia="宋体" w:cs="Times New Roman"/>
                <w:color w:val="auto"/>
                <w:kern w:val="2"/>
                <w:sz w:val="21"/>
                <w:szCs w:val="21"/>
                <w:highlight w:val="none"/>
                <w:lang w:val="en-US" w:eastAsia="zh-CN" w:bidi="ar-SA"/>
              </w:rPr>
              <w:t>0分）</w:t>
            </w:r>
          </w:p>
        </w:tc>
        <w:tc>
          <w:tcPr>
            <w:tcW w:w="1258" w:type="dxa"/>
            <w:noWrap w:val="0"/>
            <w:vAlign w:val="center"/>
          </w:tcPr>
          <w:p w14:paraId="4FB2984C">
            <w:pPr>
              <w:keepNext w:val="0"/>
              <w:keepLines w:val="0"/>
              <w:suppressLineNumbers w:val="0"/>
              <w:spacing w:before="0" w:beforeAutospacing="0" w:after="0" w:afterAutospacing="0" w:line="340" w:lineRule="exact"/>
              <w:ind w:left="0" w:right="0" w:firstLine="0" w:firstLineChars="0"/>
              <w:jc w:val="center"/>
              <w:rPr>
                <w:rFonts w:hint="eastAsia" w:ascii="宋体" w:hAnsi="宋体" w:cs="Times New Roman"/>
                <w:color w:val="auto"/>
                <w:szCs w:val="21"/>
                <w:highlight w:val="none"/>
              </w:rPr>
            </w:pPr>
            <w:r>
              <w:rPr>
                <w:rFonts w:hint="eastAsia" w:ascii="宋体" w:hAnsi="宋体" w:cs="Times New Roman"/>
                <w:color w:val="auto"/>
                <w:szCs w:val="21"/>
                <w:highlight w:val="none"/>
              </w:rPr>
              <w:t>价格</w:t>
            </w:r>
          </w:p>
          <w:p w14:paraId="23D6B586">
            <w:pPr>
              <w:keepNext w:val="0"/>
              <w:keepLines w:val="0"/>
              <w:suppressLineNumbers w:val="0"/>
              <w:spacing w:before="0" w:beforeAutospacing="0" w:after="0" w:afterAutospacing="0" w:line="340" w:lineRule="exact"/>
              <w:ind w:left="0" w:right="0" w:firstLine="0" w:firstLineChars="0"/>
              <w:jc w:val="center"/>
              <w:rPr>
                <w:rFonts w:hint="eastAsia" w:ascii="宋体" w:hAnsi="宋体" w:eastAsia="宋体" w:cs="Times New Roman"/>
                <w:color w:val="auto"/>
                <w:szCs w:val="21"/>
                <w:highlight w:val="none"/>
              </w:rPr>
            </w:pPr>
            <w:r>
              <w:rPr>
                <w:rFonts w:hint="eastAsia" w:ascii="宋体" w:hAnsi="宋体" w:cs="Times New Roman"/>
                <w:color w:val="auto"/>
                <w:szCs w:val="21"/>
                <w:highlight w:val="none"/>
              </w:rPr>
              <w:t>（</w:t>
            </w:r>
            <w:r>
              <w:rPr>
                <w:rFonts w:hint="eastAsia" w:cs="Times New Roman"/>
                <w:color w:val="auto"/>
                <w:szCs w:val="21"/>
                <w:highlight w:val="none"/>
                <w:lang w:val="en-US" w:eastAsia="zh-CN"/>
              </w:rPr>
              <w:t>4</w:t>
            </w:r>
            <w:r>
              <w:rPr>
                <w:rFonts w:hint="eastAsia" w:ascii="宋体" w:hAnsi="宋体" w:cs="Times New Roman"/>
                <w:color w:val="auto"/>
                <w:szCs w:val="21"/>
                <w:highlight w:val="none"/>
                <w:lang w:val="en-US" w:eastAsia="zh-CN"/>
              </w:rPr>
              <w:t>0</w:t>
            </w:r>
            <w:r>
              <w:rPr>
                <w:rFonts w:hint="eastAsia" w:ascii="宋体" w:hAnsi="宋体" w:cs="Times New Roman"/>
                <w:color w:val="auto"/>
                <w:szCs w:val="21"/>
                <w:highlight w:val="none"/>
              </w:rPr>
              <w:t>分）</w:t>
            </w:r>
          </w:p>
        </w:tc>
        <w:tc>
          <w:tcPr>
            <w:tcW w:w="6604" w:type="dxa"/>
            <w:noWrap w:val="0"/>
            <w:vAlign w:val="center"/>
          </w:tcPr>
          <w:p w14:paraId="0F1A8040">
            <w:pPr>
              <w:pStyle w:val="281"/>
              <w:keepNext w:val="0"/>
              <w:keepLines w:val="0"/>
              <w:suppressLineNumbers w:val="0"/>
              <w:spacing w:before="0" w:beforeAutospacing="0" w:after="0" w:afterAutospacing="0"/>
              <w:ind w:left="0" w:right="0" w:firstLine="420" w:firstLineChars="200"/>
              <w:jc w:val="left"/>
              <w:rPr>
                <w:rFonts w:hint="default" w:ascii="宋体" w:hAnsi="宋体"/>
                <w:color w:val="auto"/>
                <w:szCs w:val="21"/>
              </w:rPr>
            </w:pPr>
            <w:r>
              <w:rPr>
                <w:rFonts w:hint="eastAsia" w:ascii="宋体" w:hAnsi="宋体"/>
                <w:color w:val="auto"/>
                <w:szCs w:val="21"/>
              </w:rPr>
              <w:t>以经评委会一致认定满足磋商文件要求且投标价格最低的投标报价为评标基准价，其价格得分计</w:t>
            </w:r>
            <w:r>
              <w:rPr>
                <w:rFonts w:hint="eastAsia" w:ascii="宋体" w:hAnsi="宋体"/>
                <w:color w:val="auto"/>
                <w:szCs w:val="21"/>
                <w:lang w:val="en-US" w:eastAsia="zh-CN"/>
              </w:rPr>
              <w:t>4</w:t>
            </w:r>
            <w:r>
              <w:rPr>
                <w:rFonts w:hint="eastAsia" w:ascii="宋体" w:hAnsi="宋体"/>
                <w:color w:val="auto"/>
                <w:szCs w:val="21"/>
              </w:rPr>
              <w:t>0分。其他供应商的价格得分统一按公式计算：报价得分＝（评标基准价/投标报价</w:t>
            </w:r>
            <w:r>
              <w:rPr>
                <w:rFonts w:hint="eastAsia" w:ascii="宋体" w:hAnsi="宋体"/>
                <w:color w:val="auto"/>
                <w:szCs w:val="21"/>
                <w:lang w:eastAsia="zh-CN"/>
              </w:rPr>
              <w:t>）</w:t>
            </w:r>
            <w:r>
              <w:rPr>
                <w:rFonts w:hint="eastAsia" w:ascii="宋体" w:hAnsi="宋体"/>
                <w:color w:val="auto"/>
                <w:szCs w:val="21"/>
              </w:rPr>
              <w:t>×投标报价权值</w:t>
            </w:r>
            <w:r>
              <w:rPr>
                <w:rFonts w:hint="eastAsia" w:ascii="宋体" w:hAnsi="宋体" w:eastAsia="宋体" w:cs="宋体"/>
                <w:color w:val="auto"/>
                <w:szCs w:val="21"/>
              </w:rPr>
              <w:t>×</w:t>
            </w:r>
            <w:r>
              <w:rPr>
                <w:rFonts w:hint="eastAsia" w:ascii="宋体" w:hAnsi="宋体" w:eastAsia="宋体" w:cs="宋体"/>
                <w:color w:val="auto"/>
                <w:szCs w:val="21"/>
                <w:lang w:val="en-US" w:eastAsia="zh-CN"/>
              </w:rPr>
              <w:t>100%</w:t>
            </w:r>
          </w:p>
          <w:p w14:paraId="5E87463E">
            <w:pPr>
              <w:pStyle w:val="281"/>
              <w:keepNext w:val="0"/>
              <w:keepLines w:val="0"/>
              <w:suppressLineNumbers w:val="0"/>
              <w:spacing w:before="0" w:beforeAutospacing="0" w:after="0" w:afterAutospacing="0" w:line="240" w:lineRule="auto"/>
              <w:ind w:left="0" w:right="0" w:firstLine="420" w:firstLineChars="20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备注:评审委员会如认为采购评审过程中出现异常低价投标（响应）情形的，或者参照财政部《关于推动解决政府采购异常低价问题的通知》相关规定，有权启动异常低价审查程序。相关法律法规对供应商报价另有规定的，从其规定。</w:t>
            </w:r>
            <w:bookmarkStart w:id="12" w:name="_GoBack"/>
            <w:bookmarkEnd w:id="12"/>
          </w:p>
          <w:p w14:paraId="0A2EE19A">
            <w:pPr>
              <w:pStyle w:val="281"/>
              <w:keepNext w:val="0"/>
              <w:keepLines w:val="0"/>
              <w:suppressLineNumbers w:val="0"/>
              <w:spacing w:before="0" w:beforeAutospacing="0" w:after="0" w:afterAutospacing="0" w:line="240" w:lineRule="auto"/>
              <w:ind w:left="0" w:right="0" w:firstLine="420" w:firstLineChars="200"/>
              <w:jc w:val="left"/>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宋体"/>
                <w:b w:val="0"/>
                <w:bCs w:val="0"/>
                <w:color w:val="auto"/>
                <w:szCs w:val="21"/>
                <w:highlight w:val="none"/>
                <w:lang w:eastAsia="zh-CN"/>
              </w:rPr>
              <w:t>评审委员会启动异常低价投标（响应）审查后，</w:t>
            </w:r>
            <w:r>
              <w:rPr>
                <w:rFonts w:hint="eastAsia" w:ascii="宋体" w:hAnsi="宋体" w:cs="宋体"/>
                <w:b w:val="0"/>
                <w:bCs w:val="0"/>
                <w:color w:val="auto"/>
                <w:szCs w:val="21"/>
                <w:highlight w:val="none"/>
                <w:lang w:val="en-US" w:eastAsia="zh-CN"/>
              </w:rPr>
              <w:t>有权</w:t>
            </w:r>
            <w:r>
              <w:rPr>
                <w:rFonts w:hint="eastAsia" w:ascii="宋体" w:hAnsi="宋体" w:eastAsia="宋体" w:cs="宋体"/>
                <w:b w:val="0"/>
                <w:bCs w:val="0"/>
                <w:color w:val="auto"/>
                <w:szCs w:val="21"/>
                <w:highlight w:val="none"/>
                <w:lang w:eastAsia="zh-CN"/>
              </w:rPr>
              <w:t>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w:t>
            </w:r>
            <w:r>
              <w:rPr>
                <w:rFonts w:hint="eastAsia" w:ascii="宋体" w:hAnsi="宋体" w:eastAsia="宋体" w:cs="宋体"/>
                <w:b w:val="0"/>
                <w:bCs w:val="0"/>
                <w:color w:val="auto"/>
                <w:szCs w:val="21"/>
                <w:highlight w:val="none"/>
                <w:lang w:val="en-US" w:eastAsia="zh-CN"/>
              </w:rPr>
              <w:t>0</w:t>
            </w:r>
            <w:r>
              <w:rPr>
                <w:rFonts w:hint="eastAsia" w:ascii="宋体" w:hAnsi="宋体" w:eastAsia="宋体" w:cs="宋体"/>
                <w:b w:val="0"/>
                <w:bCs w:val="0"/>
                <w:color w:val="auto"/>
                <w:szCs w:val="21"/>
                <w:highlight w:val="none"/>
                <w:lang w:eastAsia="zh-CN"/>
              </w:rPr>
              <w:t>分钟。</w:t>
            </w:r>
            <w:r>
              <w:rPr>
                <w:rFonts w:hint="eastAsia" w:ascii="宋体" w:hAnsi="宋体" w:eastAsia="宋体" w:cs="宋体"/>
                <w:b w:val="0"/>
                <w:bCs w:val="0"/>
                <w:color w:val="auto"/>
                <w:szCs w:val="21"/>
                <w:highlight w:val="none"/>
                <w:lang w:val="en-US" w:eastAsia="zh-CN"/>
              </w:rPr>
              <w:t>若</w:t>
            </w:r>
            <w:r>
              <w:rPr>
                <w:rFonts w:hint="eastAsia" w:ascii="宋体" w:hAnsi="宋体" w:eastAsia="宋体" w:cs="宋体"/>
                <w:b w:val="0"/>
                <w:bCs w:val="0"/>
                <w:color w:val="auto"/>
                <w:szCs w:val="21"/>
                <w:highlight w:val="none"/>
                <w:lang w:eastAsia="zh-CN"/>
              </w:rPr>
              <w:t>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Times New Roman"/>
                <w:b w:val="0"/>
                <w:bCs w:val="0"/>
                <w:color w:val="auto"/>
                <w:szCs w:val="21"/>
                <w:highlight w:val="none"/>
                <w:lang w:val="en-US" w:eastAsia="zh-CN"/>
              </w:rPr>
              <w:t>。</w:t>
            </w:r>
          </w:p>
        </w:tc>
      </w:tr>
      <w:tr w14:paraId="6622F34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1340" w:hRule="atLeast"/>
        </w:trPr>
        <w:tc>
          <w:tcPr>
            <w:tcW w:w="683" w:type="dxa"/>
            <w:vMerge w:val="restart"/>
            <w:noWrap w:val="0"/>
            <w:vAlign w:val="center"/>
          </w:tcPr>
          <w:p w14:paraId="31DAC0E4">
            <w:pPr>
              <w:keepNext w:val="0"/>
              <w:keepLines w:val="0"/>
              <w:suppressLineNumbers w:val="0"/>
              <w:snapToGrid w:val="0"/>
              <w:spacing w:before="0" w:beforeAutospacing="0" w:after="0" w:afterAutospacing="0" w:line="360" w:lineRule="auto"/>
              <w:ind w:left="0" w:right="0" w:firstLine="0" w:firstLineChars="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w:t>
            </w:r>
          </w:p>
          <w:p w14:paraId="4CBD78C5">
            <w:pPr>
              <w:keepNext w:val="0"/>
              <w:keepLines w:val="0"/>
              <w:suppressLineNumbers w:val="0"/>
              <w:snapToGrid w:val="0"/>
              <w:spacing w:before="0" w:beforeAutospacing="0" w:after="0" w:afterAutospacing="0" w:line="360" w:lineRule="auto"/>
              <w:ind w:left="0" w:right="0" w:firstLine="0" w:firstLineChars="0"/>
              <w:jc w:val="center"/>
              <w:rPr>
                <w:rFonts w:hint="eastAsia" w:ascii="宋体" w:hAnsi="宋体" w:eastAsia="宋体" w:cs="Times New Roman"/>
                <w:color w:val="auto"/>
                <w:szCs w:val="21"/>
                <w:highlight w:val="none"/>
              </w:rPr>
            </w:pPr>
          </w:p>
        </w:tc>
        <w:tc>
          <w:tcPr>
            <w:tcW w:w="1159" w:type="dxa"/>
            <w:vMerge w:val="restart"/>
            <w:noWrap w:val="0"/>
            <w:vAlign w:val="center"/>
          </w:tcPr>
          <w:p w14:paraId="58970FA8">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技术</w:t>
            </w:r>
          </w:p>
          <w:p w14:paraId="1B133B72">
            <w:pPr>
              <w:keepNext w:val="0"/>
              <w:keepLines w:val="0"/>
              <w:pageBreakBefore w:val="0"/>
              <w:widowControl w:val="0"/>
              <w:suppressLineNumbers w:val="0"/>
              <w:kinsoku/>
              <w:wordWrap/>
              <w:overflowPunct/>
              <w:topLinePunct w:val="0"/>
              <w:autoSpaceDE w:val="0"/>
              <w:autoSpaceDN w:val="0"/>
              <w:bidi w:val="0"/>
              <w:snapToGrid/>
              <w:spacing w:before="0" w:beforeAutospacing="0" w:after="0" w:afterAutospacing="0"/>
              <w:ind w:left="0" w:leftChars="0" w:right="0" w:firstLine="0" w:firstLineChars="0"/>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w:t>
            </w:r>
            <w:r>
              <w:rPr>
                <w:rFonts w:hint="eastAsia" w:cs="Times New Roman"/>
                <w:color w:val="auto"/>
                <w:kern w:val="0"/>
                <w:sz w:val="21"/>
                <w:szCs w:val="21"/>
                <w:highlight w:val="none"/>
                <w:lang w:val="en-US" w:eastAsia="zh-CN" w:bidi="ar-SA"/>
              </w:rPr>
              <w:t>5</w:t>
            </w:r>
            <w:r>
              <w:rPr>
                <w:rFonts w:hint="eastAsia" w:ascii="宋体" w:hAnsi="宋体" w:eastAsia="宋体" w:cs="Times New Roman"/>
                <w:color w:val="auto"/>
                <w:kern w:val="0"/>
                <w:sz w:val="21"/>
                <w:szCs w:val="21"/>
                <w:highlight w:val="none"/>
                <w:lang w:val="en-US" w:eastAsia="zh-CN" w:bidi="ar-SA"/>
              </w:rPr>
              <w:t>0分）</w:t>
            </w:r>
          </w:p>
        </w:tc>
        <w:tc>
          <w:tcPr>
            <w:tcW w:w="1258" w:type="dxa"/>
            <w:noWrap w:val="0"/>
            <w:vAlign w:val="center"/>
          </w:tcPr>
          <w:p w14:paraId="0F3CB3A8">
            <w:pPr>
              <w:pStyle w:val="282"/>
              <w:keepNext w:val="0"/>
              <w:keepLines w:val="0"/>
              <w:suppressLineNumbers w:val="0"/>
              <w:spacing w:before="0" w:beforeAutospacing="0" w:afterAutospacing="0" w:line="240" w:lineRule="auto"/>
              <w:ind w:left="0" w:leftChars="0" w:right="0" w:firstLine="0" w:firstLineChars="0"/>
              <w:jc w:val="center"/>
              <w:rPr>
                <w:rFonts w:hint="eastAsia" w:ascii="宋体" w:hAnsi="宋体" w:eastAsia="宋体" w:cs="Times New Roman"/>
                <w:color w:val="auto"/>
                <w:szCs w:val="21"/>
                <w:highlight w:val="none"/>
              </w:rPr>
            </w:pPr>
            <w:r>
              <w:rPr>
                <w:rFonts w:hint="eastAsia" w:ascii="宋体" w:hAnsi="宋体" w:cs="Times New Roman"/>
                <w:color w:val="auto"/>
                <w:szCs w:val="21"/>
                <w:highlight w:val="none"/>
              </w:rPr>
              <w:t>保安管理服务方案（</w:t>
            </w:r>
            <w:r>
              <w:rPr>
                <w:rFonts w:hint="eastAsia" w:ascii="宋体" w:hAnsi="宋体" w:cs="Times New Roman"/>
                <w:color w:val="auto"/>
                <w:szCs w:val="21"/>
                <w:highlight w:val="none"/>
                <w:lang w:val="en-US" w:eastAsia="zh-CN"/>
              </w:rPr>
              <w:t>20</w:t>
            </w:r>
            <w:r>
              <w:rPr>
                <w:rFonts w:hint="eastAsia" w:ascii="宋体" w:hAnsi="宋体" w:cs="Times New Roman"/>
                <w:color w:val="auto"/>
                <w:szCs w:val="21"/>
                <w:highlight w:val="none"/>
              </w:rPr>
              <w:t>分）</w:t>
            </w:r>
          </w:p>
        </w:tc>
        <w:tc>
          <w:tcPr>
            <w:tcW w:w="6604" w:type="dxa"/>
            <w:noWrap w:val="0"/>
            <w:vAlign w:val="center"/>
          </w:tcPr>
          <w:p w14:paraId="2BC0787D">
            <w:pPr>
              <w:keepNext w:val="0"/>
              <w:keepLines w:val="0"/>
              <w:suppressLineNumbers w:val="0"/>
              <w:spacing w:before="0" w:beforeAutospacing="0" w:after="0" w:afterAutospacing="0" w:line="240" w:lineRule="auto"/>
              <w:ind w:left="0" w:right="0" w:firstLine="420" w:firstLineChars="200"/>
              <w:rPr>
                <w:rFonts w:hint="eastAsia" w:ascii="宋体" w:hAnsi="宋体" w:eastAsia="宋体" w:cs="Times New Roman"/>
                <w:color w:val="auto"/>
                <w:szCs w:val="21"/>
                <w:highlight w:val="none"/>
              </w:rPr>
            </w:pPr>
            <w:r>
              <w:rPr>
                <w:rFonts w:hint="eastAsia" w:cs="Times New Roman"/>
                <w:color w:val="auto"/>
                <w:szCs w:val="21"/>
                <w:highlight w:val="none"/>
                <w:lang w:eastAsia="zh-CN"/>
              </w:rPr>
              <w:t>供应商</w:t>
            </w:r>
            <w:r>
              <w:rPr>
                <w:rFonts w:hint="eastAsia" w:cs="Times New Roman"/>
                <w:color w:val="auto"/>
                <w:szCs w:val="21"/>
                <w:highlight w:val="none"/>
                <w:lang w:val="en-US" w:eastAsia="zh-CN"/>
              </w:rPr>
              <w:t>针</w:t>
            </w:r>
            <w:r>
              <w:rPr>
                <w:rFonts w:hint="eastAsia" w:cs="Times New Roman"/>
                <w:color w:val="auto"/>
                <w:szCs w:val="21"/>
                <w:highlight w:val="none"/>
                <w:lang w:eastAsia="zh-CN"/>
              </w:rPr>
              <w:t>对本项目区域</w:t>
            </w:r>
            <w:r>
              <w:rPr>
                <w:rFonts w:hint="eastAsia" w:ascii="宋体" w:hAnsi="宋体" w:cs="Times New Roman"/>
                <w:color w:val="auto"/>
                <w:szCs w:val="21"/>
                <w:highlight w:val="none"/>
              </w:rPr>
              <w:t>提</w:t>
            </w:r>
            <w:r>
              <w:rPr>
                <w:rFonts w:hint="eastAsia" w:cs="Times New Roman"/>
                <w:color w:val="auto"/>
                <w:szCs w:val="21"/>
                <w:highlight w:val="none"/>
                <w:lang w:val="en-US" w:eastAsia="zh-CN"/>
              </w:rPr>
              <w:t>出</w:t>
            </w:r>
            <w:r>
              <w:rPr>
                <w:rFonts w:hint="eastAsia" w:ascii="宋体" w:hAnsi="宋体" w:cs="Times New Roman"/>
                <w:color w:val="auto"/>
                <w:szCs w:val="21"/>
                <w:highlight w:val="none"/>
              </w:rPr>
              <w:t>保安管理服务方案</w:t>
            </w:r>
            <w:r>
              <w:rPr>
                <w:rFonts w:hint="eastAsia" w:cs="Times New Roman"/>
                <w:color w:val="auto"/>
                <w:szCs w:val="21"/>
                <w:highlight w:val="none"/>
                <w:lang w:eastAsia="zh-CN"/>
              </w:rPr>
              <w:t>，</w:t>
            </w:r>
            <w:r>
              <w:rPr>
                <w:rFonts w:hint="eastAsia" w:cs="Times New Roman"/>
                <w:color w:val="auto"/>
                <w:szCs w:val="21"/>
                <w:highlight w:val="none"/>
                <w:lang w:val="en-US" w:eastAsia="zh-CN"/>
              </w:rPr>
              <w:t>内容涵盖以下关键要素</w:t>
            </w:r>
            <w:r>
              <w:rPr>
                <w:rFonts w:hint="eastAsia" w:cs="Times New Roman"/>
                <w:color w:val="auto"/>
                <w:szCs w:val="21"/>
                <w:highlight w:val="none"/>
                <w:lang w:eastAsia="zh-CN"/>
              </w:rPr>
              <w:t>：</w:t>
            </w:r>
            <w:r>
              <w:rPr>
                <w:rFonts w:hint="eastAsia" w:ascii="宋体" w:hAnsi="宋体" w:cs="Times New Roman"/>
                <w:color w:val="auto"/>
                <w:szCs w:val="21"/>
                <w:highlight w:val="none"/>
                <w:lang w:val="en-US" w:eastAsia="zh-CN"/>
              </w:rPr>
              <w:t>①</w:t>
            </w:r>
            <w:r>
              <w:rPr>
                <w:rFonts w:hint="eastAsia" w:ascii="宋体" w:hAnsi="宋体" w:cs="Times New Roman"/>
                <w:color w:val="auto"/>
                <w:szCs w:val="21"/>
                <w:highlight w:val="none"/>
              </w:rPr>
              <w:t>人员</w:t>
            </w:r>
            <w:r>
              <w:rPr>
                <w:rFonts w:hint="eastAsia" w:ascii="宋体" w:hAnsi="宋体" w:cs="Times New Roman"/>
                <w:color w:val="auto"/>
                <w:szCs w:val="21"/>
                <w:highlight w:val="none"/>
                <w:lang w:val="en-US" w:eastAsia="zh-CN"/>
              </w:rPr>
              <w:t>配置</w:t>
            </w:r>
            <w:r>
              <w:rPr>
                <w:rFonts w:hint="eastAsia" w:cs="Times New Roman"/>
                <w:color w:val="auto"/>
                <w:szCs w:val="21"/>
                <w:highlight w:val="none"/>
                <w:lang w:eastAsia="zh-CN"/>
              </w:rPr>
              <w:t>；</w:t>
            </w:r>
            <w:r>
              <w:rPr>
                <w:rFonts w:hint="eastAsia" w:ascii="宋体" w:hAnsi="宋体" w:cs="Times New Roman"/>
                <w:color w:val="auto"/>
                <w:szCs w:val="21"/>
                <w:highlight w:val="none"/>
                <w:lang w:val="en-US" w:eastAsia="zh-CN"/>
              </w:rPr>
              <w:t>②</w:t>
            </w:r>
            <w:r>
              <w:rPr>
                <w:rFonts w:hint="eastAsia" w:ascii="宋体" w:hAnsi="宋体" w:cs="Times New Roman"/>
                <w:color w:val="auto"/>
                <w:szCs w:val="21"/>
                <w:highlight w:val="none"/>
              </w:rPr>
              <w:t>进出车辆的秩序维护</w:t>
            </w:r>
            <w:r>
              <w:rPr>
                <w:rFonts w:hint="eastAsia" w:cs="Times New Roman"/>
                <w:color w:val="auto"/>
                <w:szCs w:val="21"/>
                <w:highlight w:val="none"/>
                <w:lang w:eastAsia="zh-CN"/>
              </w:rPr>
              <w:t>；</w:t>
            </w:r>
            <w:r>
              <w:rPr>
                <w:rFonts w:hint="eastAsia" w:ascii="宋体" w:hAnsi="宋体" w:cs="Times New Roman"/>
                <w:color w:val="auto"/>
                <w:szCs w:val="21"/>
                <w:highlight w:val="none"/>
                <w:lang w:val="en-US" w:eastAsia="zh-CN"/>
              </w:rPr>
              <w:t>③巡逻机制</w:t>
            </w:r>
            <w:r>
              <w:rPr>
                <w:rFonts w:hint="eastAsia" w:cs="Times New Roman"/>
                <w:color w:val="auto"/>
                <w:szCs w:val="21"/>
                <w:highlight w:val="none"/>
                <w:lang w:eastAsia="zh-CN"/>
              </w:rPr>
              <w:t>；</w:t>
            </w:r>
            <w:r>
              <w:rPr>
                <w:rFonts w:hint="eastAsia" w:ascii="宋体" w:hAnsi="宋体" w:cs="Times New Roman"/>
                <w:color w:val="auto"/>
                <w:szCs w:val="21"/>
                <w:highlight w:val="none"/>
                <w:lang w:val="en-US" w:eastAsia="zh-CN"/>
              </w:rPr>
              <w:t>④</w:t>
            </w:r>
            <w:r>
              <w:rPr>
                <w:rFonts w:hint="eastAsia" w:ascii="宋体" w:hAnsi="宋体" w:cs="Times New Roman"/>
                <w:color w:val="auto"/>
                <w:szCs w:val="21"/>
                <w:highlight w:val="none"/>
              </w:rPr>
              <w:t>防火和防盗</w:t>
            </w:r>
            <w:r>
              <w:rPr>
                <w:rFonts w:hint="eastAsia" w:cs="Times New Roman"/>
                <w:color w:val="auto"/>
                <w:szCs w:val="21"/>
                <w:highlight w:val="none"/>
                <w:lang w:val="en-US" w:eastAsia="zh-CN"/>
              </w:rPr>
              <w:t>措施；⑤保洁服务配合度等</w:t>
            </w:r>
            <w:r>
              <w:rPr>
                <w:rFonts w:hint="eastAsia" w:cs="Times New Roman"/>
                <w:color w:val="auto"/>
                <w:szCs w:val="21"/>
                <w:highlight w:val="none"/>
                <w:lang w:eastAsia="zh-CN"/>
              </w:rPr>
              <w:t>；</w:t>
            </w:r>
            <w:r>
              <w:rPr>
                <w:rFonts w:hint="eastAsia" w:ascii="宋体" w:hAnsi="宋体" w:cs="Times New Roman"/>
                <w:color w:val="auto"/>
                <w:szCs w:val="21"/>
                <w:highlight w:val="none"/>
              </w:rPr>
              <w:t>方案完整、合理、思路清晰、针对性强、综合对比强的计</w:t>
            </w:r>
            <w:r>
              <w:rPr>
                <w:rFonts w:hint="eastAsia" w:cs="Times New Roman"/>
                <w:color w:val="auto"/>
                <w:szCs w:val="21"/>
                <w:highlight w:val="none"/>
                <w:lang w:val="en-US" w:eastAsia="zh-CN"/>
              </w:rPr>
              <w:t>20</w:t>
            </w:r>
            <w:r>
              <w:rPr>
                <w:rFonts w:hint="eastAsia" w:ascii="宋体" w:hAnsi="宋体" w:cs="Times New Roman"/>
                <w:color w:val="auto"/>
                <w:szCs w:val="21"/>
                <w:highlight w:val="none"/>
              </w:rPr>
              <w:t>分，</w:t>
            </w:r>
            <w:r>
              <w:rPr>
                <w:rFonts w:hint="eastAsia" w:ascii="宋体" w:hAnsi="宋体" w:eastAsia="宋体" w:cs="宋体"/>
                <w:color w:val="auto"/>
                <w:highlight w:val="none"/>
                <w:lang w:bidi="ar"/>
              </w:rPr>
              <w:t>每缺少一项方案要求的内容扣</w:t>
            </w:r>
            <w:r>
              <w:rPr>
                <w:rFonts w:hint="eastAsia" w:cs="宋体"/>
                <w:color w:val="auto"/>
                <w:highlight w:val="none"/>
                <w:lang w:val="en-US" w:eastAsia="zh-CN" w:bidi="ar"/>
              </w:rPr>
              <w:t>4</w:t>
            </w:r>
            <w:r>
              <w:rPr>
                <w:rFonts w:hint="eastAsia" w:ascii="宋体" w:hAnsi="宋体" w:eastAsia="宋体" w:cs="宋体"/>
                <w:color w:val="auto"/>
                <w:highlight w:val="none"/>
                <w:lang w:bidi="ar"/>
              </w:rPr>
              <w:t>分；每有一项方案要求的内容有一处欠合理、欠完善或方案内容与项目实际需求不符或实施存在差异性的一处扣</w:t>
            </w:r>
            <w:r>
              <w:rPr>
                <w:rFonts w:hint="eastAsia" w:cs="宋体"/>
                <w:color w:val="auto"/>
                <w:highlight w:val="none"/>
                <w:lang w:val="en-US" w:eastAsia="zh-CN" w:bidi="ar"/>
              </w:rPr>
              <w:t>2</w:t>
            </w:r>
            <w:r>
              <w:rPr>
                <w:rFonts w:hint="eastAsia" w:ascii="宋体" w:hAnsi="宋体" w:eastAsia="宋体" w:cs="宋体"/>
                <w:color w:val="auto"/>
                <w:highlight w:val="none"/>
                <w:lang w:bidi="ar"/>
              </w:rPr>
              <w:t>分，扣完为止</w:t>
            </w:r>
            <w:r>
              <w:rPr>
                <w:rFonts w:hint="eastAsia" w:ascii="宋体" w:hAnsi="宋体" w:eastAsia="宋体" w:cs="宋体"/>
                <w:color w:val="auto"/>
                <w:highlight w:val="none"/>
                <w:lang w:eastAsia="zh-CN" w:bidi="ar"/>
              </w:rPr>
              <w:t>。未提供方案的不计分</w:t>
            </w:r>
            <w:r>
              <w:rPr>
                <w:rFonts w:hint="eastAsia" w:ascii="宋体" w:hAnsi="宋体" w:eastAsia="宋体" w:cs="宋体"/>
                <w:color w:val="auto"/>
                <w:highlight w:val="none"/>
                <w:lang w:bidi="ar"/>
              </w:rPr>
              <w:t>。</w:t>
            </w:r>
          </w:p>
        </w:tc>
      </w:tr>
      <w:tr w14:paraId="0C16CC2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565" w:hRule="atLeast"/>
        </w:trPr>
        <w:tc>
          <w:tcPr>
            <w:tcW w:w="683" w:type="dxa"/>
            <w:vMerge w:val="continue"/>
            <w:noWrap w:val="0"/>
            <w:vAlign w:val="center"/>
          </w:tcPr>
          <w:p w14:paraId="5ACCDA34">
            <w:pPr>
              <w:keepNext w:val="0"/>
              <w:keepLines w:val="0"/>
              <w:suppressLineNumbers w:val="0"/>
              <w:snapToGrid w:val="0"/>
              <w:spacing w:before="0" w:beforeAutospacing="0" w:after="0" w:afterAutospacing="0" w:line="360" w:lineRule="auto"/>
              <w:ind w:left="0" w:right="0" w:firstLine="0" w:firstLineChars="0"/>
              <w:jc w:val="center"/>
              <w:rPr>
                <w:rFonts w:hint="eastAsia" w:ascii="宋体" w:hAnsi="宋体" w:eastAsia="宋体" w:cs="Times New Roman"/>
                <w:color w:val="auto"/>
                <w:szCs w:val="21"/>
                <w:highlight w:val="none"/>
              </w:rPr>
            </w:pPr>
          </w:p>
        </w:tc>
        <w:tc>
          <w:tcPr>
            <w:tcW w:w="1159" w:type="dxa"/>
            <w:vMerge w:val="continue"/>
            <w:noWrap w:val="0"/>
            <w:vAlign w:val="center"/>
          </w:tcPr>
          <w:p w14:paraId="5A01D8DD">
            <w:pPr>
              <w:keepNext w:val="0"/>
              <w:keepLines w:val="0"/>
              <w:suppressLineNumbers w:val="0"/>
              <w:snapToGrid w:val="0"/>
              <w:spacing w:before="156" w:beforeAutospacing="0" w:after="0" w:afterAutospacing="0" w:line="360" w:lineRule="auto"/>
              <w:ind w:left="0" w:right="0" w:firstLine="0" w:firstLineChars="0"/>
              <w:jc w:val="center"/>
              <w:rPr>
                <w:rFonts w:hint="eastAsia" w:ascii="宋体" w:hAnsi="宋体" w:eastAsia="宋体" w:cs="Times New Roman"/>
                <w:color w:val="auto"/>
                <w:szCs w:val="21"/>
                <w:highlight w:val="none"/>
              </w:rPr>
            </w:pPr>
          </w:p>
        </w:tc>
        <w:tc>
          <w:tcPr>
            <w:tcW w:w="1258" w:type="dxa"/>
            <w:noWrap w:val="0"/>
            <w:vAlign w:val="center"/>
          </w:tcPr>
          <w:p w14:paraId="7CB16F01">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Times New Roman"/>
                <w:color w:val="auto"/>
                <w:kern w:val="0"/>
                <w:sz w:val="21"/>
                <w:szCs w:val="21"/>
                <w:highlight w:val="none"/>
                <w:lang w:val="en-US" w:eastAsia="zh-CN" w:bidi="ar-SA"/>
              </w:rPr>
            </w:pPr>
            <w:r>
              <w:rPr>
                <w:rFonts w:hint="eastAsia" w:ascii="宋体" w:hAnsi="宋体" w:cs="Times New Roman"/>
                <w:color w:val="auto"/>
                <w:szCs w:val="21"/>
                <w:highlight w:val="none"/>
              </w:rPr>
              <w:t>保洁管理服务方案（</w:t>
            </w:r>
            <w:r>
              <w:rPr>
                <w:rFonts w:hint="eastAsia" w:cs="Times New Roman"/>
                <w:color w:val="auto"/>
                <w:szCs w:val="21"/>
                <w:highlight w:val="none"/>
                <w:lang w:val="en-US" w:eastAsia="zh-CN"/>
              </w:rPr>
              <w:t>20</w:t>
            </w:r>
            <w:r>
              <w:rPr>
                <w:rFonts w:hint="eastAsia" w:ascii="宋体" w:hAnsi="宋体" w:cs="Times New Roman"/>
                <w:color w:val="auto"/>
                <w:szCs w:val="21"/>
                <w:highlight w:val="none"/>
              </w:rPr>
              <w:t>分）</w:t>
            </w:r>
          </w:p>
        </w:tc>
        <w:tc>
          <w:tcPr>
            <w:tcW w:w="6604" w:type="dxa"/>
            <w:noWrap w:val="0"/>
            <w:vAlign w:val="center"/>
          </w:tcPr>
          <w:p w14:paraId="335B58DC">
            <w:pPr>
              <w:keepNext w:val="0"/>
              <w:keepLines w:val="0"/>
              <w:suppressLineNumbers w:val="0"/>
              <w:spacing w:before="0" w:beforeAutospacing="0" w:after="0" w:afterAutospacing="0" w:line="240" w:lineRule="auto"/>
              <w:ind w:left="0" w:right="0" w:firstLine="420" w:firstLineChars="200"/>
              <w:rPr>
                <w:rFonts w:hint="eastAsia" w:ascii="宋体" w:hAnsi="宋体" w:eastAsia="宋体" w:cs="Times New Roman"/>
                <w:color w:val="auto"/>
                <w:szCs w:val="21"/>
                <w:highlight w:val="none"/>
              </w:rPr>
            </w:pPr>
            <w:r>
              <w:rPr>
                <w:rFonts w:hint="eastAsia" w:cs="Times New Roman"/>
                <w:color w:val="auto"/>
                <w:szCs w:val="21"/>
                <w:highlight w:val="none"/>
                <w:lang w:eastAsia="zh-CN"/>
              </w:rPr>
              <w:t>供应商</w:t>
            </w:r>
            <w:r>
              <w:rPr>
                <w:rFonts w:hint="eastAsia" w:ascii="宋体" w:hAnsi="宋体" w:cs="Times New Roman"/>
                <w:color w:val="auto"/>
                <w:szCs w:val="21"/>
                <w:highlight w:val="none"/>
              </w:rPr>
              <w:t>针对本</w:t>
            </w:r>
            <w:r>
              <w:rPr>
                <w:rFonts w:hint="eastAsia" w:cs="Times New Roman"/>
                <w:color w:val="auto"/>
                <w:szCs w:val="21"/>
                <w:highlight w:val="none"/>
                <w:lang w:val="en-US" w:eastAsia="zh-CN"/>
              </w:rPr>
              <w:t>项目</w:t>
            </w:r>
            <w:r>
              <w:rPr>
                <w:rFonts w:hint="eastAsia" w:ascii="宋体" w:hAnsi="宋体" w:cs="Times New Roman"/>
                <w:color w:val="auto"/>
                <w:szCs w:val="21"/>
                <w:highlight w:val="none"/>
              </w:rPr>
              <w:t>区域提出保洁</w:t>
            </w:r>
            <w:r>
              <w:rPr>
                <w:rFonts w:hint="eastAsia" w:cs="Times New Roman"/>
                <w:color w:val="auto"/>
                <w:szCs w:val="21"/>
                <w:highlight w:val="none"/>
                <w:lang w:val="en-US" w:eastAsia="zh-CN"/>
              </w:rPr>
              <w:t>管理服务</w:t>
            </w:r>
            <w:r>
              <w:rPr>
                <w:rFonts w:hint="eastAsia" w:ascii="宋体" w:hAnsi="宋体" w:cs="Times New Roman"/>
                <w:color w:val="auto"/>
                <w:szCs w:val="21"/>
                <w:highlight w:val="none"/>
              </w:rPr>
              <w:t>方案</w:t>
            </w:r>
            <w:r>
              <w:rPr>
                <w:rFonts w:hint="eastAsia" w:cs="Times New Roman"/>
                <w:color w:val="auto"/>
                <w:szCs w:val="21"/>
                <w:highlight w:val="none"/>
                <w:lang w:eastAsia="zh-CN"/>
              </w:rPr>
              <w:t>，</w:t>
            </w:r>
            <w:r>
              <w:rPr>
                <w:rFonts w:hint="eastAsia" w:cs="Times New Roman"/>
                <w:color w:val="auto"/>
                <w:szCs w:val="21"/>
                <w:highlight w:val="none"/>
                <w:lang w:val="en-US" w:eastAsia="zh-CN"/>
              </w:rPr>
              <w:t>内容涵盖以下关键要素：</w:t>
            </w:r>
            <w:r>
              <w:rPr>
                <w:rFonts w:hint="eastAsia" w:ascii="宋体" w:hAnsi="宋体" w:cs="Times New Roman"/>
                <w:color w:val="auto"/>
                <w:szCs w:val="21"/>
                <w:highlight w:val="none"/>
                <w:lang w:val="en-US" w:eastAsia="zh-CN"/>
              </w:rPr>
              <w:t>①</w:t>
            </w:r>
            <w:r>
              <w:rPr>
                <w:rFonts w:hint="eastAsia" w:ascii="宋体" w:hAnsi="宋体" w:cs="Times New Roman"/>
                <w:color w:val="auto"/>
                <w:szCs w:val="21"/>
                <w:highlight w:val="none"/>
              </w:rPr>
              <w:t>人员</w:t>
            </w:r>
            <w:r>
              <w:rPr>
                <w:rFonts w:hint="eastAsia" w:cs="Times New Roman"/>
                <w:color w:val="auto"/>
                <w:szCs w:val="21"/>
                <w:highlight w:val="none"/>
                <w:lang w:val="en-US" w:eastAsia="zh-CN"/>
              </w:rPr>
              <w:t>配置</w:t>
            </w:r>
            <w:r>
              <w:rPr>
                <w:rFonts w:hint="eastAsia" w:cs="Times New Roman"/>
                <w:color w:val="auto"/>
                <w:szCs w:val="21"/>
                <w:highlight w:val="none"/>
                <w:lang w:eastAsia="zh-CN"/>
              </w:rPr>
              <w:t>；</w:t>
            </w:r>
            <w:r>
              <w:rPr>
                <w:rFonts w:hint="eastAsia" w:ascii="宋体" w:hAnsi="宋体" w:cs="Times New Roman"/>
                <w:color w:val="auto"/>
                <w:szCs w:val="21"/>
                <w:highlight w:val="none"/>
                <w:lang w:val="en-US" w:eastAsia="zh-CN"/>
              </w:rPr>
              <w:t>②</w:t>
            </w:r>
            <w:r>
              <w:rPr>
                <w:rFonts w:hint="eastAsia" w:ascii="宋体" w:hAnsi="宋体" w:cs="Times New Roman"/>
                <w:color w:val="auto"/>
                <w:szCs w:val="21"/>
                <w:highlight w:val="none"/>
              </w:rPr>
              <w:t>日常保洁服务范围</w:t>
            </w:r>
            <w:r>
              <w:rPr>
                <w:rFonts w:hint="eastAsia" w:cs="Times New Roman"/>
                <w:color w:val="auto"/>
                <w:szCs w:val="21"/>
                <w:highlight w:val="none"/>
                <w:lang w:val="en-US" w:eastAsia="zh-CN"/>
              </w:rPr>
              <w:t>和服务执行</w:t>
            </w:r>
            <w:r>
              <w:rPr>
                <w:rFonts w:hint="eastAsia" w:ascii="宋体" w:hAnsi="宋体" w:cs="Times New Roman"/>
                <w:color w:val="auto"/>
                <w:szCs w:val="21"/>
                <w:highlight w:val="none"/>
              </w:rPr>
              <w:t>标准</w:t>
            </w:r>
            <w:r>
              <w:rPr>
                <w:rFonts w:hint="eastAsia" w:cs="Times New Roman"/>
                <w:color w:val="auto"/>
                <w:szCs w:val="21"/>
                <w:highlight w:val="none"/>
                <w:lang w:eastAsia="zh-CN"/>
              </w:rPr>
              <w:t>；</w:t>
            </w:r>
            <w:r>
              <w:rPr>
                <w:rFonts w:hint="eastAsia" w:ascii="宋体" w:hAnsi="宋体" w:cs="Times New Roman"/>
                <w:color w:val="auto"/>
                <w:szCs w:val="21"/>
                <w:highlight w:val="none"/>
                <w:lang w:val="en-US" w:eastAsia="zh-CN"/>
              </w:rPr>
              <w:t>③</w:t>
            </w:r>
            <w:r>
              <w:rPr>
                <w:rFonts w:hint="eastAsia" w:ascii="宋体" w:hAnsi="宋体" w:cs="Times New Roman"/>
                <w:color w:val="auto"/>
                <w:szCs w:val="21"/>
                <w:highlight w:val="none"/>
              </w:rPr>
              <w:t>垃圾收集</w:t>
            </w:r>
            <w:r>
              <w:rPr>
                <w:rFonts w:hint="eastAsia" w:cs="Times New Roman"/>
                <w:color w:val="auto"/>
                <w:szCs w:val="21"/>
                <w:highlight w:val="none"/>
                <w:lang w:val="en-US" w:eastAsia="zh-CN"/>
              </w:rPr>
              <w:t>及</w:t>
            </w:r>
            <w:r>
              <w:rPr>
                <w:rFonts w:hint="eastAsia" w:ascii="宋体" w:hAnsi="宋体" w:cs="Times New Roman"/>
                <w:color w:val="auto"/>
                <w:szCs w:val="21"/>
                <w:highlight w:val="none"/>
              </w:rPr>
              <w:t>公共区域垃圾桶保洁</w:t>
            </w:r>
            <w:r>
              <w:rPr>
                <w:rFonts w:hint="eastAsia" w:cs="Times New Roman"/>
                <w:color w:val="auto"/>
                <w:szCs w:val="21"/>
                <w:highlight w:val="none"/>
                <w:lang w:eastAsia="zh-CN"/>
              </w:rPr>
              <w:t>；</w:t>
            </w:r>
            <w:r>
              <w:rPr>
                <w:rFonts w:hint="eastAsia" w:ascii="宋体" w:hAnsi="宋体" w:cs="Times New Roman"/>
                <w:color w:val="auto"/>
                <w:szCs w:val="21"/>
                <w:highlight w:val="none"/>
                <w:lang w:val="en-US" w:eastAsia="zh-CN"/>
              </w:rPr>
              <w:t>④</w:t>
            </w:r>
            <w:r>
              <w:rPr>
                <w:rFonts w:hint="eastAsia" w:cs="Times New Roman"/>
                <w:color w:val="auto"/>
                <w:szCs w:val="21"/>
                <w:highlight w:val="none"/>
                <w:lang w:eastAsia="zh-CN"/>
              </w:rPr>
              <w:t>保洁工具及物资管理；</w:t>
            </w:r>
            <w:r>
              <w:rPr>
                <w:rFonts w:hint="eastAsia" w:cs="Times New Roman"/>
                <w:color w:val="auto"/>
                <w:szCs w:val="21"/>
                <w:highlight w:val="none"/>
                <w:lang w:val="en-US" w:eastAsia="zh-CN"/>
              </w:rPr>
              <w:t>⑤</w:t>
            </w:r>
            <w:r>
              <w:rPr>
                <w:rFonts w:hint="eastAsia" w:ascii="宋体" w:hAnsi="宋体" w:cs="Times New Roman"/>
                <w:color w:val="auto"/>
                <w:szCs w:val="21"/>
                <w:highlight w:val="none"/>
              </w:rPr>
              <w:t>现场实景照片不少于五张以直观展示区域现状</w:t>
            </w:r>
            <w:r>
              <w:rPr>
                <w:rFonts w:hint="eastAsia" w:cs="Times New Roman"/>
                <w:color w:val="auto"/>
                <w:szCs w:val="21"/>
                <w:highlight w:val="none"/>
                <w:lang w:val="en-US" w:eastAsia="zh-CN"/>
              </w:rPr>
              <w:t>等</w:t>
            </w:r>
            <w:r>
              <w:rPr>
                <w:rFonts w:hint="eastAsia" w:cs="Times New Roman"/>
                <w:color w:val="auto"/>
                <w:szCs w:val="21"/>
                <w:highlight w:val="none"/>
                <w:lang w:eastAsia="zh-CN"/>
              </w:rPr>
              <w:t>；</w:t>
            </w:r>
            <w:r>
              <w:rPr>
                <w:rFonts w:hint="eastAsia" w:ascii="宋体" w:hAnsi="宋体" w:cs="Times New Roman"/>
                <w:color w:val="auto"/>
                <w:szCs w:val="21"/>
                <w:highlight w:val="none"/>
              </w:rPr>
              <w:t>方案完整、合理、思路清晰、针对性强、综合对比强的计</w:t>
            </w:r>
            <w:r>
              <w:rPr>
                <w:rFonts w:hint="eastAsia" w:cs="Times New Roman"/>
                <w:color w:val="auto"/>
                <w:szCs w:val="21"/>
                <w:highlight w:val="none"/>
                <w:lang w:val="en-US" w:eastAsia="zh-CN"/>
              </w:rPr>
              <w:t>20</w:t>
            </w:r>
            <w:r>
              <w:rPr>
                <w:rFonts w:hint="eastAsia" w:ascii="宋体" w:hAnsi="宋体" w:cs="Times New Roman"/>
                <w:color w:val="auto"/>
                <w:szCs w:val="21"/>
                <w:highlight w:val="none"/>
              </w:rPr>
              <w:t>分，</w:t>
            </w:r>
            <w:r>
              <w:rPr>
                <w:rFonts w:hint="eastAsia" w:ascii="宋体" w:hAnsi="宋体" w:eastAsia="宋体" w:cs="宋体"/>
                <w:color w:val="auto"/>
                <w:highlight w:val="none"/>
                <w:lang w:bidi="ar"/>
              </w:rPr>
              <w:t>每缺少一项方案要求的内容扣</w:t>
            </w:r>
            <w:r>
              <w:rPr>
                <w:rFonts w:hint="eastAsia" w:cs="宋体"/>
                <w:color w:val="auto"/>
                <w:highlight w:val="none"/>
                <w:lang w:val="en-US" w:eastAsia="zh-CN" w:bidi="ar"/>
              </w:rPr>
              <w:t>4</w:t>
            </w:r>
            <w:r>
              <w:rPr>
                <w:rFonts w:hint="eastAsia" w:ascii="宋体" w:hAnsi="宋体" w:eastAsia="宋体" w:cs="宋体"/>
                <w:color w:val="auto"/>
                <w:highlight w:val="none"/>
                <w:lang w:bidi="ar"/>
              </w:rPr>
              <w:t>分；每有一项方案要求的内容有一处欠合理、欠完善或方案内容与项目实际需求不符或实施存在差异性的一处扣</w:t>
            </w:r>
            <w:r>
              <w:rPr>
                <w:rFonts w:hint="eastAsia" w:cs="宋体"/>
                <w:color w:val="auto"/>
                <w:highlight w:val="none"/>
                <w:lang w:val="en-US" w:eastAsia="zh-CN" w:bidi="ar"/>
              </w:rPr>
              <w:t>2</w:t>
            </w:r>
            <w:r>
              <w:rPr>
                <w:rFonts w:hint="eastAsia" w:ascii="宋体" w:hAnsi="宋体" w:eastAsia="宋体" w:cs="宋体"/>
                <w:color w:val="auto"/>
                <w:highlight w:val="none"/>
                <w:lang w:bidi="ar"/>
              </w:rPr>
              <w:t>分，扣完为止</w:t>
            </w:r>
            <w:r>
              <w:rPr>
                <w:rFonts w:hint="eastAsia" w:ascii="宋体" w:hAnsi="宋体" w:eastAsia="宋体" w:cs="宋体"/>
                <w:color w:val="auto"/>
                <w:highlight w:val="none"/>
                <w:lang w:eastAsia="zh-CN" w:bidi="ar"/>
              </w:rPr>
              <w:t>。未提供方案的不计分</w:t>
            </w:r>
            <w:r>
              <w:rPr>
                <w:rFonts w:hint="eastAsia" w:ascii="宋体" w:hAnsi="宋体" w:eastAsia="宋体" w:cs="宋体"/>
                <w:color w:val="auto"/>
                <w:highlight w:val="none"/>
                <w:lang w:bidi="ar"/>
              </w:rPr>
              <w:t>。</w:t>
            </w:r>
          </w:p>
        </w:tc>
      </w:tr>
      <w:tr w14:paraId="1D4BB12A">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1397" w:hRule="atLeast"/>
        </w:trPr>
        <w:tc>
          <w:tcPr>
            <w:tcW w:w="683" w:type="dxa"/>
            <w:vMerge w:val="continue"/>
            <w:noWrap w:val="0"/>
            <w:vAlign w:val="center"/>
          </w:tcPr>
          <w:p w14:paraId="0255421B">
            <w:pPr>
              <w:keepNext w:val="0"/>
              <w:keepLines w:val="0"/>
              <w:suppressLineNumbers w:val="0"/>
              <w:snapToGrid w:val="0"/>
              <w:spacing w:before="0" w:beforeAutospacing="0" w:after="0" w:afterAutospacing="0" w:line="360" w:lineRule="auto"/>
              <w:ind w:left="0" w:right="0" w:firstLine="0" w:firstLineChars="0"/>
              <w:jc w:val="center"/>
              <w:rPr>
                <w:rFonts w:hint="eastAsia" w:ascii="宋体" w:hAnsi="宋体" w:eastAsia="宋体" w:cs="Times New Roman"/>
                <w:color w:val="auto"/>
                <w:szCs w:val="21"/>
                <w:highlight w:val="none"/>
              </w:rPr>
            </w:pPr>
          </w:p>
        </w:tc>
        <w:tc>
          <w:tcPr>
            <w:tcW w:w="1159" w:type="dxa"/>
            <w:vMerge w:val="continue"/>
            <w:noWrap w:val="0"/>
            <w:vAlign w:val="center"/>
          </w:tcPr>
          <w:p w14:paraId="597E65DB">
            <w:pPr>
              <w:keepNext w:val="0"/>
              <w:keepLines w:val="0"/>
              <w:suppressLineNumbers w:val="0"/>
              <w:snapToGrid w:val="0"/>
              <w:spacing w:before="156" w:beforeAutospacing="0" w:after="0" w:afterAutospacing="0" w:line="360" w:lineRule="auto"/>
              <w:ind w:left="0" w:right="0" w:firstLine="0" w:firstLineChars="0"/>
              <w:jc w:val="center"/>
              <w:rPr>
                <w:rFonts w:hint="eastAsia" w:ascii="宋体" w:hAnsi="宋体" w:eastAsia="宋体" w:cs="Times New Roman"/>
                <w:color w:val="auto"/>
                <w:szCs w:val="21"/>
                <w:highlight w:val="none"/>
              </w:rPr>
            </w:pPr>
          </w:p>
        </w:tc>
        <w:tc>
          <w:tcPr>
            <w:tcW w:w="1258" w:type="dxa"/>
            <w:noWrap w:val="0"/>
            <w:vAlign w:val="center"/>
          </w:tcPr>
          <w:p w14:paraId="728A1442">
            <w:pPr>
              <w:keepNext w:val="0"/>
              <w:keepLines w:val="0"/>
              <w:suppressLineNumbers w:val="0"/>
              <w:spacing w:before="0" w:beforeAutospacing="0" w:after="0" w:afterAutospacing="0" w:line="240" w:lineRule="auto"/>
              <w:ind w:left="0" w:right="0" w:firstLine="0" w:firstLineChars="0"/>
              <w:jc w:val="center"/>
              <w:rPr>
                <w:rFonts w:hint="eastAsia" w:ascii="宋体" w:hAnsi="宋体" w:cs="Times New Roman"/>
                <w:color w:val="auto"/>
                <w:szCs w:val="21"/>
                <w:highlight w:val="none"/>
              </w:rPr>
            </w:pPr>
            <w:r>
              <w:rPr>
                <w:rFonts w:hint="eastAsia" w:ascii="宋体" w:hAnsi="宋体" w:cs="Times New Roman"/>
                <w:color w:val="auto"/>
                <w:szCs w:val="21"/>
                <w:highlight w:val="none"/>
                <w:lang w:val="en-US" w:eastAsia="zh-CN"/>
              </w:rPr>
              <w:t>应急管理方案</w:t>
            </w:r>
          </w:p>
          <w:p w14:paraId="76833AE7">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Times New Roman"/>
                <w:color w:val="auto"/>
                <w:szCs w:val="21"/>
                <w:highlight w:val="none"/>
              </w:rPr>
            </w:pPr>
            <w:r>
              <w:rPr>
                <w:rFonts w:hint="eastAsia" w:ascii="宋体" w:hAnsi="宋体" w:cs="Times New Roman"/>
                <w:color w:val="auto"/>
                <w:szCs w:val="21"/>
                <w:highlight w:val="none"/>
              </w:rPr>
              <w:t>（</w:t>
            </w:r>
            <w:r>
              <w:rPr>
                <w:rFonts w:hint="eastAsia" w:ascii="宋体" w:hAnsi="宋体" w:cs="Times New Roman"/>
                <w:color w:val="auto"/>
                <w:szCs w:val="21"/>
                <w:highlight w:val="none"/>
                <w:lang w:val="en-US" w:eastAsia="zh-CN"/>
              </w:rPr>
              <w:t>1</w:t>
            </w:r>
            <w:r>
              <w:rPr>
                <w:rFonts w:hint="eastAsia" w:cs="Times New Roman"/>
                <w:color w:val="auto"/>
                <w:szCs w:val="21"/>
                <w:highlight w:val="none"/>
                <w:lang w:val="en-US" w:eastAsia="zh-CN"/>
              </w:rPr>
              <w:t>0</w:t>
            </w:r>
            <w:r>
              <w:rPr>
                <w:rFonts w:hint="eastAsia" w:ascii="宋体" w:hAnsi="宋体" w:cs="Times New Roman"/>
                <w:color w:val="auto"/>
                <w:szCs w:val="21"/>
                <w:highlight w:val="none"/>
              </w:rPr>
              <w:t>分）</w:t>
            </w:r>
          </w:p>
        </w:tc>
        <w:tc>
          <w:tcPr>
            <w:tcW w:w="6604" w:type="dxa"/>
            <w:noWrap w:val="0"/>
            <w:vAlign w:val="center"/>
          </w:tcPr>
          <w:p w14:paraId="478C2ED2">
            <w:pPr>
              <w:keepNext w:val="0"/>
              <w:keepLines w:val="0"/>
              <w:suppressLineNumbers w:val="0"/>
              <w:spacing w:before="0" w:beforeAutospacing="0" w:after="0" w:afterAutospacing="0" w:line="240" w:lineRule="auto"/>
              <w:ind w:left="0" w:right="0"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lang w:bidi="ar"/>
              </w:rPr>
              <w:t>供应商针对本项目区域提出应急管理方案，内容涵盖以下关键要素：①突发火灾事件应急预案；②突发设备故障应急预案；③突发安全管理应急预案；④突发传染病事件应急预案及管理方案等，方案完整、合理、思路清晰、针对性强、综合对比强的计10分，每缺少一项方案要求的内容扣2.5分；每有一项方案要求的内容有一处欠合理、欠完善或方案内容与项目实际需求不符或实施存在差异性的一处扣1分，扣完为止。未提供方案的不计分。</w:t>
            </w:r>
          </w:p>
        </w:tc>
      </w:tr>
      <w:tr w14:paraId="06E955A1">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213" w:hRule="atLeast"/>
        </w:trPr>
        <w:tc>
          <w:tcPr>
            <w:tcW w:w="683" w:type="dxa"/>
            <w:noWrap w:val="0"/>
            <w:vAlign w:val="center"/>
          </w:tcPr>
          <w:p w14:paraId="11D6BF04">
            <w:pPr>
              <w:keepNext w:val="0"/>
              <w:keepLines w:val="0"/>
              <w:suppressLineNumbers w:val="0"/>
              <w:snapToGrid w:val="0"/>
              <w:spacing w:before="0" w:beforeAutospacing="0" w:after="0" w:afterAutospacing="0" w:line="360" w:lineRule="auto"/>
              <w:ind w:left="0" w:right="0" w:firstLine="0" w:firstLineChars="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w:t>
            </w:r>
          </w:p>
        </w:tc>
        <w:tc>
          <w:tcPr>
            <w:tcW w:w="1159" w:type="dxa"/>
            <w:noWrap w:val="0"/>
            <w:vAlign w:val="center"/>
          </w:tcPr>
          <w:p w14:paraId="69D23108">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商务</w:t>
            </w:r>
          </w:p>
          <w:p w14:paraId="32FE3932">
            <w:pPr>
              <w:keepNext w:val="0"/>
              <w:keepLines w:val="0"/>
              <w:pageBreakBefore w:val="0"/>
              <w:widowControl w:val="0"/>
              <w:suppressLineNumbers w:val="0"/>
              <w:kinsoku/>
              <w:wordWrap/>
              <w:overflowPunct/>
              <w:topLinePunct w:val="0"/>
              <w:autoSpaceDE w:val="0"/>
              <w:autoSpaceDN w:val="0"/>
              <w:bidi w:val="0"/>
              <w:snapToGrid/>
              <w:spacing w:before="0" w:beforeAutospacing="0" w:after="0" w:afterAutospacing="0"/>
              <w:ind w:left="0" w:leftChars="0" w:right="0" w:firstLine="0" w:firstLineChars="0"/>
              <w:jc w:val="both"/>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w:t>
            </w:r>
            <w:r>
              <w:rPr>
                <w:rFonts w:hint="eastAsia" w:cs="Times New Roman"/>
                <w:color w:val="auto"/>
                <w:kern w:val="0"/>
                <w:sz w:val="21"/>
                <w:szCs w:val="21"/>
                <w:highlight w:val="none"/>
                <w:lang w:val="en-US" w:eastAsia="zh-CN" w:bidi="ar-SA"/>
              </w:rPr>
              <w:t>1</w:t>
            </w:r>
            <w:r>
              <w:rPr>
                <w:rFonts w:hint="eastAsia" w:ascii="宋体" w:hAnsi="宋体" w:eastAsia="宋体" w:cs="Times New Roman"/>
                <w:color w:val="auto"/>
                <w:kern w:val="0"/>
                <w:sz w:val="21"/>
                <w:szCs w:val="21"/>
                <w:highlight w:val="none"/>
                <w:lang w:val="en-US" w:eastAsia="zh-CN" w:bidi="ar-SA"/>
              </w:rPr>
              <w:t>0分）</w:t>
            </w:r>
          </w:p>
        </w:tc>
        <w:tc>
          <w:tcPr>
            <w:tcW w:w="1258" w:type="dxa"/>
            <w:noWrap w:val="0"/>
            <w:vAlign w:val="center"/>
          </w:tcPr>
          <w:p w14:paraId="6010073F">
            <w:pPr>
              <w:keepNext w:val="0"/>
              <w:keepLines w:val="0"/>
              <w:suppressLineNumbers w:val="0"/>
              <w:snapToGrid w:val="0"/>
              <w:spacing w:before="0" w:beforeAutospacing="0" w:after="0" w:afterAutospacing="0" w:line="320" w:lineRule="exact"/>
              <w:ind w:left="0" w:right="0" w:firstLine="0" w:firstLineChars="0"/>
              <w:jc w:val="center"/>
              <w:rPr>
                <w:rFonts w:hint="eastAsia" w:ascii="宋体" w:hAnsi="宋体" w:eastAsia="宋体" w:cs="Times New Roman"/>
                <w:color w:val="auto"/>
                <w:kern w:val="0"/>
                <w:szCs w:val="21"/>
                <w:highlight w:val="none"/>
              </w:rPr>
            </w:pPr>
            <w:r>
              <w:rPr>
                <w:rFonts w:hint="eastAsia" w:cs="Times New Roman"/>
                <w:color w:val="auto"/>
                <w:kern w:val="0"/>
                <w:szCs w:val="21"/>
                <w:highlight w:val="none"/>
                <w:lang w:val="en-US" w:eastAsia="zh-CN"/>
              </w:rPr>
              <w:t>类似业绩</w:t>
            </w:r>
            <w:r>
              <w:rPr>
                <w:rFonts w:hint="eastAsia" w:ascii="宋体" w:hAnsi="宋体" w:eastAsia="宋体" w:cs="Times New Roman"/>
                <w:color w:val="auto"/>
                <w:kern w:val="0"/>
                <w:szCs w:val="21"/>
                <w:highlight w:val="none"/>
              </w:rPr>
              <w:t>（</w:t>
            </w:r>
            <w:r>
              <w:rPr>
                <w:rFonts w:hint="eastAsia" w:ascii="宋体" w:hAnsi="宋体" w:eastAsia="宋体" w:cs="Times New Roman"/>
                <w:color w:val="auto"/>
                <w:kern w:val="0"/>
                <w:szCs w:val="21"/>
                <w:highlight w:val="none"/>
                <w:lang w:val="en-US" w:eastAsia="zh-CN"/>
              </w:rPr>
              <w:t>1</w:t>
            </w:r>
            <w:r>
              <w:rPr>
                <w:rFonts w:hint="eastAsia" w:cs="Times New Roman"/>
                <w:color w:val="auto"/>
                <w:kern w:val="0"/>
                <w:szCs w:val="21"/>
                <w:highlight w:val="none"/>
                <w:lang w:val="en-US" w:eastAsia="zh-CN"/>
              </w:rPr>
              <w:t>0</w:t>
            </w:r>
            <w:r>
              <w:rPr>
                <w:rFonts w:hint="eastAsia" w:ascii="宋体" w:hAnsi="宋体" w:eastAsia="宋体" w:cs="Times New Roman"/>
                <w:color w:val="auto"/>
                <w:kern w:val="0"/>
                <w:szCs w:val="21"/>
                <w:highlight w:val="none"/>
              </w:rPr>
              <w:t>分）</w:t>
            </w:r>
          </w:p>
        </w:tc>
        <w:tc>
          <w:tcPr>
            <w:tcW w:w="6604" w:type="dxa"/>
            <w:noWrap w:val="0"/>
            <w:vAlign w:val="center"/>
          </w:tcPr>
          <w:p w14:paraId="37D1A633">
            <w:pPr>
              <w:keepNext w:val="0"/>
              <w:keepLines w:val="0"/>
              <w:suppressLineNumbers w:val="0"/>
              <w:snapToGrid w:val="0"/>
              <w:spacing w:before="0" w:beforeAutospacing="0" w:after="0" w:afterAutospacing="0" w:line="320" w:lineRule="exact"/>
              <w:ind w:left="0" w:right="0" w:firstLine="0" w:firstLineChars="0"/>
              <w:rPr>
                <w:rFonts w:hint="eastAsia" w:ascii="宋体" w:hAnsi="宋体" w:eastAsia="宋体" w:cs="Times New Roman"/>
                <w:b/>
                <w:bCs/>
                <w:color w:val="auto"/>
                <w:szCs w:val="21"/>
                <w:highlight w:val="none"/>
                <w:lang w:eastAsia="zh-CN"/>
              </w:rPr>
            </w:pPr>
            <w:r>
              <w:rPr>
                <w:rFonts w:hint="eastAsia" w:ascii="宋体" w:hAnsi="宋体" w:eastAsia="宋体" w:cs="宋体"/>
                <w:color w:val="auto"/>
                <w:spacing w:val="-2"/>
                <w:kern w:val="2"/>
                <w:sz w:val="21"/>
                <w:szCs w:val="21"/>
                <w:highlight w:val="none"/>
                <w:lang w:val="en-US" w:eastAsia="en-US" w:bidi="ar-SA"/>
              </w:rPr>
              <w:t>供应商自202</w:t>
            </w:r>
            <w:r>
              <w:rPr>
                <w:rFonts w:hint="eastAsia" w:cs="宋体"/>
                <w:color w:val="auto"/>
                <w:spacing w:val="-2"/>
                <w:kern w:val="2"/>
                <w:sz w:val="21"/>
                <w:szCs w:val="21"/>
                <w:highlight w:val="none"/>
                <w:lang w:val="en-US" w:eastAsia="zh-CN" w:bidi="ar-SA"/>
              </w:rPr>
              <w:t>3</w:t>
            </w:r>
            <w:r>
              <w:rPr>
                <w:rFonts w:hint="eastAsia" w:ascii="宋体" w:hAnsi="宋体" w:eastAsia="宋体" w:cs="宋体"/>
                <w:color w:val="auto"/>
                <w:spacing w:val="-2"/>
                <w:kern w:val="2"/>
                <w:sz w:val="21"/>
                <w:szCs w:val="21"/>
                <w:highlight w:val="none"/>
                <w:lang w:val="en-US" w:eastAsia="en-US" w:bidi="ar-SA"/>
              </w:rPr>
              <w:t>年1月1日至今（</w:t>
            </w:r>
            <w:r>
              <w:rPr>
                <w:rFonts w:hint="eastAsia" w:cs="宋体"/>
                <w:color w:val="auto"/>
                <w:spacing w:val="-2"/>
                <w:kern w:val="2"/>
                <w:sz w:val="21"/>
                <w:szCs w:val="21"/>
                <w:highlight w:val="none"/>
                <w:lang w:val="en-US" w:eastAsia="zh-CN" w:bidi="ar-SA"/>
              </w:rPr>
              <w:t>按</w:t>
            </w:r>
            <w:r>
              <w:rPr>
                <w:rFonts w:hint="eastAsia" w:ascii="宋体" w:hAnsi="宋体" w:eastAsia="宋体" w:cs="宋体"/>
                <w:color w:val="auto"/>
                <w:spacing w:val="-2"/>
                <w:kern w:val="2"/>
                <w:sz w:val="21"/>
                <w:szCs w:val="21"/>
                <w:highlight w:val="none"/>
                <w:lang w:val="en-US" w:eastAsia="en-US" w:bidi="ar-SA"/>
              </w:rPr>
              <w:t>合同签订</w:t>
            </w:r>
            <w:r>
              <w:rPr>
                <w:rFonts w:hint="eastAsia" w:cs="宋体"/>
                <w:color w:val="auto"/>
                <w:spacing w:val="-2"/>
                <w:kern w:val="2"/>
                <w:sz w:val="21"/>
                <w:szCs w:val="21"/>
                <w:highlight w:val="none"/>
                <w:lang w:val="en-US" w:eastAsia="zh-CN" w:bidi="ar-SA"/>
              </w:rPr>
              <w:t>时间或合同内容显示</w:t>
            </w:r>
            <w:r>
              <w:rPr>
                <w:rFonts w:hint="eastAsia" w:ascii="宋体" w:hAnsi="宋体" w:eastAsia="宋体" w:cs="宋体"/>
                <w:color w:val="auto"/>
                <w:spacing w:val="-2"/>
                <w:kern w:val="2"/>
                <w:sz w:val="21"/>
                <w:szCs w:val="21"/>
                <w:highlight w:val="none"/>
                <w:lang w:val="en-US" w:eastAsia="en-US" w:bidi="ar-SA"/>
              </w:rPr>
              <w:t>时间</w:t>
            </w:r>
            <w:r>
              <w:rPr>
                <w:rFonts w:hint="eastAsia" w:cs="宋体"/>
                <w:color w:val="auto"/>
                <w:spacing w:val="-2"/>
                <w:kern w:val="2"/>
                <w:sz w:val="21"/>
                <w:szCs w:val="21"/>
                <w:highlight w:val="none"/>
                <w:lang w:val="en-US" w:eastAsia="zh-CN" w:bidi="ar-SA"/>
              </w:rPr>
              <w:t>确定</w:t>
            </w:r>
            <w:r>
              <w:rPr>
                <w:rFonts w:hint="eastAsia" w:ascii="宋体" w:hAnsi="宋体" w:eastAsia="宋体" w:cs="宋体"/>
                <w:color w:val="auto"/>
                <w:spacing w:val="-2"/>
                <w:kern w:val="2"/>
                <w:sz w:val="21"/>
                <w:szCs w:val="21"/>
                <w:highlight w:val="none"/>
                <w:lang w:val="en-US" w:eastAsia="en-US" w:bidi="ar-SA"/>
              </w:rPr>
              <w:t>），具有类似项目业绩（须含保安服务或物业管理服务内容）的每个计5分，最多计10分。(单个项目不同年限不重复计分，提供相应的合同复印件并加盖供应商公章，否则不计分。本项目业绩所称物业管理服务内容须同时具备保安、保洁服务内容。</w:t>
            </w:r>
            <w:r>
              <w:rPr>
                <w:rFonts w:hint="eastAsia" w:cs="宋体"/>
                <w:color w:val="auto"/>
                <w:spacing w:val="-2"/>
                <w:kern w:val="2"/>
                <w:sz w:val="21"/>
                <w:szCs w:val="21"/>
                <w:highlight w:val="none"/>
                <w:lang w:val="en-US" w:eastAsia="zh-CN" w:bidi="ar-SA"/>
              </w:rPr>
              <w:t>）</w:t>
            </w:r>
          </w:p>
        </w:tc>
      </w:tr>
      <w:tr w14:paraId="5E2A45A7">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223" w:hRule="atLeast"/>
        </w:trPr>
        <w:tc>
          <w:tcPr>
            <w:tcW w:w="683" w:type="dxa"/>
            <w:noWrap w:val="0"/>
            <w:vAlign w:val="center"/>
          </w:tcPr>
          <w:p w14:paraId="6B1F4E1E">
            <w:pPr>
              <w:keepNext w:val="0"/>
              <w:keepLines w:val="0"/>
              <w:suppressLineNumbers w:val="0"/>
              <w:snapToGrid w:val="0"/>
              <w:spacing w:before="0" w:beforeAutospacing="0" w:after="0" w:afterAutospacing="0" w:line="360" w:lineRule="auto"/>
              <w:ind w:left="0" w:right="0" w:firstLine="0" w:firstLineChars="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4</w:t>
            </w:r>
          </w:p>
        </w:tc>
        <w:tc>
          <w:tcPr>
            <w:tcW w:w="1159" w:type="dxa"/>
            <w:noWrap w:val="0"/>
            <w:vAlign w:val="center"/>
          </w:tcPr>
          <w:p w14:paraId="66C7153E">
            <w:pPr>
              <w:keepNext w:val="0"/>
              <w:keepLines w:val="0"/>
              <w:suppressLineNumbers w:val="0"/>
              <w:spacing w:before="0" w:beforeAutospacing="0" w:after="0" w:afterAutospacing="0" w:line="240" w:lineRule="auto"/>
              <w:ind w:left="0" w:right="0" w:firstLine="0" w:firstLineChars="0"/>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合计</w:t>
            </w:r>
          </w:p>
        </w:tc>
        <w:tc>
          <w:tcPr>
            <w:tcW w:w="7862" w:type="dxa"/>
            <w:gridSpan w:val="2"/>
            <w:noWrap w:val="0"/>
            <w:vAlign w:val="center"/>
          </w:tcPr>
          <w:p w14:paraId="66A88034">
            <w:pPr>
              <w:keepNext w:val="0"/>
              <w:keepLines w:val="0"/>
              <w:suppressLineNumbers w:val="0"/>
              <w:spacing w:before="0" w:beforeAutospacing="0" w:after="0" w:afterAutospacing="0" w:line="240" w:lineRule="auto"/>
              <w:ind w:left="42" w:leftChars="20" w:right="145" w:rightChars="69" w:firstLine="0" w:firstLineChars="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100</w:t>
            </w:r>
          </w:p>
        </w:tc>
      </w:tr>
      <w:tr w14:paraId="63885F9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108" w:type="dxa"/>
            <w:bottom w:w="0" w:type="dxa"/>
            <w:right w:w="108" w:type="dxa"/>
          </w:tblCellMar>
        </w:tblPrEx>
        <w:trPr>
          <w:trHeight w:val="223" w:hRule="atLeast"/>
        </w:trPr>
        <w:tc>
          <w:tcPr>
            <w:tcW w:w="9704" w:type="dxa"/>
            <w:gridSpan w:val="4"/>
            <w:noWrap w:val="0"/>
            <w:vAlign w:val="center"/>
          </w:tcPr>
          <w:p w14:paraId="3A4A4ED8">
            <w:pPr>
              <w:keepNext w:val="0"/>
              <w:keepLines w:val="0"/>
              <w:widowControl w:val="0"/>
              <w:suppressLineNumbers w:val="0"/>
              <w:spacing w:before="0" w:beforeAutospacing="0" w:after="0" w:afterAutospacing="0" w:line="390" w:lineRule="exact"/>
              <w:ind w:left="0" w:leftChars="0" w:right="0" w:firstLine="0" w:firstLineChars="0"/>
              <w:jc w:val="left"/>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备注：1、 评标委员会按照以上评分标准进行独立评审。</w:t>
            </w:r>
          </w:p>
          <w:p w14:paraId="0E487A59">
            <w:pPr>
              <w:keepNext w:val="0"/>
              <w:keepLines w:val="0"/>
              <w:widowControl w:val="0"/>
              <w:numPr>
                <w:ilvl w:val="0"/>
                <w:numId w:val="0"/>
              </w:numPr>
              <w:suppressLineNumbers w:val="0"/>
              <w:spacing w:before="0" w:beforeAutospacing="0" w:after="0" w:afterAutospacing="0" w:line="390" w:lineRule="exact"/>
              <w:ind w:left="0" w:right="0"/>
              <w:jc w:val="left"/>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2、投标人参与本次采购应提供真实有效的证明材料，应当诚信守法、公平竞争。如有以提供虚假材料（包括但不限于虚假技术参数响应、虚假制造商产品彩页、虚假业绩、虚假证书、虚假网址等）、隐瞒失信信息等谋取中标的行为，一经发现，将报监管部门严肃查处。</w:t>
            </w:r>
          </w:p>
        </w:tc>
      </w:tr>
    </w:tbl>
    <w:p w14:paraId="42A7E60C">
      <w:pPr>
        <w:pStyle w:val="3"/>
        <w:rPr>
          <w:rFonts w:hint="eastAsia"/>
          <w:b/>
          <w:bCs/>
          <w:color w:val="auto"/>
          <w:sz w:val="24"/>
          <w:szCs w:val="24"/>
          <w:highlight w:val="none"/>
        </w:rPr>
      </w:pPr>
    </w:p>
    <w:p w14:paraId="7825E12C">
      <w:pPr>
        <w:rPr>
          <w:color w:val="auto"/>
          <w:highlight w:val="none"/>
        </w:rPr>
      </w:pPr>
    </w:p>
    <w:p w14:paraId="2D7C4047">
      <w:pPr>
        <w:jc w:val="center"/>
        <w:rPr>
          <w:color w:val="auto"/>
          <w:highlight w:val="none"/>
        </w:rPr>
      </w:pPr>
      <w:r>
        <w:rPr>
          <w:rFonts w:hint="eastAsia"/>
          <w:color w:val="auto"/>
          <w:highlight w:val="none"/>
        </w:rPr>
        <w:br w:type="page"/>
      </w:r>
      <w:r>
        <w:rPr>
          <w:rFonts w:hint="eastAsia" w:ascii="宋体" w:hAnsi="宋体" w:cs="宋体"/>
          <w:b/>
          <w:bCs/>
          <w:color w:val="auto"/>
          <w:sz w:val="24"/>
          <w:highlight w:val="none"/>
        </w:rPr>
        <w:t>磋商须知正文</w:t>
      </w:r>
    </w:p>
    <w:p w14:paraId="7F666B24">
      <w:pPr>
        <w:rPr>
          <w:color w:val="auto"/>
          <w:highlight w:val="none"/>
        </w:rPr>
      </w:pPr>
      <w:r>
        <w:rPr>
          <w:rFonts w:hint="eastAsia"/>
          <w:color w:val="auto"/>
          <w:highlight w:val="none"/>
        </w:rPr>
        <w:t>一、说明</w:t>
      </w:r>
    </w:p>
    <w:p w14:paraId="6CCE5452">
      <w:pPr>
        <w:rPr>
          <w:color w:val="auto"/>
          <w:highlight w:val="none"/>
        </w:rPr>
      </w:pPr>
      <w:r>
        <w:rPr>
          <w:rFonts w:hint="eastAsia"/>
          <w:color w:val="auto"/>
          <w:highlight w:val="none"/>
        </w:rPr>
        <w:t>1.适用范围</w:t>
      </w:r>
    </w:p>
    <w:p w14:paraId="4330B35C">
      <w:pPr>
        <w:rPr>
          <w:color w:val="auto"/>
          <w:highlight w:val="none"/>
        </w:rPr>
      </w:pPr>
      <w:r>
        <w:rPr>
          <w:rFonts w:hint="eastAsia"/>
          <w:color w:val="auto"/>
          <w:highlight w:val="none"/>
        </w:rPr>
        <w:t>1.1 本磋商文件仅适用于磋商须知前附表(以下简称</w:t>
      </w:r>
      <w:r>
        <w:rPr>
          <w:rFonts w:hint="eastAsia"/>
          <w:b/>
          <w:color w:val="auto"/>
          <w:highlight w:val="none"/>
        </w:rPr>
        <w:t>磋商须知前附表)</w:t>
      </w:r>
      <w:r>
        <w:rPr>
          <w:rFonts w:hint="eastAsia"/>
          <w:color w:val="auto"/>
          <w:highlight w:val="none"/>
        </w:rPr>
        <w:t>中所叙述的采购项目。</w:t>
      </w:r>
    </w:p>
    <w:p w14:paraId="6714E247">
      <w:pPr>
        <w:rPr>
          <w:color w:val="auto"/>
          <w:highlight w:val="none"/>
        </w:rPr>
      </w:pPr>
      <w:r>
        <w:rPr>
          <w:rFonts w:hint="eastAsia"/>
          <w:color w:val="auto"/>
          <w:highlight w:val="none"/>
        </w:rPr>
        <w:t>2.定义</w:t>
      </w:r>
    </w:p>
    <w:p w14:paraId="764F1CB4">
      <w:pPr>
        <w:rPr>
          <w:b/>
          <w:color w:val="auto"/>
          <w:highlight w:val="none"/>
        </w:rPr>
      </w:pPr>
      <w:r>
        <w:rPr>
          <w:rFonts w:hint="eastAsia"/>
          <w:color w:val="auto"/>
          <w:highlight w:val="none"/>
        </w:rPr>
        <w:t>2.1 “采购人”是指依法进行采购的国家机关、事业单位、团体组织。本次采购的采购人名称、地址、电话、联系人见</w:t>
      </w:r>
      <w:r>
        <w:rPr>
          <w:rFonts w:hint="eastAsia"/>
          <w:b/>
          <w:color w:val="auto"/>
          <w:highlight w:val="none"/>
        </w:rPr>
        <w:t>磋商须知前附表</w:t>
      </w:r>
      <w:r>
        <w:rPr>
          <w:rFonts w:hint="eastAsia"/>
          <w:color w:val="auto"/>
          <w:highlight w:val="none"/>
        </w:rPr>
        <w:t>。</w:t>
      </w:r>
    </w:p>
    <w:p w14:paraId="34480EBC">
      <w:pPr>
        <w:rPr>
          <w:b/>
          <w:color w:val="auto"/>
          <w:highlight w:val="none"/>
        </w:rPr>
      </w:pPr>
      <w:r>
        <w:rPr>
          <w:rFonts w:hint="eastAsia"/>
          <w:color w:val="auto"/>
          <w:highlight w:val="none"/>
        </w:rPr>
        <w:t>2.2 “采购代理机构”是指接受采购人委托，代理采购项目的集中采购机构和其它采购代理机构。本次采购的采购代理机构名称、地址、电话、联系人见</w:t>
      </w:r>
      <w:r>
        <w:rPr>
          <w:rFonts w:hint="eastAsia"/>
          <w:b/>
          <w:color w:val="auto"/>
          <w:highlight w:val="none"/>
        </w:rPr>
        <w:t>磋商须知前附表。</w:t>
      </w:r>
    </w:p>
    <w:p w14:paraId="7AE32BBE">
      <w:pPr>
        <w:rPr>
          <w:bCs/>
          <w:color w:val="auto"/>
          <w:kern w:val="36"/>
          <w:highlight w:val="none"/>
        </w:rPr>
      </w:pPr>
      <w:r>
        <w:rPr>
          <w:rFonts w:hint="eastAsia"/>
          <w:color w:val="auto"/>
          <w:highlight w:val="none"/>
        </w:rPr>
        <w:t>2.3 “供应商”是指响应磋商文件要求、参加竞争性磋商采购的法人、其它组织或者自然人。本次采购项目</w:t>
      </w:r>
      <w:r>
        <w:rPr>
          <w:rFonts w:hint="eastAsia"/>
          <w:color w:val="auto"/>
          <w:kern w:val="0"/>
          <w:highlight w:val="none"/>
        </w:rPr>
        <w:t>邀请</w:t>
      </w:r>
      <w:r>
        <w:rPr>
          <w:rFonts w:hint="eastAsia"/>
          <w:color w:val="auto"/>
          <w:highlight w:val="none"/>
        </w:rPr>
        <w:t>的</w:t>
      </w:r>
      <w:r>
        <w:rPr>
          <w:rFonts w:hint="eastAsia"/>
          <w:color w:val="auto"/>
          <w:kern w:val="0"/>
          <w:highlight w:val="none"/>
        </w:rPr>
        <w:t>供应商通过</w:t>
      </w:r>
      <w:r>
        <w:rPr>
          <w:rFonts w:hint="eastAsia"/>
          <w:b/>
          <w:color w:val="auto"/>
          <w:highlight w:val="none"/>
        </w:rPr>
        <w:t>磋商须知前附表</w:t>
      </w:r>
      <w:r>
        <w:rPr>
          <w:rFonts w:hint="eastAsia"/>
          <w:color w:val="auto"/>
          <w:highlight w:val="none"/>
        </w:rPr>
        <w:t>所述方式</w:t>
      </w:r>
      <w:r>
        <w:rPr>
          <w:rFonts w:hint="eastAsia"/>
          <w:color w:val="auto"/>
          <w:kern w:val="0"/>
          <w:highlight w:val="none"/>
        </w:rPr>
        <w:t>，邀请符合资格条件的供应商提交响应文件（含资格证明资料），参与竞争性磋商采购活动。</w:t>
      </w:r>
    </w:p>
    <w:p w14:paraId="759F12E8">
      <w:pPr>
        <w:rPr>
          <w:color w:val="auto"/>
          <w:kern w:val="0"/>
          <w:highlight w:val="none"/>
        </w:rPr>
      </w:pPr>
      <w:r>
        <w:rPr>
          <w:rFonts w:hint="eastAsia"/>
          <w:color w:val="auto"/>
          <w:highlight w:val="none"/>
        </w:rPr>
        <w:t>2.4 “磋商小组”是指</w:t>
      </w:r>
      <w:r>
        <w:rPr>
          <w:rFonts w:hint="eastAsia"/>
          <w:color w:val="auto"/>
          <w:kern w:val="0"/>
          <w:highlight w:val="none"/>
        </w:rPr>
        <w:t>依据财政部</w:t>
      </w:r>
      <w:r>
        <w:rPr>
          <w:rFonts w:hint="eastAsia"/>
          <w:color w:val="auto"/>
          <w:kern w:val="36"/>
          <w:highlight w:val="none"/>
        </w:rPr>
        <w:t>《政府采购竞争性磋商采购方式管理暂行办法》有关规定组建，依法依规</w:t>
      </w:r>
      <w:r>
        <w:rPr>
          <w:rFonts w:hint="eastAsia"/>
          <w:color w:val="auto"/>
          <w:kern w:val="0"/>
          <w:highlight w:val="none"/>
        </w:rPr>
        <w:t>履行其职责和义务的机构。</w:t>
      </w:r>
    </w:p>
    <w:p w14:paraId="723C9F45">
      <w:pPr>
        <w:rPr>
          <w:color w:val="auto"/>
          <w:highlight w:val="none"/>
        </w:rPr>
      </w:pPr>
      <w:r>
        <w:rPr>
          <w:rFonts w:hint="eastAsia"/>
          <w:color w:val="auto"/>
          <w:highlight w:val="none"/>
        </w:rPr>
        <w:t>2.5 “货物”是指各种形态和种类的物品，包括原资料、燃料、设备、产品等，详见《政府采购品目分类目录》(</w:t>
      </w:r>
      <w:r>
        <w:rPr>
          <w:rStyle w:val="46"/>
          <w:rFonts w:hint="eastAsia"/>
          <w:b w:val="0"/>
          <w:color w:val="auto"/>
          <w:highlight w:val="none"/>
        </w:rPr>
        <w:t>财库[2013]189号</w:t>
      </w:r>
      <w:r>
        <w:rPr>
          <w:rFonts w:hint="eastAsia"/>
          <w:color w:val="auto"/>
          <w:highlight w:val="none"/>
        </w:rPr>
        <w:t>)。</w:t>
      </w:r>
    </w:p>
    <w:p w14:paraId="64D76FA9">
      <w:pPr>
        <w:rPr>
          <w:color w:val="auto"/>
          <w:highlight w:val="none"/>
        </w:rPr>
      </w:pPr>
      <w:r>
        <w:rPr>
          <w:rFonts w:hint="eastAsia"/>
          <w:color w:val="auto"/>
          <w:highlight w:val="none"/>
        </w:rPr>
        <w:t>2.6 “工程”是指建设工程，包括建筑物和构筑物的新建、改建、扩建、装修、拆除、修缮等，详见《政府采购品目分类目录》(</w:t>
      </w:r>
      <w:r>
        <w:rPr>
          <w:rStyle w:val="46"/>
          <w:rFonts w:hint="eastAsia"/>
          <w:b w:val="0"/>
          <w:color w:val="auto"/>
          <w:highlight w:val="none"/>
        </w:rPr>
        <w:t>财库[2013]189号</w:t>
      </w:r>
      <w:r>
        <w:rPr>
          <w:rFonts w:hint="eastAsia"/>
          <w:color w:val="auto"/>
          <w:highlight w:val="none"/>
        </w:rPr>
        <w:t>)。</w:t>
      </w:r>
    </w:p>
    <w:p w14:paraId="0790CAE8">
      <w:pPr>
        <w:rPr>
          <w:color w:val="auto"/>
          <w:highlight w:val="none"/>
        </w:rPr>
      </w:pPr>
      <w:r>
        <w:rPr>
          <w:rFonts w:hint="eastAsia"/>
          <w:color w:val="auto"/>
          <w:highlight w:val="none"/>
        </w:rPr>
        <w:t>2.7 “服务”是指除货物和工程以外的其它采购对象，详见《政府采购品目分类目录》(</w:t>
      </w:r>
      <w:r>
        <w:rPr>
          <w:rStyle w:val="46"/>
          <w:rFonts w:hint="eastAsia"/>
          <w:b w:val="0"/>
          <w:color w:val="auto"/>
          <w:highlight w:val="none"/>
        </w:rPr>
        <w:t>财库[2013]189号</w:t>
      </w:r>
      <w:r>
        <w:rPr>
          <w:rFonts w:hint="eastAsia"/>
          <w:color w:val="auto"/>
          <w:highlight w:val="none"/>
        </w:rPr>
        <w:t>)。</w:t>
      </w:r>
    </w:p>
    <w:p w14:paraId="798C097E">
      <w:pPr>
        <w:rPr>
          <w:color w:val="auto"/>
          <w:highlight w:val="none"/>
        </w:rPr>
      </w:pPr>
      <w:r>
        <w:rPr>
          <w:rFonts w:hint="eastAsia"/>
          <w:color w:val="auto"/>
          <w:kern w:val="0"/>
          <w:highlight w:val="none"/>
        </w:rPr>
        <w:t>2.8</w:t>
      </w:r>
      <w:r>
        <w:rPr>
          <w:rFonts w:hint="eastAsia"/>
          <w:color w:val="auto"/>
          <w:highlight w:val="none"/>
        </w:rPr>
        <w:t xml:space="preserve"> “节能产品”或者“环保产品”是指财政部发布的《节能产品政府采购品目清单》或者《环境标志产品政府采购品目清单》的产品，“两型产品”是指湖南省财政厅发布的《湖南省两型产品政府采购目录》或《长沙市两型产品目录》的产品。</w:t>
      </w:r>
    </w:p>
    <w:p w14:paraId="331A8FAE">
      <w:pPr>
        <w:rPr>
          <w:color w:val="auto"/>
          <w:kern w:val="0"/>
          <w:highlight w:val="none"/>
        </w:rPr>
      </w:pPr>
      <w:r>
        <w:rPr>
          <w:rFonts w:hint="eastAsia"/>
          <w:color w:val="auto"/>
          <w:highlight w:val="none"/>
        </w:rPr>
        <w:t>2.9</w:t>
      </w:r>
      <w:r>
        <w:rPr>
          <w:rFonts w:hint="eastAsia"/>
          <w:color w:val="auto"/>
          <w:kern w:val="0"/>
          <w:highlight w:val="none"/>
        </w:rPr>
        <w:t xml:space="preserve"> “进口产品”是指通过中国海关报关验放进入中国境内且产自关境外的产品，详见《关于政府采购进口产品管理有关问题的通知》(财库[2007]119号)。</w:t>
      </w:r>
    </w:p>
    <w:p w14:paraId="75E77393">
      <w:pPr>
        <w:rPr>
          <w:color w:val="auto"/>
          <w:highlight w:val="none"/>
        </w:rPr>
      </w:pPr>
      <w:r>
        <w:rPr>
          <w:rFonts w:hint="eastAsia"/>
          <w:color w:val="auto"/>
          <w:highlight w:val="none"/>
        </w:rPr>
        <w:t>3.供应商的资格要求</w:t>
      </w:r>
    </w:p>
    <w:p w14:paraId="72A07E6B">
      <w:pPr>
        <w:rPr>
          <w:color w:val="auto"/>
          <w:highlight w:val="none"/>
        </w:rPr>
      </w:pPr>
      <w:r>
        <w:rPr>
          <w:rFonts w:hint="eastAsia"/>
          <w:color w:val="auto"/>
          <w:highlight w:val="none"/>
        </w:rPr>
        <w:t>3.1 供应商应当符合</w:t>
      </w:r>
      <w:r>
        <w:rPr>
          <w:rFonts w:hint="eastAsia"/>
          <w:b/>
          <w:color w:val="auto"/>
          <w:highlight w:val="none"/>
        </w:rPr>
        <w:t>磋商须知前附表</w:t>
      </w:r>
      <w:r>
        <w:rPr>
          <w:rFonts w:hint="eastAsia"/>
          <w:color w:val="auto"/>
          <w:highlight w:val="none"/>
        </w:rPr>
        <w:t>中规定的资格条件要求。</w:t>
      </w:r>
    </w:p>
    <w:p w14:paraId="60E14E31">
      <w:pPr>
        <w:rPr>
          <w:color w:val="auto"/>
          <w:highlight w:val="none"/>
        </w:rPr>
      </w:pPr>
      <w:r>
        <w:rPr>
          <w:rFonts w:hint="eastAsia"/>
          <w:color w:val="auto"/>
          <w:highlight w:val="none"/>
        </w:rPr>
        <w:t>3.2供应商为联合体形式的，除应满足本章第3.1款资格条件要求及第3.3款规定外，还应遵守以下规定</w:t>
      </w:r>
      <w:r>
        <w:rPr>
          <w:rFonts w:ascii="Times New Roman" w:hAnsi="Times New Roman"/>
          <w:b/>
          <w:bCs/>
          <w:color w:val="auto"/>
          <w:highlight w:val="none"/>
        </w:rPr>
        <w:t>（</w:t>
      </w:r>
      <w:r>
        <w:rPr>
          <w:rFonts w:ascii="Times New Roman" w:hAnsi="Times New Roman"/>
          <w:b/>
          <w:color w:val="auto"/>
          <w:highlight w:val="none"/>
        </w:rPr>
        <w:t>注：</w:t>
      </w:r>
      <w:r>
        <w:rPr>
          <w:rFonts w:ascii="Times New Roman" w:hAnsi="Times New Roman"/>
          <w:b/>
          <w:bCs/>
          <w:color w:val="auto"/>
          <w:highlight w:val="none"/>
        </w:rPr>
        <w:t>本项目不接受联合体投标，以下规定不适用本项目）</w:t>
      </w:r>
      <w:r>
        <w:rPr>
          <w:rFonts w:hint="eastAsia"/>
          <w:color w:val="auto"/>
          <w:highlight w:val="none"/>
        </w:rPr>
        <w:t xml:space="preserve">： </w:t>
      </w:r>
    </w:p>
    <w:p w14:paraId="54D20CF5">
      <w:pPr>
        <w:rPr>
          <w:color w:val="auto"/>
          <w:kern w:val="0"/>
          <w:highlight w:val="none"/>
          <w:lang w:val="zh-CN"/>
        </w:rPr>
      </w:pPr>
      <w:r>
        <w:rPr>
          <w:rFonts w:hint="eastAsia"/>
          <w:color w:val="auto"/>
          <w:kern w:val="0"/>
          <w:highlight w:val="none"/>
          <w:lang w:val="zh-CN"/>
        </w:rPr>
        <w:t>（1）联合体各方应按磋商文件提供的格式签订联合体协议书，明确联合体牵头人和各方权利义务(含承担工作及工作量比例)；</w:t>
      </w:r>
    </w:p>
    <w:p w14:paraId="0868C1CD">
      <w:pPr>
        <w:rPr>
          <w:color w:val="auto"/>
          <w:kern w:val="0"/>
          <w:highlight w:val="none"/>
          <w:lang w:val="zh-CN"/>
        </w:rPr>
      </w:pPr>
      <w:r>
        <w:rPr>
          <w:rFonts w:hint="eastAsia"/>
          <w:color w:val="auto"/>
          <w:kern w:val="0"/>
          <w:highlight w:val="none"/>
          <w:lang w:val="zh-CN"/>
        </w:rPr>
        <w:t>（2）联合体中有同类资质的供应商按照联合体分工承担相同工作的，应当按照资质等级较低的供应商确定资质等级；</w:t>
      </w:r>
    </w:p>
    <w:p w14:paraId="4199A607">
      <w:pPr>
        <w:rPr>
          <w:color w:val="auto"/>
          <w:kern w:val="0"/>
          <w:highlight w:val="none"/>
          <w:lang w:val="zh-CN"/>
        </w:rPr>
      </w:pPr>
      <w:r>
        <w:rPr>
          <w:rFonts w:hint="eastAsia"/>
          <w:color w:val="auto"/>
          <w:kern w:val="0"/>
          <w:highlight w:val="none"/>
          <w:lang w:val="zh-CN"/>
        </w:rPr>
        <w:t>（3）以联合体形式参加采购活动的，联合体各方不得再单独参加或者与其它供应商另外组成联合体参加同一合同项下的采购活动。</w:t>
      </w:r>
    </w:p>
    <w:p w14:paraId="482A6D26">
      <w:pPr>
        <w:rPr>
          <w:color w:val="auto"/>
          <w:highlight w:val="none"/>
        </w:rPr>
      </w:pPr>
      <w:r>
        <w:rPr>
          <w:rFonts w:hint="eastAsia"/>
          <w:color w:val="auto"/>
          <w:highlight w:val="none"/>
        </w:rPr>
        <w:t>3.3 供应商不得存在下列情形之一：</w:t>
      </w:r>
    </w:p>
    <w:p w14:paraId="7AAD0880">
      <w:pPr>
        <w:rPr>
          <w:color w:val="auto"/>
          <w:highlight w:val="none"/>
        </w:rPr>
      </w:pPr>
      <w:r>
        <w:rPr>
          <w:rFonts w:hint="eastAsia"/>
          <w:color w:val="auto"/>
          <w:highlight w:val="none"/>
        </w:rPr>
        <w:t>（l）与采购人、采购代理机构存在</w:t>
      </w:r>
      <w:r>
        <w:rPr>
          <w:rFonts w:hint="eastAsia"/>
          <w:bCs/>
          <w:color w:val="auto"/>
          <w:highlight w:val="none"/>
        </w:rPr>
        <w:t>隶属关系或者其它利害关系</w:t>
      </w:r>
      <w:r>
        <w:rPr>
          <w:rFonts w:hint="eastAsia"/>
          <w:color w:val="auto"/>
          <w:highlight w:val="none"/>
        </w:rPr>
        <w:t>。</w:t>
      </w:r>
    </w:p>
    <w:p w14:paraId="3486B968">
      <w:pPr>
        <w:rPr>
          <w:color w:val="auto"/>
          <w:highlight w:val="none"/>
        </w:rPr>
      </w:pPr>
      <w:r>
        <w:rPr>
          <w:rFonts w:hint="eastAsia"/>
          <w:color w:val="auto"/>
          <w:highlight w:val="none"/>
        </w:rPr>
        <w:t>（2）与其它供应商的法定代表人（或者负责人）为同一人，或者与其它供应商存在直接控股、管理关系。</w:t>
      </w:r>
    </w:p>
    <w:p w14:paraId="26D3C101">
      <w:pPr>
        <w:rPr>
          <w:color w:val="auto"/>
          <w:highlight w:val="none"/>
        </w:rPr>
      </w:pPr>
      <w:r>
        <w:rPr>
          <w:rFonts w:hint="eastAsia"/>
          <w:color w:val="auto"/>
          <w:highlight w:val="none"/>
        </w:rPr>
        <w:t>（3）受到刑事处罚，或者受到2</w:t>
      </w:r>
      <w:r>
        <w:rPr>
          <w:color w:val="auto"/>
          <w:highlight w:val="none"/>
        </w:rPr>
        <w:t>00</w:t>
      </w:r>
      <w:r>
        <w:rPr>
          <w:rFonts w:hint="eastAsia"/>
          <w:color w:val="auto"/>
          <w:highlight w:val="none"/>
        </w:rPr>
        <w:t>万元以上的罚款、责令停产停业、在一至三年内禁止参加采购活动、暂扣或者吊销许可证、暂扣或者吊销执照等情形之一的行政处罚，或者存在财政部门认定的其它重大违法记录。</w:t>
      </w:r>
    </w:p>
    <w:p w14:paraId="5A199C5E">
      <w:pPr>
        <w:rPr>
          <w:color w:val="auto"/>
          <w:highlight w:val="none"/>
        </w:rPr>
      </w:pPr>
      <w:r>
        <w:rPr>
          <w:rFonts w:hint="eastAsia"/>
          <w:color w:val="auto"/>
          <w:highlight w:val="none"/>
        </w:rPr>
        <w:t xml:space="preserve">4.参与磋商的费用 </w:t>
      </w:r>
    </w:p>
    <w:p w14:paraId="3060D2FD">
      <w:pPr>
        <w:rPr>
          <w:color w:val="auto"/>
          <w:highlight w:val="none"/>
        </w:rPr>
      </w:pPr>
      <w:r>
        <w:rPr>
          <w:rFonts w:hint="eastAsia"/>
          <w:color w:val="auto"/>
          <w:highlight w:val="none"/>
        </w:rPr>
        <w:t>4.1 无论磋商的结果如何，供应商应自行承担所有与竞争性磋商采购活动有关的全部费用。</w:t>
      </w:r>
    </w:p>
    <w:p w14:paraId="0EDCB2E3">
      <w:pPr>
        <w:pStyle w:val="24"/>
        <w:rPr>
          <w:color w:val="auto"/>
          <w:highlight w:val="none"/>
        </w:rPr>
      </w:pPr>
      <w:r>
        <w:rPr>
          <w:rFonts w:hint="eastAsia"/>
          <w:color w:val="auto"/>
          <w:highlight w:val="none"/>
        </w:rPr>
        <w:t>5．授权委托</w:t>
      </w:r>
    </w:p>
    <w:p w14:paraId="36912964">
      <w:pPr>
        <w:pStyle w:val="24"/>
        <w:rPr>
          <w:color w:val="auto"/>
          <w:highlight w:val="none"/>
        </w:rPr>
      </w:pPr>
      <w:r>
        <w:rPr>
          <w:rFonts w:hint="eastAsia"/>
          <w:color w:val="auto"/>
          <w:highlight w:val="none"/>
        </w:rPr>
        <w:t>5.1供应商代表为供应商法定代表人的，应具备法定代表人身份证明。供应商代表不是供应商法定代表人的，应具备法定代表人授权书，并附法定代表人身份证明。</w:t>
      </w:r>
    </w:p>
    <w:p w14:paraId="4659C4FF">
      <w:pPr>
        <w:pStyle w:val="24"/>
        <w:rPr>
          <w:color w:val="auto"/>
          <w:highlight w:val="none"/>
        </w:rPr>
      </w:pPr>
      <w:r>
        <w:rPr>
          <w:rFonts w:hint="eastAsia"/>
          <w:color w:val="auto"/>
          <w:highlight w:val="none"/>
        </w:rPr>
        <w:t>6．联合体形式</w:t>
      </w:r>
    </w:p>
    <w:p w14:paraId="0EE3D613">
      <w:pPr>
        <w:pStyle w:val="24"/>
        <w:rPr>
          <w:color w:val="auto"/>
          <w:highlight w:val="none"/>
        </w:rPr>
      </w:pPr>
      <w:r>
        <w:rPr>
          <w:rFonts w:hint="eastAsia"/>
          <w:color w:val="auto"/>
          <w:highlight w:val="none"/>
        </w:rPr>
        <w:t>6.1除</w:t>
      </w:r>
      <w:r>
        <w:rPr>
          <w:rFonts w:hint="eastAsia"/>
          <w:b/>
          <w:color w:val="auto"/>
          <w:highlight w:val="none"/>
        </w:rPr>
        <w:t>磋商须知前附表</w:t>
      </w:r>
      <w:r>
        <w:rPr>
          <w:rFonts w:hint="eastAsia"/>
          <w:color w:val="auto"/>
          <w:highlight w:val="none"/>
        </w:rPr>
        <w:t>中另有规定，本次谈判采购不接受为联合体形式的供应商。</w:t>
      </w:r>
    </w:p>
    <w:p w14:paraId="49B7612A">
      <w:pPr>
        <w:rPr>
          <w:color w:val="auto"/>
          <w:highlight w:val="none"/>
        </w:rPr>
      </w:pPr>
      <w:r>
        <w:rPr>
          <w:rFonts w:hint="eastAsia"/>
          <w:color w:val="auto"/>
          <w:highlight w:val="none"/>
        </w:rPr>
        <w:t>6.2供应商为联合体形式的，除应符合本章第3条规定外，还应遵守以下规定：</w:t>
      </w:r>
    </w:p>
    <w:p w14:paraId="0D1878B2">
      <w:pPr>
        <w:rPr>
          <w:color w:val="auto"/>
          <w:highlight w:val="none"/>
        </w:rPr>
      </w:pPr>
      <w:r>
        <w:rPr>
          <w:rFonts w:hint="eastAsia"/>
          <w:color w:val="auto"/>
          <w:highlight w:val="none"/>
        </w:rPr>
        <w:t>（l）联合体各方必须签订联合体协议书，明确联合体牵头人和各方的义务、工作、合同工作量比例；</w:t>
      </w:r>
    </w:p>
    <w:p w14:paraId="247D8776">
      <w:pPr>
        <w:rPr>
          <w:color w:val="auto"/>
          <w:highlight w:val="none"/>
        </w:rPr>
      </w:pPr>
      <w:r>
        <w:rPr>
          <w:rFonts w:hint="eastAsia"/>
          <w:color w:val="auto"/>
          <w:highlight w:val="none"/>
        </w:rPr>
        <w:t>（2）联合体各方均应当符合本章第3.1</w:t>
      </w:r>
      <w:r>
        <w:rPr>
          <w:rFonts w:hint="eastAsia"/>
          <w:color w:val="auto"/>
          <w:kern w:val="0"/>
          <w:highlight w:val="none"/>
          <w:lang w:val="zh-CN"/>
        </w:rPr>
        <w:t>款</w:t>
      </w:r>
      <w:r>
        <w:rPr>
          <w:rFonts w:hint="eastAsia"/>
          <w:color w:val="auto"/>
          <w:highlight w:val="none"/>
        </w:rPr>
        <w:t>规定的供应商基本资格条件；</w:t>
      </w:r>
    </w:p>
    <w:p w14:paraId="70A7B815">
      <w:pPr>
        <w:rPr>
          <w:color w:val="auto"/>
          <w:highlight w:val="none"/>
        </w:rPr>
      </w:pPr>
      <w:r>
        <w:rPr>
          <w:rFonts w:hint="eastAsia"/>
          <w:color w:val="auto"/>
          <w:highlight w:val="none"/>
        </w:rPr>
        <w:t>（3）除</w:t>
      </w:r>
      <w:r>
        <w:rPr>
          <w:rFonts w:hint="eastAsia"/>
          <w:b/>
          <w:color w:val="auto"/>
          <w:highlight w:val="none"/>
        </w:rPr>
        <w:t>磋商须知前附表</w:t>
      </w:r>
      <w:r>
        <w:rPr>
          <w:rFonts w:hint="eastAsia"/>
          <w:color w:val="auto"/>
          <w:highlight w:val="none"/>
        </w:rPr>
        <w:t>中另有规定，联合体双方应当符合本章第3.1</w:t>
      </w:r>
      <w:r>
        <w:rPr>
          <w:rFonts w:hint="eastAsia"/>
          <w:color w:val="auto"/>
          <w:kern w:val="0"/>
          <w:highlight w:val="none"/>
          <w:lang w:val="zh-CN"/>
        </w:rPr>
        <w:t>款</w:t>
      </w:r>
      <w:r>
        <w:rPr>
          <w:rFonts w:hint="eastAsia"/>
          <w:color w:val="auto"/>
          <w:highlight w:val="none"/>
        </w:rPr>
        <w:t>规定的供应商特定资格条件；</w:t>
      </w:r>
    </w:p>
    <w:p w14:paraId="20052A5A">
      <w:pPr>
        <w:rPr>
          <w:color w:val="auto"/>
          <w:kern w:val="0"/>
          <w:highlight w:val="none"/>
          <w:lang w:val="zh-CN"/>
        </w:rPr>
      </w:pPr>
      <w:r>
        <w:rPr>
          <w:rFonts w:hint="eastAsia"/>
          <w:color w:val="auto"/>
          <w:highlight w:val="none"/>
        </w:rPr>
        <w:t>（4）</w:t>
      </w:r>
      <w:r>
        <w:rPr>
          <w:rFonts w:hint="eastAsia"/>
          <w:color w:val="auto"/>
          <w:kern w:val="0"/>
          <w:highlight w:val="none"/>
          <w:lang w:val="zh-CN"/>
        </w:rPr>
        <w:t>联合体各方不得再单独或与其它供应商组成新的联合体参加同一项目的采购活动。</w:t>
      </w:r>
    </w:p>
    <w:p w14:paraId="6105F875">
      <w:pPr>
        <w:rPr>
          <w:color w:val="auto"/>
          <w:highlight w:val="none"/>
        </w:rPr>
      </w:pPr>
      <w:r>
        <w:rPr>
          <w:rFonts w:hint="eastAsia"/>
          <w:color w:val="auto"/>
          <w:highlight w:val="none"/>
        </w:rPr>
        <w:t>7.现场勘察</w:t>
      </w:r>
    </w:p>
    <w:p w14:paraId="5A0B55EE">
      <w:pPr>
        <w:rPr>
          <w:color w:val="auto"/>
          <w:highlight w:val="none"/>
        </w:rPr>
      </w:pPr>
      <w:r>
        <w:rPr>
          <w:rFonts w:hint="eastAsia"/>
          <w:color w:val="auto"/>
          <w:highlight w:val="none"/>
        </w:rPr>
        <w:t>7.1供应商应按</w:t>
      </w:r>
      <w:r>
        <w:rPr>
          <w:rFonts w:hint="eastAsia"/>
          <w:b/>
          <w:color w:val="auto"/>
          <w:highlight w:val="none"/>
        </w:rPr>
        <w:t>磋商须知前附表</w:t>
      </w:r>
      <w:r>
        <w:rPr>
          <w:rFonts w:hint="eastAsia"/>
          <w:color w:val="auto"/>
          <w:highlight w:val="none"/>
        </w:rPr>
        <w:t>中规定对采购项目现场和周围环境的现场考察。</w:t>
      </w:r>
    </w:p>
    <w:p w14:paraId="126001D3">
      <w:pPr>
        <w:rPr>
          <w:color w:val="auto"/>
          <w:highlight w:val="none"/>
        </w:rPr>
      </w:pPr>
      <w:r>
        <w:rPr>
          <w:rFonts w:hint="eastAsia"/>
          <w:color w:val="auto"/>
          <w:highlight w:val="none"/>
        </w:rPr>
        <w:t>7.2勘察现场的费用由供应商自己承担，勘察期间所发生的人身伤害及财产损失由供应商自己负责。</w:t>
      </w:r>
    </w:p>
    <w:p w14:paraId="7181A02B">
      <w:pPr>
        <w:rPr>
          <w:b/>
          <w:color w:val="auto"/>
          <w:highlight w:val="none"/>
        </w:rPr>
      </w:pPr>
      <w:r>
        <w:rPr>
          <w:rFonts w:hint="eastAsia"/>
          <w:color w:val="auto"/>
          <w:highlight w:val="none"/>
        </w:rPr>
        <w:t>7.3采购人不对供应商据此而做出的推论、理解和结论负责。一旦成交，供应商不得以任何借口，提出额外补偿，或延长合同期限的要求。</w:t>
      </w:r>
    </w:p>
    <w:p w14:paraId="028C2835">
      <w:pPr>
        <w:rPr>
          <w:color w:val="auto"/>
          <w:highlight w:val="none"/>
        </w:rPr>
      </w:pPr>
      <w:r>
        <w:rPr>
          <w:rFonts w:hint="eastAsia"/>
          <w:color w:val="auto"/>
          <w:highlight w:val="none"/>
        </w:rPr>
        <w:t>8.采购进口产品</w:t>
      </w:r>
    </w:p>
    <w:p w14:paraId="62A82960">
      <w:pPr>
        <w:rPr>
          <w:color w:val="auto"/>
          <w:kern w:val="0"/>
          <w:highlight w:val="none"/>
        </w:rPr>
      </w:pPr>
      <w:r>
        <w:rPr>
          <w:rFonts w:hint="eastAsia"/>
          <w:color w:val="auto"/>
          <w:highlight w:val="none"/>
        </w:rPr>
        <w:t>8.1本项目拒绝进口产品</w:t>
      </w:r>
      <w:r>
        <w:rPr>
          <w:color w:val="auto"/>
          <w:kern w:val="0"/>
          <w:highlight w:val="none"/>
        </w:rPr>
        <w:t>参加</w:t>
      </w:r>
      <w:r>
        <w:rPr>
          <w:color w:val="auto"/>
          <w:highlight w:val="none"/>
        </w:rPr>
        <w:t>竞争性磋商采购活动</w:t>
      </w:r>
      <w:r>
        <w:rPr>
          <w:color w:val="auto"/>
          <w:kern w:val="0"/>
          <w:highlight w:val="none"/>
        </w:rPr>
        <w:t>。</w:t>
      </w:r>
    </w:p>
    <w:p w14:paraId="26F02B17">
      <w:pPr>
        <w:rPr>
          <w:color w:val="auto"/>
          <w:highlight w:val="none"/>
        </w:rPr>
      </w:pPr>
      <w:r>
        <w:rPr>
          <w:rFonts w:hint="eastAsia"/>
          <w:bCs/>
          <w:color w:val="auto"/>
          <w:highlight w:val="none"/>
        </w:rPr>
        <w:t>9.</w:t>
      </w:r>
      <w:r>
        <w:rPr>
          <w:rFonts w:hint="eastAsia"/>
          <w:color w:val="auto"/>
          <w:highlight w:val="none"/>
        </w:rPr>
        <w:t xml:space="preserve"> 政府采购政策支持</w:t>
      </w:r>
    </w:p>
    <w:p w14:paraId="06161733">
      <w:pPr>
        <w:rPr>
          <w:color w:val="auto"/>
          <w:kern w:val="0"/>
          <w:highlight w:val="none"/>
        </w:rPr>
      </w:pPr>
      <w:r>
        <w:rPr>
          <w:rFonts w:hint="eastAsia"/>
          <w:color w:val="auto"/>
          <w:kern w:val="0"/>
          <w:highlight w:val="none"/>
        </w:rPr>
        <w:t>9.1对列入财政部、国家发展改革委发布的《节能产品政府采购品目清单》且属于应当“强制采购的节能产品”，按照规定实行强制采购。实行政府采购强制采购的节能产品见</w:t>
      </w:r>
      <w:r>
        <w:rPr>
          <w:rFonts w:hint="eastAsia"/>
          <w:b/>
          <w:color w:val="auto"/>
          <w:kern w:val="0"/>
          <w:highlight w:val="none"/>
        </w:rPr>
        <w:t>磋商文件前附表。</w:t>
      </w:r>
    </w:p>
    <w:p w14:paraId="25DE9CC9">
      <w:pPr>
        <w:pStyle w:val="24"/>
        <w:rPr>
          <w:color w:val="auto"/>
          <w:highlight w:val="none"/>
        </w:rPr>
      </w:pPr>
      <w:r>
        <w:rPr>
          <w:rFonts w:hint="eastAsia"/>
          <w:color w:val="auto"/>
          <w:kern w:val="0"/>
          <w:highlight w:val="none"/>
        </w:rPr>
        <w:t>9.2对列入财政部、国家发展改革委发布的《节能产品政府采购品目清单》的“非强制采购节能产品”，财政部、环境保护部发布的《环境标志产品政府采购品目清单》的“环境标志产品”，湖南省财政厅、湖南省科学技术厅、湖南省长株潭“两型社会”试验区建设管理委员会发布的《湖南省两型产品政府采购目录》</w:t>
      </w:r>
      <w:r>
        <w:rPr>
          <w:rFonts w:hint="eastAsia"/>
          <w:color w:val="auto"/>
          <w:highlight w:val="none"/>
        </w:rPr>
        <w:t>或《长沙市两型产品目录》</w:t>
      </w:r>
      <w:r>
        <w:rPr>
          <w:rFonts w:hint="eastAsia"/>
          <w:color w:val="auto"/>
          <w:kern w:val="0"/>
          <w:highlight w:val="none"/>
        </w:rPr>
        <w:t>的“两型产品”以及中小企业，实行优先采购，按照省级以上财政部门有关政策规定，评审时进行价格扣除或加分。实行政府采购优先采购的优惠率见</w:t>
      </w:r>
      <w:r>
        <w:rPr>
          <w:rFonts w:hint="eastAsia"/>
          <w:b/>
          <w:color w:val="auto"/>
          <w:kern w:val="0"/>
          <w:highlight w:val="none"/>
        </w:rPr>
        <w:t>磋商文件前附表。</w:t>
      </w:r>
    </w:p>
    <w:p w14:paraId="124B7254">
      <w:pPr>
        <w:rPr>
          <w:color w:val="auto"/>
          <w:kern w:val="0"/>
          <w:highlight w:val="none"/>
        </w:rPr>
      </w:pPr>
      <w:r>
        <w:rPr>
          <w:rFonts w:hint="eastAsia"/>
          <w:color w:val="auto"/>
          <w:kern w:val="0"/>
          <w:highlight w:val="none"/>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14:paraId="02A15F80">
      <w:pPr>
        <w:rPr>
          <w:color w:val="auto"/>
          <w:highlight w:val="none"/>
        </w:rPr>
      </w:pPr>
      <w:r>
        <w:rPr>
          <w:rFonts w:hint="eastAsia"/>
          <w:color w:val="auto"/>
          <w:highlight w:val="none"/>
        </w:rPr>
        <w:t>9.4同一项目中部分产品属于优先采购政策的，评审时只对该部分产品的报价实行价格扣除及加分。</w:t>
      </w:r>
    </w:p>
    <w:p w14:paraId="1C2E3595">
      <w:pPr>
        <w:rPr>
          <w:color w:val="auto"/>
          <w:highlight w:val="none"/>
        </w:rPr>
      </w:pPr>
      <w:r>
        <w:rPr>
          <w:rFonts w:hint="eastAsia"/>
          <w:color w:val="auto"/>
          <w:highlight w:val="none"/>
        </w:rPr>
        <w:t>9.5符合本章第9.1</w:t>
      </w:r>
      <w:r>
        <w:rPr>
          <w:rFonts w:hint="eastAsia"/>
          <w:color w:val="auto"/>
          <w:kern w:val="0"/>
          <w:highlight w:val="none"/>
          <w:lang w:val="zh-CN"/>
        </w:rPr>
        <w:t>款、</w:t>
      </w:r>
      <w:r>
        <w:rPr>
          <w:rFonts w:hint="eastAsia"/>
          <w:color w:val="auto"/>
          <w:highlight w:val="none"/>
        </w:rPr>
        <w:t>第9.2</w:t>
      </w:r>
      <w:r>
        <w:rPr>
          <w:rFonts w:hint="eastAsia"/>
          <w:color w:val="auto"/>
          <w:kern w:val="0"/>
          <w:highlight w:val="none"/>
          <w:lang w:val="zh-CN"/>
        </w:rPr>
        <w:t>款</w:t>
      </w:r>
      <w:r>
        <w:rPr>
          <w:rFonts w:hint="eastAsia"/>
          <w:color w:val="auto"/>
          <w:highlight w:val="none"/>
        </w:rPr>
        <w:t>规定的，应提供相关证明资料。</w:t>
      </w:r>
    </w:p>
    <w:p w14:paraId="5957A088">
      <w:pPr>
        <w:rPr>
          <w:color w:val="auto"/>
          <w:highlight w:val="none"/>
        </w:rPr>
      </w:pPr>
      <w:r>
        <w:rPr>
          <w:rFonts w:hint="eastAsia"/>
          <w:color w:val="auto"/>
          <w:highlight w:val="none"/>
        </w:rPr>
        <w:t>（1）非强制采购节能产品：提供《节能产品政府采购品目清单》证书（复印件）。</w:t>
      </w:r>
    </w:p>
    <w:p w14:paraId="40B993A3">
      <w:pPr>
        <w:rPr>
          <w:color w:val="auto"/>
          <w:highlight w:val="none"/>
        </w:rPr>
      </w:pPr>
      <w:r>
        <w:rPr>
          <w:rFonts w:hint="eastAsia"/>
          <w:color w:val="auto"/>
          <w:highlight w:val="none"/>
        </w:rPr>
        <w:t>（2）环境标志产品：提供《环境标志产品政府采购品目清单》证书（复印件）。</w:t>
      </w:r>
    </w:p>
    <w:p w14:paraId="646EFB8B">
      <w:pPr>
        <w:rPr>
          <w:color w:val="auto"/>
          <w:highlight w:val="none"/>
        </w:rPr>
      </w:pPr>
      <w:r>
        <w:rPr>
          <w:rFonts w:hint="eastAsia"/>
          <w:color w:val="auto"/>
          <w:highlight w:val="none"/>
        </w:rPr>
        <w:t>（3）两型产品：提供《湖南省两型产品政府采购目录》、《长沙市两型产品政府采购目录》所在页（截图）。</w:t>
      </w:r>
    </w:p>
    <w:p w14:paraId="187AA7C0">
      <w:pPr>
        <w:rPr>
          <w:color w:val="auto"/>
          <w:highlight w:val="none"/>
        </w:rPr>
      </w:pPr>
      <w:r>
        <w:rPr>
          <w:rFonts w:hint="eastAsia"/>
          <w:color w:val="auto"/>
          <w:highlight w:val="none"/>
        </w:rPr>
        <w:t>（4）中小企业：按《关于印发＜政府采购促进中小企业发展暂行办法＞的通知》(财库[2011]181号)规定提供《中小企业声明》（格式）。制造商符合小型、微型企业规定的，须与投标人同时出具《中小企业声明》。</w:t>
      </w:r>
    </w:p>
    <w:p w14:paraId="0E96A3D3">
      <w:pPr>
        <w:rPr>
          <w:color w:val="auto"/>
          <w:highlight w:val="none"/>
        </w:rPr>
      </w:pPr>
      <w:r>
        <w:rPr>
          <w:rFonts w:hint="eastAsia"/>
          <w:color w:val="auto"/>
          <w:highlight w:val="none"/>
        </w:rPr>
        <w:t>（5）监狱企业：按《财政部 司法部关于政府采购支持监狱企业发展有关问题的通知》(财库〔2014〕68号)文件规定提供证明文件（复印件）。</w:t>
      </w:r>
    </w:p>
    <w:p w14:paraId="56741F62">
      <w:pPr>
        <w:rPr>
          <w:color w:val="auto"/>
          <w:highlight w:val="none"/>
        </w:rPr>
      </w:pPr>
      <w:r>
        <w:rPr>
          <w:rFonts w:hint="eastAsia"/>
          <w:color w:val="auto"/>
          <w:highlight w:val="none"/>
        </w:rPr>
        <w:t>（6）残疾人福利性单位：按《三部门联合发布关于促进残疾人就业政府采购政策的通知》(财库〔2017〕141号)文件规定提供《残疾人福利性单位声明函》（格式）。</w:t>
      </w:r>
    </w:p>
    <w:p w14:paraId="0D96881B">
      <w:pPr>
        <w:rPr>
          <w:color w:val="auto"/>
          <w:highlight w:val="none"/>
        </w:rPr>
      </w:pPr>
      <w:r>
        <w:rPr>
          <w:rFonts w:hint="eastAsia"/>
          <w:color w:val="auto"/>
          <w:highlight w:val="none"/>
        </w:rPr>
        <w:t>9.6供应商有融资、担保需求的，具体办理流程可向</w:t>
      </w:r>
      <w:r>
        <w:rPr>
          <w:rFonts w:hint="eastAsia"/>
          <w:b/>
          <w:color w:val="auto"/>
          <w:highlight w:val="none"/>
        </w:rPr>
        <w:t>磋商须知前附表</w:t>
      </w:r>
      <w:r>
        <w:rPr>
          <w:rFonts w:hint="eastAsia"/>
          <w:color w:val="auto"/>
          <w:highlight w:val="none"/>
        </w:rPr>
        <w:t>所列金融机构和担保机构询问。</w:t>
      </w:r>
    </w:p>
    <w:p w14:paraId="34475050">
      <w:pPr>
        <w:rPr>
          <w:color w:val="auto"/>
          <w:highlight w:val="none"/>
        </w:rPr>
      </w:pPr>
      <w:r>
        <w:rPr>
          <w:rFonts w:hint="eastAsia"/>
          <w:color w:val="auto"/>
          <w:highlight w:val="none"/>
        </w:rPr>
        <w:t>二、磋商文件</w:t>
      </w:r>
    </w:p>
    <w:p w14:paraId="6542A746">
      <w:pPr>
        <w:rPr>
          <w:color w:val="auto"/>
          <w:highlight w:val="none"/>
        </w:rPr>
      </w:pPr>
      <w:r>
        <w:rPr>
          <w:rFonts w:hint="eastAsia"/>
          <w:color w:val="auto"/>
          <w:highlight w:val="none"/>
        </w:rPr>
        <w:t>10．磋商文件的组成</w:t>
      </w:r>
    </w:p>
    <w:p w14:paraId="7B6C45FE">
      <w:pPr>
        <w:pStyle w:val="24"/>
        <w:rPr>
          <w:color w:val="auto"/>
          <w:highlight w:val="none"/>
        </w:rPr>
      </w:pPr>
      <w:r>
        <w:rPr>
          <w:rFonts w:hint="eastAsia"/>
          <w:color w:val="auto"/>
          <w:highlight w:val="none"/>
        </w:rPr>
        <w:t>10.1 磋商文件由下列文件组成：</w:t>
      </w:r>
    </w:p>
    <w:p w14:paraId="0F1521BC">
      <w:pPr>
        <w:pStyle w:val="24"/>
        <w:rPr>
          <w:color w:val="auto"/>
          <w:highlight w:val="none"/>
        </w:rPr>
      </w:pPr>
      <w:r>
        <w:rPr>
          <w:rFonts w:hint="eastAsia"/>
          <w:color w:val="auto"/>
          <w:highlight w:val="none"/>
        </w:rPr>
        <w:t>第一章 磋商邀请</w:t>
      </w:r>
    </w:p>
    <w:p w14:paraId="79CEA833">
      <w:pPr>
        <w:pStyle w:val="24"/>
        <w:rPr>
          <w:color w:val="auto"/>
          <w:highlight w:val="none"/>
        </w:rPr>
      </w:pPr>
      <w:r>
        <w:rPr>
          <w:rFonts w:hint="eastAsia"/>
          <w:color w:val="auto"/>
          <w:highlight w:val="none"/>
        </w:rPr>
        <w:t>第二章 磋商须知</w:t>
      </w:r>
    </w:p>
    <w:p w14:paraId="6D2B995E">
      <w:pPr>
        <w:pStyle w:val="24"/>
        <w:rPr>
          <w:color w:val="auto"/>
          <w:highlight w:val="none"/>
        </w:rPr>
      </w:pPr>
      <w:r>
        <w:rPr>
          <w:rFonts w:hint="eastAsia"/>
          <w:color w:val="auto"/>
          <w:highlight w:val="none"/>
        </w:rPr>
        <w:t>第三章 采购合同格式条款</w:t>
      </w:r>
    </w:p>
    <w:p w14:paraId="17B68BA9">
      <w:pPr>
        <w:pStyle w:val="24"/>
        <w:rPr>
          <w:color w:val="auto"/>
          <w:highlight w:val="none"/>
        </w:rPr>
      </w:pPr>
      <w:r>
        <w:rPr>
          <w:rFonts w:hint="eastAsia"/>
          <w:color w:val="auto"/>
          <w:highlight w:val="none"/>
        </w:rPr>
        <w:t>第四章 采购需求</w:t>
      </w:r>
    </w:p>
    <w:p w14:paraId="383C5F0C">
      <w:pPr>
        <w:pStyle w:val="24"/>
        <w:rPr>
          <w:color w:val="auto"/>
          <w:highlight w:val="none"/>
        </w:rPr>
      </w:pPr>
      <w:r>
        <w:rPr>
          <w:rFonts w:hint="eastAsia"/>
          <w:color w:val="auto"/>
          <w:highlight w:val="none"/>
        </w:rPr>
        <w:t>第五章 响应文件组成</w:t>
      </w:r>
    </w:p>
    <w:p w14:paraId="32169349">
      <w:pPr>
        <w:pStyle w:val="24"/>
        <w:rPr>
          <w:color w:val="auto"/>
          <w:kern w:val="0"/>
          <w:highlight w:val="none"/>
        </w:rPr>
      </w:pPr>
      <w:r>
        <w:rPr>
          <w:rFonts w:hint="eastAsia"/>
          <w:color w:val="auto"/>
          <w:highlight w:val="none"/>
        </w:rPr>
        <w:t>10.2</w:t>
      </w:r>
      <w:r>
        <w:rPr>
          <w:rFonts w:hint="eastAsia"/>
          <w:color w:val="auto"/>
          <w:kern w:val="0"/>
          <w:highlight w:val="none"/>
        </w:rPr>
        <w:t>磋商小组根据与供应商磋商情况可能实质性变动的内容，包括采购需求中的技术、服务要求以及合同条款，</w:t>
      </w:r>
      <w:r>
        <w:rPr>
          <w:rFonts w:hint="eastAsia"/>
          <w:color w:val="auto"/>
          <w:highlight w:val="none"/>
        </w:rPr>
        <w:t>在</w:t>
      </w:r>
      <w:r>
        <w:rPr>
          <w:rFonts w:hint="eastAsia"/>
          <w:b/>
          <w:color w:val="auto"/>
          <w:highlight w:val="none"/>
        </w:rPr>
        <w:t>磋商须知前附表</w:t>
      </w:r>
      <w:r>
        <w:rPr>
          <w:rFonts w:hint="eastAsia"/>
          <w:color w:val="auto"/>
          <w:highlight w:val="none"/>
        </w:rPr>
        <w:t>中明确。</w:t>
      </w:r>
    </w:p>
    <w:p w14:paraId="18DF7BB3">
      <w:pPr>
        <w:rPr>
          <w:color w:val="auto"/>
          <w:highlight w:val="none"/>
        </w:rPr>
      </w:pPr>
      <w:r>
        <w:rPr>
          <w:rFonts w:hint="eastAsia"/>
          <w:color w:val="auto"/>
          <w:highlight w:val="none"/>
        </w:rPr>
        <w:t>10.3供应商应仔细阅读</w:t>
      </w:r>
      <w:r>
        <w:rPr>
          <w:rFonts w:hint="eastAsia"/>
          <w:bCs/>
          <w:color w:val="auto"/>
          <w:highlight w:val="none"/>
        </w:rPr>
        <w:t>磋商</w:t>
      </w:r>
      <w:r>
        <w:rPr>
          <w:rFonts w:hint="eastAsia"/>
          <w:color w:val="auto"/>
          <w:highlight w:val="none"/>
        </w:rPr>
        <w:t>文件的全部内容，按照</w:t>
      </w:r>
      <w:r>
        <w:rPr>
          <w:rFonts w:hint="eastAsia"/>
          <w:bCs/>
          <w:color w:val="auto"/>
          <w:highlight w:val="none"/>
        </w:rPr>
        <w:t>磋商</w:t>
      </w:r>
      <w:r>
        <w:rPr>
          <w:rFonts w:hint="eastAsia"/>
          <w:color w:val="auto"/>
          <w:highlight w:val="none"/>
        </w:rPr>
        <w:t>文件要求编制响应文件。任何对</w:t>
      </w:r>
      <w:r>
        <w:rPr>
          <w:rFonts w:hint="eastAsia"/>
          <w:bCs/>
          <w:color w:val="auto"/>
          <w:highlight w:val="none"/>
        </w:rPr>
        <w:t>磋商</w:t>
      </w:r>
      <w:r>
        <w:rPr>
          <w:rFonts w:hint="eastAsia"/>
          <w:color w:val="auto"/>
          <w:highlight w:val="none"/>
        </w:rPr>
        <w:t>文件的忽略或误解不能作为响应文件存在缺陷或瑕疵的理由，其风险由供应商承担。</w:t>
      </w:r>
    </w:p>
    <w:p w14:paraId="6BB009CA">
      <w:pPr>
        <w:rPr>
          <w:color w:val="auto"/>
          <w:highlight w:val="none"/>
        </w:rPr>
      </w:pPr>
      <w:r>
        <w:rPr>
          <w:rFonts w:hint="eastAsia"/>
          <w:color w:val="auto"/>
          <w:highlight w:val="none"/>
        </w:rPr>
        <w:t>11.磋商文件的提供期限</w:t>
      </w:r>
    </w:p>
    <w:p w14:paraId="1CC7F65F">
      <w:pPr>
        <w:rPr>
          <w:color w:val="auto"/>
          <w:highlight w:val="none"/>
        </w:rPr>
      </w:pPr>
      <w:r>
        <w:rPr>
          <w:rFonts w:hint="eastAsia"/>
          <w:color w:val="auto"/>
          <w:highlight w:val="none"/>
        </w:rPr>
        <w:t>11.1磋商文件的提供期限自开始发出之日起不得少于五个工作日。具体提供期限见</w:t>
      </w:r>
      <w:r>
        <w:rPr>
          <w:rFonts w:hint="eastAsia"/>
          <w:b/>
          <w:color w:val="auto"/>
          <w:highlight w:val="none"/>
        </w:rPr>
        <w:t>磋商文件前附表</w:t>
      </w:r>
      <w:r>
        <w:rPr>
          <w:rFonts w:hint="eastAsia"/>
          <w:color w:val="auto"/>
          <w:highlight w:val="none"/>
        </w:rPr>
        <w:t>。</w:t>
      </w:r>
    </w:p>
    <w:p w14:paraId="2BC1D78B">
      <w:pPr>
        <w:rPr>
          <w:color w:val="auto"/>
          <w:highlight w:val="none"/>
        </w:rPr>
      </w:pPr>
      <w:r>
        <w:rPr>
          <w:rFonts w:hint="eastAsia"/>
          <w:color w:val="auto"/>
          <w:highlight w:val="none"/>
        </w:rPr>
        <w:t>11.2供应商应持</w:t>
      </w:r>
      <w:r>
        <w:rPr>
          <w:rFonts w:hint="eastAsia"/>
          <w:b/>
          <w:color w:val="auto"/>
          <w:highlight w:val="none"/>
        </w:rPr>
        <w:t>磋商文件前附表</w:t>
      </w:r>
      <w:r>
        <w:rPr>
          <w:rFonts w:hint="eastAsia"/>
          <w:color w:val="auto"/>
          <w:highlight w:val="none"/>
        </w:rPr>
        <w:t>规定的资料领取或购买磋商文件。</w:t>
      </w:r>
    </w:p>
    <w:p w14:paraId="5586DE80">
      <w:pPr>
        <w:pStyle w:val="24"/>
        <w:rPr>
          <w:color w:val="auto"/>
          <w:highlight w:val="none"/>
        </w:rPr>
      </w:pPr>
      <w:r>
        <w:rPr>
          <w:rFonts w:hint="eastAsia"/>
          <w:color w:val="auto"/>
          <w:highlight w:val="none"/>
        </w:rPr>
        <w:t>12.</w:t>
      </w:r>
      <w:r>
        <w:rPr>
          <w:rFonts w:hint="eastAsia"/>
          <w:color w:val="auto"/>
          <w:kern w:val="0"/>
          <w:highlight w:val="none"/>
        </w:rPr>
        <w:t>提交首次响应文件</w:t>
      </w:r>
      <w:r>
        <w:rPr>
          <w:rFonts w:hint="eastAsia"/>
          <w:color w:val="auto"/>
          <w:highlight w:val="none"/>
        </w:rPr>
        <w:t>的</w:t>
      </w:r>
      <w:r>
        <w:rPr>
          <w:rFonts w:hint="eastAsia"/>
          <w:color w:val="auto"/>
          <w:kern w:val="0"/>
          <w:highlight w:val="none"/>
        </w:rPr>
        <w:t>截止</w:t>
      </w:r>
      <w:r>
        <w:rPr>
          <w:rFonts w:hint="eastAsia"/>
          <w:color w:val="auto"/>
          <w:highlight w:val="none"/>
        </w:rPr>
        <w:t>时间</w:t>
      </w:r>
    </w:p>
    <w:p w14:paraId="4CF3C486">
      <w:pPr>
        <w:pStyle w:val="24"/>
        <w:rPr>
          <w:color w:val="auto"/>
          <w:highlight w:val="none"/>
        </w:rPr>
      </w:pPr>
      <w:r>
        <w:rPr>
          <w:rFonts w:hint="eastAsia"/>
          <w:color w:val="auto"/>
          <w:highlight w:val="none"/>
        </w:rPr>
        <w:t>12.1</w:t>
      </w:r>
      <w:r>
        <w:rPr>
          <w:rFonts w:hint="eastAsia"/>
          <w:color w:val="auto"/>
          <w:kern w:val="0"/>
          <w:highlight w:val="none"/>
        </w:rPr>
        <w:t>供应商提交首次响应文件截止</w:t>
      </w:r>
      <w:r>
        <w:rPr>
          <w:rFonts w:hint="eastAsia"/>
          <w:color w:val="auto"/>
          <w:highlight w:val="none"/>
        </w:rPr>
        <w:t>时间见</w:t>
      </w:r>
      <w:r>
        <w:rPr>
          <w:rFonts w:hint="eastAsia"/>
          <w:b/>
          <w:color w:val="auto"/>
          <w:highlight w:val="none"/>
        </w:rPr>
        <w:t>磋商须知前附表</w:t>
      </w:r>
      <w:r>
        <w:rPr>
          <w:rFonts w:hint="eastAsia"/>
          <w:color w:val="auto"/>
          <w:highlight w:val="none"/>
        </w:rPr>
        <w:t>。</w:t>
      </w:r>
    </w:p>
    <w:p w14:paraId="63275A5E">
      <w:pPr>
        <w:rPr>
          <w:color w:val="auto"/>
          <w:highlight w:val="none"/>
        </w:rPr>
      </w:pPr>
      <w:r>
        <w:rPr>
          <w:rFonts w:hint="eastAsia"/>
          <w:color w:val="auto"/>
          <w:highlight w:val="none"/>
        </w:rPr>
        <w:t>13.磋商文件的澄清</w:t>
      </w:r>
      <w:r>
        <w:rPr>
          <w:rFonts w:hint="eastAsia"/>
          <w:color w:val="auto"/>
          <w:kern w:val="0"/>
          <w:highlight w:val="none"/>
          <w:lang w:val="zh-CN"/>
        </w:rPr>
        <w:t>或者</w:t>
      </w:r>
      <w:r>
        <w:rPr>
          <w:rFonts w:hint="eastAsia"/>
          <w:color w:val="auto"/>
          <w:highlight w:val="none"/>
        </w:rPr>
        <w:t>修改</w:t>
      </w:r>
    </w:p>
    <w:p w14:paraId="765DBE56">
      <w:pPr>
        <w:rPr>
          <w:color w:val="auto"/>
          <w:kern w:val="0"/>
          <w:highlight w:val="none"/>
        </w:rPr>
      </w:pPr>
      <w:r>
        <w:rPr>
          <w:rFonts w:hint="eastAsia"/>
          <w:color w:val="auto"/>
          <w:highlight w:val="none"/>
        </w:rPr>
        <w:t>13.1在</w:t>
      </w:r>
      <w:r>
        <w:rPr>
          <w:rFonts w:hint="eastAsia"/>
          <w:color w:val="auto"/>
          <w:kern w:val="0"/>
          <w:highlight w:val="none"/>
        </w:rPr>
        <w:t xml:space="preserve">提交首次响应文件截止之日前，采购人、采购代理机构可以对已发出的磋商文件进行必要的澄清或者修改。 </w:t>
      </w:r>
    </w:p>
    <w:p w14:paraId="0A180C11">
      <w:pPr>
        <w:rPr>
          <w:color w:val="auto"/>
          <w:kern w:val="0"/>
          <w:highlight w:val="none"/>
        </w:rPr>
      </w:pPr>
      <w:r>
        <w:rPr>
          <w:rFonts w:hint="eastAsia"/>
          <w:color w:val="auto"/>
          <w:highlight w:val="none"/>
        </w:rPr>
        <w:t>13.2</w:t>
      </w:r>
      <w:r>
        <w:rPr>
          <w:rFonts w:hint="eastAsia"/>
          <w:color w:val="auto"/>
          <w:kern w:val="0"/>
          <w:highlight w:val="none"/>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41EDF59A">
      <w:pPr>
        <w:pStyle w:val="24"/>
        <w:rPr>
          <w:color w:val="auto"/>
          <w:highlight w:val="none"/>
        </w:rPr>
      </w:pPr>
      <w:r>
        <w:rPr>
          <w:rFonts w:hint="eastAsia"/>
          <w:color w:val="auto"/>
          <w:highlight w:val="none"/>
        </w:rPr>
        <w:t>13.2</w:t>
      </w:r>
      <w:r>
        <w:rPr>
          <w:rFonts w:hint="eastAsia"/>
          <w:color w:val="auto"/>
          <w:kern w:val="0"/>
          <w:highlight w:val="none"/>
        </w:rPr>
        <w:t>提交首次响应文件截止时间前对磋商文件澄清或者修改内容，为磋商文件的组成部分。</w:t>
      </w:r>
    </w:p>
    <w:p w14:paraId="5A7EFA46">
      <w:pPr>
        <w:rPr>
          <w:color w:val="auto"/>
          <w:highlight w:val="none"/>
        </w:rPr>
      </w:pPr>
      <w:r>
        <w:rPr>
          <w:rFonts w:hint="eastAsia"/>
          <w:color w:val="auto"/>
          <w:highlight w:val="none"/>
        </w:rPr>
        <w:t>三、响应文件</w:t>
      </w:r>
    </w:p>
    <w:p w14:paraId="10410B19">
      <w:pPr>
        <w:rPr>
          <w:color w:val="auto"/>
          <w:highlight w:val="none"/>
        </w:rPr>
      </w:pPr>
      <w:r>
        <w:rPr>
          <w:rFonts w:hint="eastAsia"/>
          <w:color w:val="auto"/>
          <w:highlight w:val="none"/>
        </w:rPr>
        <w:t>14.一般要求</w:t>
      </w:r>
    </w:p>
    <w:p w14:paraId="3146AC1B">
      <w:pPr>
        <w:rPr>
          <w:color w:val="auto"/>
          <w:highlight w:val="none"/>
        </w:rPr>
      </w:pPr>
      <w:r>
        <w:rPr>
          <w:rFonts w:hint="eastAsia"/>
          <w:color w:val="auto"/>
          <w:highlight w:val="none"/>
        </w:rPr>
        <w:t>14.1 供应商应仔细阅读磋商文件的所有内容，按磋商文件的要求编制响应文件，并保证所提供的全部资料的真实性，以使其响应文件对磋商文件做出实质性的响应。</w:t>
      </w:r>
    </w:p>
    <w:p w14:paraId="149D2170">
      <w:pPr>
        <w:rPr>
          <w:bCs/>
          <w:color w:val="auto"/>
          <w:highlight w:val="none"/>
        </w:rPr>
      </w:pPr>
      <w:r>
        <w:rPr>
          <w:rFonts w:hint="eastAsia"/>
          <w:bCs/>
          <w:color w:val="auto"/>
          <w:highlight w:val="none"/>
        </w:rPr>
        <w:t xml:space="preserve">14.2 </w:t>
      </w:r>
      <w:r>
        <w:rPr>
          <w:rFonts w:hint="eastAsia"/>
          <w:color w:val="auto"/>
          <w:highlight w:val="none"/>
        </w:rPr>
        <w:t>供应商提交的响应文件及供应商与采购人或采购代理机构、磋商小组就有关磋商的所有来往函电均使用中文。供应商可以提交其它语言的资料，但应附中文注释，在有差异时以中文为准。</w:t>
      </w:r>
    </w:p>
    <w:p w14:paraId="27C428D2">
      <w:pPr>
        <w:pStyle w:val="24"/>
        <w:rPr>
          <w:color w:val="auto"/>
          <w:highlight w:val="none"/>
        </w:rPr>
      </w:pPr>
      <w:r>
        <w:rPr>
          <w:rFonts w:hint="eastAsia"/>
          <w:bCs/>
          <w:color w:val="auto"/>
          <w:highlight w:val="none"/>
        </w:rPr>
        <w:t xml:space="preserve">14.3 </w:t>
      </w:r>
      <w:r>
        <w:rPr>
          <w:rFonts w:hint="eastAsia"/>
          <w:color w:val="auto"/>
          <w:highlight w:val="none"/>
        </w:rPr>
        <w:t>计量单位应使用我国法定计量单位，未列明时应默认为我国法定计量单位。</w:t>
      </w:r>
    </w:p>
    <w:p w14:paraId="0262EC6F">
      <w:pPr>
        <w:pStyle w:val="24"/>
        <w:rPr>
          <w:color w:val="auto"/>
          <w:highlight w:val="none"/>
        </w:rPr>
      </w:pPr>
      <w:r>
        <w:rPr>
          <w:rFonts w:hint="eastAsia"/>
          <w:color w:val="auto"/>
          <w:highlight w:val="none"/>
        </w:rPr>
        <w:t>14.4 响应文件应采用书面形式，电报、传真、电子邮件形式的响应文件概不接受。</w:t>
      </w:r>
    </w:p>
    <w:p w14:paraId="228C7956">
      <w:pPr>
        <w:rPr>
          <w:color w:val="auto"/>
          <w:highlight w:val="none"/>
        </w:rPr>
      </w:pPr>
      <w:r>
        <w:rPr>
          <w:rFonts w:hint="eastAsia"/>
          <w:color w:val="auto"/>
          <w:highlight w:val="none"/>
        </w:rPr>
        <w:t>14.5 供应商应按磋商文件中提供的响应文件格式填写。</w:t>
      </w:r>
    </w:p>
    <w:p w14:paraId="555B0B4E">
      <w:pPr>
        <w:rPr>
          <w:color w:val="auto"/>
          <w:highlight w:val="none"/>
        </w:rPr>
      </w:pPr>
      <w:r>
        <w:rPr>
          <w:rFonts w:hint="eastAsia"/>
          <w:color w:val="auto"/>
          <w:highlight w:val="none"/>
        </w:rPr>
        <w:t>15.响应文件的组成</w:t>
      </w:r>
    </w:p>
    <w:p w14:paraId="702DFC0D">
      <w:pPr>
        <w:rPr>
          <w:color w:val="auto"/>
          <w:szCs w:val="21"/>
          <w:highlight w:val="none"/>
        </w:rPr>
      </w:pPr>
      <w:r>
        <w:rPr>
          <w:rFonts w:hint="eastAsia"/>
          <w:color w:val="auto"/>
          <w:highlight w:val="none"/>
        </w:rPr>
        <w:t>15.1 响应文件包括下列内容：</w:t>
      </w:r>
    </w:p>
    <w:p w14:paraId="498B7423">
      <w:pPr>
        <w:pStyle w:val="24"/>
        <w:rPr>
          <w:color w:val="auto"/>
          <w:highlight w:val="none"/>
        </w:rPr>
      </w:pPr>
      <w:r>
        <w:rPr>
          <w:rFonts w:hint="eastAsia"/>
          <w:color w:val="auto"/>
          <w:highlight w:val="none"/>
        </w:rPr>
        <w:t>（1）磋商响应声明</w:t>
      </w:r>
    </w:p>
    <w:p w14:paraId="257EC490">
      <w:pPr>
        <w:pStyle w:val="24"/>
        <w:rPr>
          <w:color w:val="auto"/>
          <w:highlight w:val="none"/>
        </w:rPr>
      </w:pPr>
      <w:r>
        <w:rPr>
          <w:rFonts w:hint="eastAsia"/>
          <w:color w:val="auto"/>
          <w:highlight w:val="none"/>
        </w:rPr>
        <w:t>（2）供应商的资格证明文件</w:t>
      </w:r>
    </w:p>
    <w:p w14:paraId="7D923970">
      <w:pPr>
        <w:pStyle w:val="24"/>
        <w:rPr>
          <w:color w:val="auto"/>
          <w:highlight w:val="none"/>
        </w:rPr>
      </w:pPr>
      <w:r>
        <w:rPr>
          <w:rFonts w:hint="eastAsia"/>
          <w:color w:val="auto"/>
          <w:highlight w:val="none"/>
        </w:rPr>
        <w:t>（3）服务方案</w:t>
      </w:r>
    </w:p>
    <w:p w14:paraId="0F2FBC0B">
      <w:pPr>
        <w:pStyle w:val="24"/>
        <w:rPr>
          <w:color w:val="auto"/>
          <w:highlight w:val="none"/>
        </w:rPr>
      </w:pPr>
      <w:r>
        <w:rPr>
          <w:rFonts w:hint="eastAsia"/>
          <w:color w:val="auto"/>
          <w:highlight w:val="none"/>
        </w:rPr>
        <w:t>（4）技术/商务响应与偏离表</w:t>
      </w:r>
    </w:p>
    <w:p w14:paraId="1BBEDD0B">
      <w:pPr>
        <w:pStyle w:val="24"/>
        <w:rPr>
          <w:color w:val="auto"/>
          <w:highlight w:val="none"/>
        </w:rPr>
      </w:pPr>
      <w:r>
        <w:rPr>
          <w:rFonts w:hint="eastAsia"/>
          <w:color w:val="auto"/>
          <w:highlight w:val="none"/>
        </w:rPr>
        <w:t>（</w:t>
      </w:r>
      <w:r>
        <w:rPr>
          <w:rFonts w:hint="eastAsia"/>
          <w:color w:val="auto"/>
          <w:highlight w:val="none"/>
          <w:lang w:val="en-US" w:eastAsia="zh-CN"/>
        </w:rPr>
        <w:t>5</w:t>
      </w:r>
      <w:r>
        <w:rPr>
          <w:rFonts w:hint="eastAsia"/>
          <w:color w:val="auto"/>
          <w:highlight w:val="none"/>
        </w:rPr>
        <w:t>）报价一览表</w:t>
      </w:r>
      <w:r>
        <w:rPr>
          <w:rFonts w:hint="eastAsia" w:ascii="Times New Roman" w:hAnsi="Times New Roman" w:cs="Times New Roman"/>
          <w:color w:val="auto"/>
          <w:highlight w:val="none"/>
        </w:rPr>
        <w:t>及报价文件</w:t>
      </w:r>
    </w:p>
    <w:p w14:paraId="63830131">
      <w:pPr>
        <w:pStyle w:val="24"/>
        <w:rPr>
          <w:color w:val="auto"/>
          <w:highlight w:val="none"/>
        </w:rPr>
      </w:pPr>
      <w:r>
        <w:rPr>
          <w:rFonts w:hint="eastAsia"/>
          <w:color w:val="auto"/>
          <w:highlight w:val="none"/>
        </w:rPr>
        <w:t>（</w:t>
      </w:r>
      <w:r>
        <w:rPr>
          <w:rFonts w:hint="eastAsia"/>
          <w:color w:val="auto"/>
          <w:highlight w:val="none"/>
          <w:lang w:val="en-US" w:eastAsia="zh-CN"/>
        </w:rPr>
        <w:t>6</w:t>
      </w:r>
      <w:r>
        <w:rPr>
          <w:rFonts w:hint="eastAsia"/>
          <w:color w:val="auto"/>
          <w:highlight w:val="none"/>
        </w:rPr>
        <w:t>）供应商认为需提供的其它资料</w:t>
      </w:r>
    </w:p>
    <w:p w14:paraId="4564A04C">
      <w:pPr>
        <w:pStyle w:val="24"/>
        <w:rPr>
          <w:color w:val="auto"/>
          <w:highlight w:val="none"/>
        </w:rPr>
      </w:pPr>
      <w:r>
        <w:rPr>
          <w:rFonts w:hint="eastAsia"/>
          <w:color w:val="auto"/>
          <w:highlight w:val="none"/>
        </w:rPr>
        <w:t>（</w:t>
      </w:r>
      <w:r>
        <w:rPr>
          <w:rFonts w:hint="eastAsia"/>
          <w:color w:val="auto"/>
          <w:highlight w:val="none"/>
          <w:lang w:val="en-US" w:eastAsia="zh-CN"/>
        </w:rPr>
        <w:t>7</w:t>
      </w:r>
      <w:r>
        <w:rPr>
          <w:rFonts w:hint="eastAsia"/>
          <w:color w:val="auto"/>
          <w:highlight w:val="none"/>
        </w:rPr>
        <w:t>）最后报价</w:t>
      </w:r>
    </w:p>
    <w:p w14:paraId="1D061B0C">
      <w:pPr>
        <w:rPr>
          <w:color w:val="auto"/>
          <w:highlight w:val="none"/>
        </w:rPr>
      </w:pPr>
      <w:r>
        <w:rPr>
          <w:rFonts w:hint="eastAsia"/>
          <w:color w:val="auto"/>
          <w:highlight w:val="none"/>
        </w:rPr>
        <w:t>15.2在磋商过程中，</w:t>
      </w:r>
      <w:r>
        <w:rPr>
          <w:rFonts w:hint="eastAsia"/>
          <w:color w:val="auto"/>
          <w:szCs w:val="21"/>
          <w:highlight w:val="none"/>
        </w:rPr>
        <w:t>供应商</w:t>
      </w:r>
      <w:r>
        <w:rPr>
          <w:rFonts w:hint="eastAsia"/>
          <w:color w:val="auto"/>
          <w:highlight w:val="none"/>
        </w:rPr>
        <w:t>根据</w:t>
      </w:r>
      <w:r>
        <w:rPr>
          <w:rFonts w:hint="eastAsia"/>
          <w:color w:val="auto"/>
          <w:kern w:val="0"/>
          <w:szCs w:val="21"/>
          <w:highlight w:val="none"/>
        </w:rPr>
        <w:t>磋商小组</w:t>
      </w:r>
      <w:r>
        <w:rPr>
          <w:rFonts w:hint="eastAsia"/>
          <w:bCs/>
          <w:color w:val="auto"/>
          <w:szCs w:val="21"/>
          <w:highlight w:val="none"/>
        </w:rPr>
        <w:t>书面形式要求</w:t>
      </w:r>
      <w:r>
        <w:rPr>
          <w:rFonts w:hint="eastAsia"/>
          <w:color w:val="auto"/>
          <w:kern w:val="0"/>
          <w:szCs w:val="21"/>
          <w:highlight w:val="none"/>
        </w:rPr>
        <w:t>提交的</w:t>
      </w:r>
      <w:r>
        <w:rPr>
          <w:rFonts w:hint="eastAsia"/>
          <w:color w:val="auto"/>
          <w:highlight w:val="none"/>
        </w:rPr>
        <w:t>最后报价(或者</w:t>
      </w:r>
      <w:r>
        <w:rPr>
          <w:rFonts w:hint="eastAsia"/>
          <w:bCs/>
          <w:color w:val="auto"/>
          <w:szCs w:val="21"/>
          <w:highlight w:val="none"/>
        </w:rPr>
        <w:t>重</w:t>
      </w:r>
      <w:r>
        <w:rPr>
          <w:rFonts w:hint="eastAsia"/>
          <w:color w:val="auto"/>
          <w:kern w:val="0"/>
          <w:szCs w:val="21"/>
          <w:highlight w:val="none"/>
        </w:rPr>
        <w:t>新提交的响应文件和</w:t>
      </w:r>
      <w:r>
        <w:rPr>
          <w:rFonts w:hint="eastAsia"/>
          <w:color w:val="auto"/>
          <w:highlight w:val="none"/>
        </w:rPr>
        <w:t>最后报价)是</w:t>
      </w:r>
      <w:r>
        <w:rPr>
          <w:rFonts w:hint="eastAsia"/>
          <w:color w:val="auto"/>
          <w:szCs w:val="21"/>
          <w:highlight w:val="none"/>
        </w:rPr>
        <w:t>响应文件</w:t>
      </w:r>
      <w:r>
        <w:rPr>
          <w:rFonts w:hint="eastAsia"/>
          <w:color w:val="auto"/>
          <w:highlight w:val="none"/>
        </w:rPr>
        <w:t>的有效组成部分。</w:t>
      </w:r>
    </w:p>
    <w:p w14:paraId="3094DF9F">
      <w:pPr>
        <w:rPr>
          <w:b/>
          <w:color w:val="auto"/>
          <w:highlight w:val="none"/>
        </w:rPr>
      </w:pPr>
      <w:r>
        <w:rPr>
          <w:rFonts w:hint="eastAsia"/>
          <w:color w:val="auto"/>
          <w:highlight w:val="none"/>
        </w:rPr>
        <w:t>15.3</w:t>
      </w:r>
      <w:r>
        <w:rPr>
          <w:rFonts w:hint="eastAsia"/>
          <w:color w:val="auto"/>
          <w:kern w:val="0"/>
          <w:szCs w:val="21"/>
          <w:highlight w:val="none"/>
        </w:rPr>
        <w:t>磋商文件规定可能发生实质性变动的，供应商应当在</w:t>
      </w:r>
      <w:r>
        <w:rPr>
          <w:rFonts w:hint="eastAsia"/>
          <w:color w:val="auto"/>
          <w:highlight w:val="none"/>
        </w:rPr>
        <w:t>《技术/商务响应与偏离表》中对应内容注明。</w:t>
      </w:r>
    </w:p>
    <w:p w14:paraId="5B6BC927">
      <w:pPr>
        <w:rPr>
          <w:color w:val="auto"/>
          <w:highlight w:val="none"/>
        </w:rPr>
      </w:pPr>
      <w:r>
        <w:rPr>
          <w:rFonts w:hint="eastAsia"/>
          <w:color w:val="auto"/>
          <w:highlight w:val="none"/>
        </w:rPr>
        <w:t>15.4根据《政府采购法》第四十二条的规定，供应商无论成交与否，其响应文件不予退还。</w:t>
      </w:r>
    </w:p>
    <w:p w14:paraId="4EE51C38">
      <w:pPr>
        <w:rPr>
          <w:color w:val="auto"/>
          <w:highlight w:val="none"/>
        </w:rPr>
      </w:pPr>
      <w:r>
        <w:rPr>
          <w:rFonts w:hint="eastAsia"/>
          <w:color w:val="auto"/>
          <w:highlight w:val="none"/>
        </w:rPr>
        <w:t>16.报价</w:t>
      </w:r>
    </w:p>
    <w:p w14:paraId="31A2C3C1">
      <w:pPr>
        <w:pStyle w:val="24"/>
        <w:rPr>
          <w:color w:val="auto"/>
          <w:highlight w:val="none"/>
        </w:rPr>
      </w:pPr>
      <w:r>
        <w:rPr>
          <w:rFonts w:hint="eastAsia"/>
          <w:color w:val="auto"/>
          <w:highlight w:val="none"/>
        </w:rPr>
        <w:t>16.1采购项目预算或其计算方法见</w:t>
      </w:r>
      <w:r>
        <w:rPr>
          <w:rFonts w:hint="eastAsia"/>
          <w:b/>
          <w:color w:val="auto"/>
          <w:highlight w:val="none"/>
        </w:rPr>
        <w:t>磋商须知前附表</w:t>
      </w:r>
      <w:r>
        <w:rPr>
          <w:rFonts w:hint="eastAsia"/>
          <w:color w:val="auto"/>
          <w:highlight w:val="none"/>
        </w:rPr>
        <w:t>。</w:t>
      </w:r>
    </w:p>
    <w:p w14:paraId="7D136009">
      <w:pPr>
        <w:pStyle w:val="159"/>
        <w:rPr>
          <w:color w:val="auto"/>
          <w:highlight w:val="none"/>
        </w:rPr>
      </w:pPr>
      <w:r>
        <w:rPr>
          <w:rFonts w:hint="eastAsia"/>
          <w:color w:val="auto"/>
          <w:highlight w:val="none"/>
        </w:rPr>
        <w:t>16.2供应商应按第五章 响应文件组成格式填写。</w:t>
      </w:r>
    </w:p>
    <w:p w14:paraId="59210C91">
      <w:pPr>
        <w:pStyle w:val="24"/>
        <w:rPr>
          <w:color w:val="auto"/>
          <w:highlight w:val="none"/>
        </w:rPr>
      </w:pPr>
      <w:r>
        <w:rPr>
          <w:rFonts w:hint="eastAsia"/>
          <w:color w:val="auto"/>
          <w:highlight w:val="none"/>
        </w:rPr>
        <w:t>16.3响应文件中标明的价格在合同执行过程中是固定不变的，不得以任何理由予以变更。以可变动价格提交的报价将被认为是非实质响应而被拒绝。</w:t>
      </w:r>
    </w:p>
    <w:p w14:paraId="64A35346">
      <w:pPr>
        <w:pStyle w:val="24"/>
        <w:rPr>
          <w:color w:val="auto"/>
          <w:highlight w:val="none"/>
        </w:rPr>
      </w:pPr>
      <w:r>
        <w:rPr>
          <w:rFonts w:hint="eastAsia"/>
          <w:color w:val="auto"/>
          <w:highlight w:val="none"/>
        </w:rPr>
        <w:t>16.4</w:t>
      </w:r>
      <w:r>
        <w:rPr>
          <w:rFonts w:hint="eastAsia"/>
          <w:color w:val="auto"/>
          <w:kern w:val="0"/>
          <w:highlight w:val="none"/>
          <w:lang w:val="zh-CN"/>
        </w:rPr>
        <w:t>供应商</w:t>
      </w:r>
      <w:r>
        <w:rPr>
          <w:rFonts w:hint="eastAsia"/>
          <w:color w:val="auto"/>
          <w:highlight w:val="none"/>
        </w:rPr>
        <w:t>的报价不得超过采购项目预算，采购项目预算或其计算方法见</w:t>
      </w:r>
      <w:r>
        <w:rPr>
          <w:rFonts w:hint="eastAsia"/>
          <w:b/>
          <w:color w:val="auto"/>
          <w:highlight w:val="none"/>
        </w:rPr>
        <w:t>磋商须知前附表</w:t>
      </w:r>
      <w:r>
        <w:rPr>
          <w:rFonts w:hint="eastAsia"/>
          <w:color w:val="auto"/>
          <w:highlight w:val="none"/>
        </w:rPr>
        <w:t>。</w:t>
      </w:r>
    </w:p>
    <w:p w14:paraId="69D3E121">
      <w:pPr>
        <w:pStyle w:val="24"/>
        <w:rPr>
          <w:color w:val="auto"/>
          <w:highlight w:val="none"/>
        </w:rPr>
      </w:pPr>
      <w:r>
        <w:rPr>
          <w:rFonts w:hint="eastAsia"/>
          <w:color w:val="auto"/>
          <w:highlight w:val="none"/>
        </w:rPr>
        <w:t>17.供应商符合磋商文件规定的证明文件</w:t>
      </w:r>
    </w:p>
    <w:p w14:paraId="67CF8F05">
      <w:pPr>
        <w:rPr>
          <w:color w:val="auto"/>
          <w:highlight w:val="none"/>
        </w:rPr>
      </w:pPr>
      <w:r>
        <w:rPr>
          <w:rFonts w:hint="eastAsia"/>
          <w:color w:val="auto"/>
          <w:highlight w:val="none"/>
        </w:rPr>
        <w:t>17.1供应商应提交满足本章第3.1款规定的资格条件要求的证明文件,该证明文件作为响应文件的一部分。</w:t>
      </w:r>
    </w:p>
    <w:p w14:paraId="09F475E8">
      <w:pPr>
        <w:rPr>
          <w:color w:val="auto"/>
          <w:highlight w:val="none"/>
        </w:rPr>
      </w:pPr>
      <w:r>
        <w:rPr>
          <w:rFonts w:hint="eastAsia"/>
          <w:color w:val="auto"/>
          <w:highlight w:val="none"/>
        </w:rPr>
        <w:t>17.2如果供应商为联合体，则应提交联合体各方资格证明文件、联合体协议。否则，在评审时将其视为无效响应。</w:t>
      </w:r>
    </w:p>
    <w:p w14:paraId="4643B04F">
      <w:pPr>
        <w:rPr>
          <w:color w:val="auto"/>
          <w:highlight w:val="none"/>
        </w:rPr>
      </w:pPr>
      <w:r>
        <w:rPr>
          <w:rFonts w:hint="eastAsia"/>
          <w:color w:val="auto"/>
          <w:highlight w:val="none"/>
        </w:rPr>
        <w:t>17.3 除</w:t>
      </w:r>
      <w:r>
        <w:rPr>
          <w:rFonts w:hint="eastAsia"/>
          <w:b/>
          <w:color w:val="auto"/>
          <w:highlight w:val="none"/>
        </w:rPr>
        <w:t>磋商须知前附表</w:t>
      </w:r>
      <w:r>
        <w:rPr>
          <w:rFonts w:hint="eastAsia"/>
          <w:color w:val="auto"/>
          <w:highlight w:val="none"/>
        </w:rPr>
        <w:t>另有规定外，供应商提供的货物及服务不是供应商制造或拥有的，则必须提供经销、或代理采购货物、或采购货物提供售后服务的证明文件。</w:t>
      </w:r>
    </w:p>
    <w:p w14:paraId="3245DDDC">
      <w:pPr>
        <w:pStyle w:val="24"/>
        <w:rPr>
          <w:rFonts w:hAnsi="宋体" w:cs="宋体"/>
          <w:color w:val="auto"/>
          <w:highlight w:val="none"/>
        </w:rPr>
      </w:pPr>
      <w:r>
        <w:rPr>
          <w:rFonts w:hint="eastAsia" w:hAnsi="宋体" w:cs="宋体"/>
          <w:color w:val="auto"/>
          <w:highlight w:val="none"/>
        </w:rPr>
        <w:t>18．样品提供</w:t>
      </w:r>
      <w:r>
        <w:rPr>
          <w:color w:val="auto"/>
          <w:highlight w:val="none"/>
        </w:rPr>
        <w:t>（注：本项目不要求投标时提供样品，以下内容不适用本项目）</w:t>
      </w:r>
    </w:p>
    <w:p w14:paraId="2515B827">
      <w:pPr>
        <w:rPr>
          <w:color w:val="auto"/>
          <w:highlight w:val="none"/>
        </w:rPr>
      </w:pPr>
      <w:r>
        <w:rPr>
          <w:rFonts w:hint="eastAsia"/>
          <w:color w:val="auto"/>
          <w:highlight w:val="none"/>
        </w:rPr>
        <w:t xml:space="preserve">18.1 </w:t>
      </w:r>
      <w:r>
        <w:rPr>
          <w:rFonts w:hint="eastAsia"/>
          <w:b/>
          <w:color w:val="auto"/>
          <w:highlight w:val="none"/>
        </w:rPr>
        <w:t>磋商须知前附表</w:t>
      </w:r>
      <w:r>
        <w:rPr>
          <w:rFonts w:hint="eastAsia"/>
          <w:color w:val="auto"/>
          <w:highlight w:val="none"/>
        </w:rPr>
        <w:t>规定</w:t>
      </w:r>
      <w:r>
        <w:rPr>
          <w:rFonts w:hint="eastAsia"/>
          <w:bCs/>
          <w:color w:val="auto"/>
          <w:highlight w:val="none"/>
        </w:rPr>
        <w:t>供应商</w:t>
      </w:r>
      <w:r>
        <w:rPr>
          <w:rFonts w:hint="eastAsia"/>
          <w:color w:val="auto"/>
          <w:highlight w:val="none"/>
        </w:rPr>
        <w:t>在磋商时提供样品的，</w:t>
      </w:r>
      <w:r>
        <w:rPr>
          <w:rFonts w:hint="eastAsia"/>
          <w:bCs/>
          <w:color w:val="auto"/>
          <w:highlight w:val="none"/>
        </w:rPr>
        <w:t>供应商</w:t>
      </w:r>
      <w:r>
        <w:rPr>
          <w:rFonts w:hint="eastAsia"/>
          <w:color w:val="auto"/>
          <w:highlight w:val="none"/>
        </w:rPr>
        <w:t>有以下情形之一的，在评审时将其视为无效响应。</w:t>
      </w:r>
    </w:p>
    <w:p w14:paraId="53BAABB6">
      <w:pPr>
        <w:rPr>
          <w:color w:val="auto"/>
          <w:highlight w:val="none"/>
        </w:rPr>
      </w:pPr>
      <w:r>
        <w:rPr>
          <w:rFonts w:hint="eastAsia"/>
          <w:color w:val="auto"/>
          <w:highlight w:val="none"/>
        </w:rPr>
        <w:t>（1）未在</w:t>
      </w:r>
      <w:r>
        <w:rPr>
          <w:rFonts w:hint="eastAsia"/>
          <w:b/>
          <w:color w:val="auto"/>
          <w:highlight w:val="none"/>
        </w:rPr>
        <w:t>磋商须知前附表</w:t>
      </w:r>
      <w:r>
        <w:rPr>
          <w:rFonts w:hint="eastAsia"/>
          <w:color w:val="auto"/>
          <w:highlight w:val="none"/>
        </w:rPr>
        <w:t>规定的提交时间、地点提交的；</w:t>
      </w:r>
    </w:p>
    <w:p w14:paraId="47FAC9AE">
      <w:pPr>
        <w:rPr>
          <w:color w:val="auto"/>
          <w:highlight w:val="none"/>
        </w:rPr>
      </w:pPr>
      <w:r>
        <w:rPr>
          <w:rFonts w:hint="eastAsia"/>
          <w:color w:val="auto"/>
          <w:highlight w:val="none"/>
        </w:rPr>
        <w:t>（2）</w:t>
      </w:r>
      <w:r>
        <w:rPr>
          <w:rFonts w:hint="eastAsia"/>
          <w:bCs/>
          <w:color w:val="auto"/>
          <w:highlight w:val="none"/>
        </w:rPr>
        <w:t>供应商</w:t>
      </w:r>
      <w:r>
        <w:rPr>
          <w:rFonts w:hint="eastAsia"/>
          <w:color w:val="auto"/>
          <w:highlight w:val="none"/>
        </w:rPr>
        <w:t>提供的样品与响应文件中提供样品的型号、规格不一致的。</w:t>
      </w:r>
    </w:p>
    <w:p w14:paraId="460195DF">
      <w:pPr>
        <w:rPr>
          <w:color w:val="auto"/>
          <w:highlight w:val="none"/>
        </w:rPr>
      </w:pPr>
      <w:r>
        <w:rPr>
          <w:rFonts w:hint="eastAsia"/>
          <w:color w:val="auto"/>
          <w:highlight w:val="none"/>
        </w:rPr>
        <w:t>19.磋商保证金</w:t>
      </w:r>
    </w:p>
    <w:p w14:paraId="476F32FD">
      <w:pPr>
        <w:rPr>
          <w:color w:val="auto"/>
          <w:kern w:val="0"/>
          <w:szCs w:val="21"/>
          <w:highlight w:val="none"/>
        </w:rPr>
      </w:pPr>
      <w:r>
        <w:rPr>
          <w:rFonts w:hint="eastAsia"/>
          <w:color w:val="auto"/>
          <w:szCs w:val="21"/>
          <w:highlight w:val="none"/>
        </w:rPr>
        <w:t>19.1根据《关于进一步</w:t>
      </w:r>
      <w:r>
        <w:rPr>
          <w:rFonts w:hint="eastAsia"/>
          <w:color w:val="auto"/>
          <w:highlight w:val="none"/>
        </w:rPr>
        <w:t>优化营商环境促进政府采购提速增效相关事项的通知》要求，为进一步降低交易成本费用，减轻企业资金负担，取消政府采购项目的投标保证金</w:t>
      </w:r>
      <w:r>
        <w:rPr>
          <w:color w:val="auto"/>
          <w:kern w:val="0"/>
          <w:szCs w:val="21"/>
          <w:highlight w:val="none"/>
        </w:rPr>
        <w:t>。</w:t>
      </w:r>
    </w:p>
    <w:p w14:paraId="0FA676DB">
      <w:pPr>
        <w:rPr>
          <w:bCs/>
          <w:color w:val="auto"/>
          <w:highlight w:val="none"/>
        </w:rPr>
      </w:pPr>
      <w:r>
        <w:rPr>
          <w:rFonts w:hint="eastAsia"/>
          <w:bCs/>
          <w:color w:val="auto"/>
          <w:highlight w:val="none"/>
        </w:rPr>
        <w:t>20.</w:t>
      </w:r>
      <w:r>
        <w:rPr>
          <w:rFonts w:hint="eastAsia"/>
          <w:color w:val="auto"/>
          <w:highlight w:val="none"/>
        </w:rPr>
        <w:t>响应文件有效期</w:t>
      </w:r>
    </w:p>
    <w:p w14:paraId="0A03352C">
      <w:pPr>
        <w:rPr>
          <w:color w:val="auto"/>
          <w:highlight w:val="none"/>
        </w:rPr>
      </w:pPr>
      <w:r>
        <w:rPr>
          <w:rFonts w:hint="eastAsia"/>
          <w:color w:val="auto"/>
          <w:highlight w:val="none"/>
        </w:rPr>
        <w:t>20.1响应文件</w:t>
      </w:r>
      <w:r>
        <w:rPr>
          <w:rFonts w:hint="eastAsia"/>
          <w:color w:val="auto"/>
          <w:szCs w:val="21"/>
          <w:highlight w:val="none"/>
        </w:rPr>
        <w:t>有效期见</w:t>
      </w:r>
      <w:r>
        <w:rPr>
          <w:rFonts w:hint="eastAsia"/>
          <w:b/>
          <w:color w:val="auto"/>
          <w:highlight w:val="none"/>
        </w:rPr>
        <w:t>磋商须知前附表</w:t>
      </w:r>
      <w:r>
        <w:rPr>
          <w:rFonts w:hint="eastAsia"/>
          <w:color w:val="auto"/>
          <w:szCs w:val="21"/>
          <w:highlight w:val="none"/>
        </w:rPr>
        <w:t>，在此期间</w:t>
      </w:r>
      <w:r>
        <w:rPr>
          <w:rFonts w:hint="eastAsia"/>
          <w:color w:val="auto"/>
          <w:highlight w:val="none"/>
        </w:rPr>
        <w:t>响应</w:t>
      </w:r>
      <w:r>
        <w:rPr>
          <w:rFonts w:hint="eastAsia"/>
          <w:color w:val="auto"/>
          <w:szCs w:val="21"/>
          <w:highlight w:val="none"/>
        </w:rPr>
        <w:t>文件对供应商具有法律约束力，</w:t>
      </w:r>
      <w:r>
        <w:rPr>
          <w:rFonts w:hint="eastAsia"/>
          <w:color w:val="auto"/>
          <w:highlight w:val="none"/>
        </w:rPr>
        <w:t>从</w:t>
      </w:r>
      <w:r>
        <w:rPr>
          <w:rFonts w:hint="eastAsia"/>
          <w:color w:val="auto"/>
          <w:kern w:val="0"/>
          <w:szCs w:val="21"/>
          <w:highlight w:val="none"/>
        </w:rPr>
        <w:t>提交首次响应文件截止时间</w:t>
      </w:r>
      <w:r>
        <w:rPr>
          <w:rFonts w:hint="eastAsia"/>
          <w:color w:val="auto"/>
          <w:highlight w:val="none"/>
        </w:rPr>
        <w:t>之日起计算。响应文件有效期不足的将被视为无效响应。</w:t>
      </w:r>
    </w:p>
    <w:p w14:paraId="275EE9E9">
      <w:pPr>
        <w:rPr>
          <w:color w:val="auto"/>
          <w:highlight w:val="none"/>
        </w:rPr>
      </w:pPr>
      <w:r>
        <w:rPr>
          <w:rFonts w:hint="eastAsia"/>
          <w:color w:val="auto"/>
          <w:highlight w:val="none"/>
        </w:rPr>
        <w:t>21.响应文件的签署及规定</w:t>
      </w:r>
    </w:p>
    <w:p w14:paraId="1721C0A2">
      <w:pPr>
        <w:pStyle w:val="24"/>
        <w:rPr>
          <w:color w:val="auto"/>
          <w:highlight w:val="none"/>
        </w:rPr>
      </w:pPr>
      <w:r>
        <w:rPr>
          <w:rFonts w:hint="eastAsia"/>
          <w:color w:val="auto"/>
          <w:highlight w:val="none"/>
        </w:rPr>
        <w:t>21.1响应文件的正本和副本应装订成册，正本一份，电子版文件一份，副本份数见</w:t>
      </w:r>
      <w:r>
        <w:rPr>
          <w:rFonts w:hint="eastAsia"/>
          <w:b/>
          <w:color w:val="auto"/>
          <w:highlight w:val="none"/>
        </w:rPr>
        <w:t>磋商须知前附表</w:t>
      </w:r>
      <w:r>
        <w:rPr>
          <w:rFonts w:hint="eastAsia"/>
          <w:color w:val="auto"/>
          <w:highlight w:val="none"/>
        </w:rPr>
        <w:t>。正本和副本的封面上应标记“正本”或“副本”的字样，当正本和副本有差异时，以正本为准。</w:t>
      </w:r>
    </w:p>
    <w:p w14:paraId="3ACB4E0B">
      <w:pPr>
        <w:pStyle w:val="24"/>
        <w:rPr>
          <w:color w:val="auto"/>
          <w:highlight w:val="none"/>
        </w:rPr>
      </w:pPr>
      <w:r>
        <w:rPr>
          <w:rFonts w:hint="eastAsia"/>
          <w:color w:val="auto"/>
          <w:highlight w:val="none"/>
        </w:rPr>
        <w:t>21.2 响应文件正本和副本应按磋商文件要求签章处盖单位章和由法定代表人或其委托代理人签字；任何加行、涂改、增删，应有法定代表人或其委托代理人在旁边签字。否则，将导致响应文件无效。</w:t>
      </w:r>
    </w:p>
    <w:p w14:paraId="47D60AA0">
      <w:pPr>
        <w:pStyle w:val="24"/>
        <w:rPr>
          <w:color w:val="auto"/>
          <w:highlight w:val="none"/>
        </w:rPr>
      </w:pPr>
      <w:r>
        <w:rPr>
          <w:rFonts w:hint="eastAsia"/>
          <w:color w:val="auto"/>
          <w:highlight w:val="none"/>
        </w:rPr>
        <w:t>21.3 在磋商过程中，供应商按磋商文件规定和磋商小组要求</w:t>
      </w:r>
      <w:r>
        <w:rPr>
          <w:rFonts w:hint="eastAsia"/>
          <w:bCs/>
          <w:color w:val="auto"/>
          <w:highlight w:val="none"/>
        </w:rPr>
        <w:t>重</w:t>
      </w:r>
      <w:r>
        <w:rPr>
          <w:rFonts w:hint="eastAsia"/>
          <w:color w:val="auto"/>
          <w:kern w:val="0"/>
          <w:highlight w:val="none"/>
        </w:rPr>
        <w:t>新提交的响应文件</w:t>
      </w:r>
      <w:r>
        <w:rPr>
          <w:rFonts w:hint="eastAsia"/>
          <w:color w:val="auto"/>
          <w:highlight w:val="none"/>
        </w:rPr>
        <w:t>，一式两份，可打印或用不退色墨水书写，但需经法定代表人或其委托代理人签字，</w:t>
      </w:r>
      <w:r>
        <w:rPr>
          <w:rFonts w:hint="eastAsia"/>
          <w:color w:val="auto"/>
          <w:kern w:val="0"/>
          <w:highlight w:val="none"/>
        </w:rPr>
        <w:t>或者加盖供应商单位章</w:t>
      </w:r>
      <w:r>
        <w:rPr>
          <w:rFonts w:hint="eastAsia"/>
          <w:color w:val="auto"/>
          <w:highlight w:val="none"/>
        </w:rPr>
        <w:t>。否则，将导致响应文件无效。</w:t>
      </w:r>
    </w:p>
    <w:p w14:paraId="35BC1A99">
      <w:pPr>
        <w:rPr>
          <w:color w:val="auto"/>
          <w:highlight w:val="none"/>
        </w:rPr>
      </w:pPr>
      <w:r>
        <w:rPr>
          <w:rFonts w:hint="eastAsia"/>
          <w:color w:val="auto"/>
          <w:highlight w:val="none"/>
        </w:rPr>
        <w:t>四、响应文件的递交</w:t>
      </w:r>
    </w:p>
    <w:p w14:paraId="12CFF70B">
      <w:pPr>
        <w:rPr>
          <w:color w:val="auto"/>
          <w:highlight w:val="none"/>
        </w:rPr>
      </w:pPr>
      <w:r>
        <w:rPr>
          <w:rFonts w:hint="eastAsia"/>
          <w:color w:val="auto"/>
          <w:highlight w:val="none"/>
        </w:rPr>
        <w:t>22.响应文件的密封和标记</w:t>
      </w:r>
    </w:p>
    <w:p w14:paraId="534BD754">
      <w:pPr>
        <w:pStyle w:val="24"/>
        <w:rPr>
          <w:color w:val="auto"/>
          <w:highlight w:val="none"/>
        </w:rPr>
      </w:pPr>
      <w:r>
        <w:rPr>
          <w:rFonts w:hint="eastAsia"/>
          <w:color w:val="auto"/>
          <w:highlight w:val="none"/>
        </w:rPr>
        <w:t>22.1响应文件应密封包装，加贴封条，并在封套的封口处盖供应商单位章或者由法定代表人或其委托代理人签字。</w:t>
      </w:r>
    </w:p>
    <w:p w14:paraId="243F5558">
      <w:pPr>
        <w:rPr>
          <w:color w:val="auto"/>
          <w:highlight w:val="none"/>
        </w:rPr>
      </w:pPr>
      <w:r>
        <w:rPr>
          <w:rFonts w:hint="eastAsia"/>
          <w:color w:val="auto"/>
          <w:highlight w:val="none"/>
        </w:rPr>
        <w:t>22.2响应文件封套上应写明的内容见</w:t>
      </w:r>
      <w:r>
        <w:rPr>
          <w:rFonts w:hint="eastAsia"/>
          <w:b/>
          <w:color w:val="auto"/>
          <w:highlight w:val="none"/>
        </w:rPr>
        <w:t>磋商须知前附表。</w:t>
      </w:r>
    </w:p>
    <w:p w14:paraId="58867153">
      <w:pPr>
        <w:rPr>
          <w:color w:val="auto"/>
          <w:highlight w:val="none"/>
        </w:rPr>
      </w:pPr>
      <w:r>
        <w:rPr>
          <w:rFonts w:hint="eastAsia"/>
          <w:color w:val="auto"/>
          <w:highlight w:val="none"/>
        </w:rPr>
        <w:t>22.3响应文件如果未按上述规定密封和加写标记，采购人或采购代理机构将拒绝接收。</w:t>
      </w:r>
    </w:p>
    <w:p w14:paraId="58B945A2">
      <w:pPr>
        <w:rPr>
          <w:color w:val="auto"/>
          <w:highlight w:val="none"/>
        </w:rPr>
      </w:pPr>
      <w:r>
        <w:rPr>
          <w:rFonts w:hint="eastAsia"/>
          <w:color w:val="auto"/>
          <w:highlight w:val="none"/>
        </w:rPr>
        <w:t>23.响应文件的</w:t>
      </w:r>
      <w:r>
        <w:rPr>
          <w:rFonts w:hint="eastAsia"/>
          <w:color w:val="auto"/>
          <w:kern w:val="0"/>
          <w:highlight w:val="none"/>
          <w:lang w:val="zh-CN"/>
        </w:rPr>
        <w:t>补充、修改或者撤回</w:t>
      </w:r>
    </w:p>
    <w:p w14:paraId="2A1FF2D2">
      <w:pPr>
        <w:pStyle w:val="24"/>
        <w:rPr>
          <w:color w:val="auto"/>
          <w:highlight w:val="none"/>
        </w:rPr>
      </w:pPr>
      <w:r>
        <w:rPr>
          <w:rFonts w:hint="eastAsia"/>
          <w:color w:val="auto"/>
          <w:highlight w:val="none"/>
        </w:rPr>
        <w:t>23.1</w:t>
      </w:r>
      <w:r>
        <w:rPr>
          <w:rFonts w:hint="eastAsia"/>
          <w:color w:val="auto"/>
          <w:kern w:val="0"/>
          <w:highlight w:val="none"/>
        </w:rPr>
        <w:t>供应商在提交首次响应文件截止时间前，可以对所提交的首次响应文件进行补充、修改或者撤回，并书面通知采购人、采购代理机构。</w:t>
      </w:r>
      <w:r>
        <w:rPr>
          <w:rFonts w:hint="eastAsia"/>
          <w:color w:val="auto"/>
          <w:highlight w:val="none"/>
        </w:rPr>
        <w:t>该通知应有供应商法定代表人或其委托代理人签字。</w:t>
      </w:r>
    </w:p>
    <w:p w14:paraId="1BA3709A">
      <w:pPr>
        <w:pStyle w:val="24"/>
        <w:rPr>
          <w:color w:val="auto"/>
          <w:highlight w:val="none"/>
        </w:rPr>
      </w:pPr>
      <w:r>
        <w:rPr>
          <w:rFonts w:hint="eastAsia"/>
          <w:color w:val="auto"/>
          <w:highlight w:val="none"/>
        </w:rPr>
        <w:t>23.2</w:t>
      </w:r>
      <w:r>
        <w:rPr>
          <w:rFonts w:hint="eastAsia"/>
          <w:color w:val="auto"/>
          <w:kern w:val="0"/>
          <w:highlight w:val="none"/>
          <w:lang w:val="zh-CN"/>
        </w:rPr>
        <w:t>补充、修改的内容与响应文件不一致时，以补充、修改的内容为准。</w:t>
      </w:r>
    </w:p>
    <w:p w14:paraId="67F3E360">
      <w:pPr>
        <w:rPr>
          <w:color w:val="auto"/>
          <w:highlight w:val="none"/>
        </w:rPr>
      </w:pPr>
      <w:r>
        <w:rPr>
          <w:rFonts w:hint="eastAsia"/>
          <w:color w:val="auto"/>
          <w:highlight w:val="none"/>
        </w:rPr>
        <w:t>24.响应文件的递交与接收</w:t>
      </w:r>
    </w:p>
    <w:p w14:paraId="3348E50F">
      <w:pPr>
        <w:rPr>
          <w:color w:val="auto"/>
          <w:highlight w:val="none"/>
        </w:rPr>
      </w:pPr>
      <w:r>
        <w:rPr>
          <w:rFonts w:hint="eastAsia"/>
          <w:color w:val="auto"/>
          <w:highlight w:val="none"/>
        </w:rPr>
        <w:t>24.1 供应商应在</w:t>
      </w:r>
      <w:r>
        <w:rPr>
          <w:rFonts w:hint="eastAsia"/>
          <w:color w:val="auto"/>
          <w:kern w:val="0"/>
          <w:highlight w:val="none"/>
        </w:rPr>
        <w:t>提交首次响应文件截止时间</w:t>
      </w:r>
      <w:r>
        <w:rPr>
          <w:rFonts w:hint="eastAsia"/>
          <w:color w:val="auto"/>
          <w:highlight w:val="none"/>
        </w:rPr>
        <w:t>前，将响应文件送达</w:t>
      </w:r>
      <w:r>
        <w:rPr>
          <w:rFonts w:hint="eastAsia"/>
          <w:b/>
          <w:color w:val="auto"/>
          <w:highlight w:val="none"/>
        </w:rPr>
        <w:t>磋商须知前附表</w:t>
      </w:r>
      <w:r>
        <w:rPr>
          <w:rFonts w:hint="eastAsia"/>
          <w:color w:val="auto"/>
          <w:highlight w:val="none"/>
        </w:rPr>
        <w:t>中指定的地点。</w:t>
      </w:r>
      <w:r>
        <w:rPr>
          <w:rFonts w:hint="eastAsia"/>
          <w:color w:val="auto"/>
          <w:kern w:val="0"/>
          <w:highlight w:val="none"/>
        </w:rPr>
        <w:t>在截止时间后送达的响应文件，采购人、采购代理机构或者磋商小组应当拒收。</w:t>
      </w:r>
    </w:p>
    <w:p w14:paraId="72955B64">
      <w:pPr>
        <w:pStyle w:val="24"/>
        <w:rPr>
          <w:color w:val="auto"/>
          <w:highlight w:val="none"/>
        </w:rPr>
      </w:pPr>
      <w:r>
        <w:rPr>
          <w:rFonts w:hint="eastAsia"/>
          <w:color w:val="auto"/>
          <w:highlight w:val="none"/>
        </w:rPr>
        <w:t>24.2</w:t>
      </w:r>
      <w:r>
        <w:rPr>
          <w:rFonts w:hint="eastAsia"/>
          <w:color w:val="auto"/>
          <w:kern w:val="0"/>
          <w:highlight w:val="none"/>
        </w:rPr>
        <w:t>在提交首次响应文件截止时间后，</w:t>
      </w:r>
      <w:r>
        <w:rPr>
          <w:rFonts w:hint="eastAsia"/>
          <w:color w:val="auto"/>
          <w:highlight w:val="none"/>
        </w:rPr>
        <w:t>由</w:t>
      </w:r>
      <w:r>
        <w:rPr>
          <w:rFonts w:hint="eastAsia"/>
          <w:bCs/>
          <w:color w:val="auto"/>
          <w:highlight w:val="none"/>
        </w:rPr>
        <w:t>供应商代表</w:t>
      </w:r>
      <w:r>
        <w:rPr>
          <w:rFonts w:hint="eastAsia"/>
          <w:color w:val="auto"/>
          <w:highlight w:val="none"/>
        </w:rPr>
        <w:t>当场查验</w:t>
      </w:r>
      <w:r>
        <w:rPr>
          <w:rFonts w:hint="eastAsia"/>
          <w:bCs/>
          <w:color w:val="auto"/>
          <w:highlight w:val="none"/>
        </w:rPr>
        <w:t>响应文件</w:t>
      </w:r>
      <w:r>
        <w:rPr>
          <w:rFonts w:hint="eastAsia"/>
          <w:color w:val="auto"/>
          <w:highlight w:val="none"/>
        </w:rPr>
        <w:t>的密封状况，采购人或</w:t>
      </w:r>
      <w:r>
        <w:rPr>
          <w:rFonts w:hint="eastAsia"/>
          <w:bCs/>
          <w:color w:val="auto"/>
          <w:highlight w:val="none"/>
        </w:rPr>
        <w:t>采购代理机构</w:t>
      </w:r>
      <w:r>
        <w:rPr>
          <w:rFonts w:hint="eastAsia"/>
          <w:color w:val="auto"/>
          <w:highlight w:val="none"/>
        </w:rPr>
        <w:t>不当场拆封</w:t>
      </w:r>
      <w:r>
        <w:rPr>
          <w:rFonts w:hint="eastAsia"/>
          <w:bCs/>
          <w:color w:val="auto"/>
          <w:highlight w:val="none"/>
        </w:rPr>
        <w:t>响应文件</w:t>
      </w:r>
      <w:r>
        <w:rPr>
          <w:rFonts w:hint="eastAsia"/>
          <w:color w:val="auto"/>
          <w:highlight w:val="none"/>
        </w:rPr>
        <w:t>。</w:t>
      </w:r>
    </w:p>
    <w:p w14:paraId="2C2C5634">
      <w:pPr>
        <w:rPr>
          <w:color w:val="auto"/>
          <w:highlight w:val="none"/>
        </w:rPr>
      </w:pPr>
      <w:r>
        <w:rPr>
          <w:rFonts w:hint="eastAsia"/>
          <w:color w:val="auto"/>
          <w:highlight w:val="none"/>
        </w:rPr>
        <w:t>五、响应文件的磋商与评审</w:t>
      </w:r>
    </w:p>
    <w:p w14:paraId="3CAEDDE2">
      <w:pPr>
        <w:rPr>
          <w:color w:val="auto"/>
          <w:highlight w:val="none"/>
        </w:rPr>
      </w:pPr>
      <w:r>
        <w:rPr>
          <w:rFonts w:hint="eastAsia"/>
          <w:color w:val="auto"/>
          <w:highlight w:val="none"/>
        </w:rPr>
        <w:t>25.磋商程序</w:t>
      </w:r>
    </w:p>
    <w:p w14:paraId="232120B9">
      <w:pPr>
        <w:rPr>
          <w:bCs/>
          <w:color w:val="auto"/>
          <w:highlight w:val="none"/>
        </w:rPr>
      </w:pPr>
      <w:r>
        <w:rPr>
          <w:rFonts w:hint="eastAsia"/>
          <w:color w:val="auto"/>
          <w:kern w:val="0"/>
          <w:highlight w:val="none"/>
        </w:rPr>
        <w:t>25.1磋商程序：磋商（包括澄清）、响应文件评审、</w:t>
      </w:r>
      <w:r>
        <w:rPr>
          <w:rFonts w:hint="eastAsia"/>
          <w:bCs/>
          <w:color w:val="auto"/>
          <w:highlight w:val="none"/>
        </w:rPr>
        <w:t>提出成交供应商。其中，</w:t>
      </w:r>
      <w:r>
        <w:rPr>
          <w:rFonts w:hint="eastAsia"/>
          <w:color w:val="auto"/>
          <w:kern w:val="0"/>
          <w:highlight w:val="none"/>
        </w:rPr>
        <w:t>磋商按</w:t>
      </w:r>
      <w:r>
        <w:rPr>
          <w:rFonts w:hint="eastAsia"/>
          <w:color w:val="auto"/>
          <w:highlight w:val="none"/>
        </w:rPr>
        <w:t>本章第30.1</w:t>
      </w:r>
      <w:r>
        <w:rPr>
          <w:rFonts w:hint="eastAsia"/>
          <w:color w:val="auto"/>
          <w:kern w:val="0"/>
          <w:highlight w:val="none"/>
          <w:lang w:val="zh-CN"/>
        </w:rPr>
        <w:t>款或者</w:t>
      </w:r>
      <w:r>
        <w:rPr>
          <w:rFonts w:hint="eastAsia"/>
          <w:color w:val="auto"/>
          <w:highlight w:val="none"/>
        </w:rPr>
        <w:t>第30.2</w:t>
      </w:r>
      <w:r>
        <w:rPr>
          <w:rFonts w:hint="eastAsia"/>
          <w:color w:val="auto"/>
          <w:kern w:val="0"/>
          <w:highlight w:val="none"/>
          <w:lang w:val="zh-CN"/>
        </w:rPr>
        <w:t>款</w:t>
      </w:r>
      <w:r>
        <w:rPr>
          <w:rFonts w:hint="eastAsia"/>
          <w:color w:val="auto"/>
          <w:highlight w:val="none"/>
        </w:rPr>
        <w:t>情形</w:t>
      </w:r>
      <w:r>
        <w:rPr>
          <w:rFonts w:hint="eastAsia"/>
          <w:bCs/>
          <w:color w:val="auto"/>
          <w:highlight w:val="none"/>
        </w:rPr>
        <w:t>进行。</w:t>
      </w:r>
    </w:p>
    <w:p w14:paraId="4601EBEC">
      <w:pPr>
        <w:rPr>
          <w:color w:val="auto"/>
          <w:highlight w:val="none"/>
        </w:rPr>
      </w:pPr>
      <w:r>
        <w:rPr>
          <w:rFonts w:hint="eastAsia"/>
          <w:color w:val="auto"/>
          <w:kern w:val="0"/>
          <w:highlight w:val="none"/>
        </w:rPr>
        <w:t>26.响应文件审查</w:t>
      </w:r>
    </w:p>
    <w:p w14:paraId="207E0548">
      <w:pPr>
        <w:rPr>
          <w:color w:val="auto"/>
          <w:highlight w:val="none"/>
        </w:rPr>
      </w:pPr>
      <w:r>
        <w:rPr>
          <w:rFonts w:hint="eastAsia"/>
          <w:color w:val="auto"/>
          <w:highlight w:val="none"/>
        </w:rPr>
        <w:t>26.1 资格性审查：根据本章第3.1项规定的供应商资格条件要求，对响应文件的资格证明等进行审查，以确定供应商是否具备磋商资格条件。</w:t>
      </w:r>
    </w:p>
    <w:p w14:paraId="1C9C3282">
      <w:pPr>
        <w:rPr>
          <w:color w:val="auto"/>
          <w:highlight w:val="none"/>
        </w:rPr>
      </w:pPr>
      <w:r>
        <w:rPr>
          <w:rFonts w:hint="eastAsia"/>
          <w:color w:val="auto"/>
          <w:highlight w:val="none"/>
        </w:rPr>
        <w:t>26.2符合性审查: 对响应文件(包括首次提交的响应文件、重新提交的响应文件)的有效性、完整性和响应程度进行审查，以确定是否对磋商文件的实质性要求作出响应。</w:t>
      </w:r>
    </w:p>
    <w:p w14:paraId="320221B9">
      <w:pPr>
        <w:rPr>
          <w:color w:val="auto"/>
          <w:highlight w:val="none"/>
        </w:rPr>
      </w:pPr>
      <w:r>
        <w:rPr>
          <w:rFonts w:hint="eastAsia"/>
          <w:color w:val="auto"/>
          <w:highlight w:val="none"/>
        </w:rPr>
        <w:t>26.3响应文件审查结束后，磋商小组所有成员集中与单一供应商分别进行磋商，并给予所有参加磋商的供应商平等的磋商机会。供应商应派其法定代表人或委托代理人参加磋商。</w:t>
      </w:r>
    </w:p>
    <w:p w14:paraId="6162A3A1">
      <w:pPr>
        <w:pStyle w:val="24"/>
        <w:rPr>
          <w:color w:val="auto"/>
          <w:kern w:val="0"/>
          <w:highlight w:val="none"/>
        </w:rPr>
      </w:pPr>
      <w:r>
        <w:rPr>
          <w:rFonts w:hint="eastAsia"/>
          <w:color w:val="auto"/>
          <w:kern w:val="0"/>
          <w:highlight w:val="none"/>
        </w:rPr>
        <w:t>27.实质性响应</w:t>
      </w:r>
    </w:p>
    <w:p w14:paraId="7E740FF5">
      <w:pPr>
        <w:pStyle w:val="24"/>
        <w:rPr>
          <w:color w:val="auto"/>
          <w:kern w:val="0"/>
          <w:highlight w:val="none"/>
          <w:u w:val="single"/>
        </w:rPr>
      </w:pPr>
      <w:r>
        <w:rPr>
          <w:rFonts w:hint="eastAsia"/>
          <w:color w:val="auto"/>
          <w:kern w:val="0"/>
          <w:highlight w:val="none"/>
        </w:rPr>
        <w:t>27.1</w:t>
      </w:r>
      <w:r>
        <w:rPr>
          <w:rFonts w:hint="eastAsia"/>
          <w:color w:val="auto"/>
          <w:highlight w:val="none"/>
        </w:rPr>
        <w:t>实质性响应是指响应文件(包括首次响应文件、重新提交的响应文件)与磋商文件要求的所有条款、条件和规格相符，没有偏离。偏离指不满足、或不响应磋商文件的要求。</w:t>
      </w:r>
    </w:p>
    <w:p w14:paraId="55E72120">
      <w:pPr>
        <w:rPr>
          <w:color w:val="auto"/>
          <w:szCs w:val="21"/>
          <w:highlight w:val="none"/>
        </w:rPr>
      </w:pPr>
      <w:r>
        <w:rPr>
          <w:rFonts w:hint="eastAsia"/>
          <w:color w:val="auto"/>
          <w:szCs w:val="21"/>
          <w:highlight w:val="none"/>
        </w:rPr>
        <w:t>27.2</w:t>
      </w:r>
      <w:r>
        <w:rPr>
          <w:rFonts w:hint="eastAsia"/>
          <w:color w:val="auto"/>
          <w:highlight w:val="none"/>
        </w:rPr>
        <w:t>响应文件是否实质性响应磋商文件要求由磋商小组依据磋商文件规定认定。</w:t>
      </w:r>
      <w:r>
        <w:rPr>
          <w:rFonts w:hint="eastAsia"/>
          <w:color w:val="auto"/>
          <w:kern w:val="0"/>
          <w:szCs w:val="21"/>
          <w:highlight w:val="none"/>
        </w:rPr>
        <w:t>磋商小组</w:t>
      </w:r>
      <w:r>
        <w:rPr>
          <w:rFonts w:hint="eastAsia"/>
          <w:color w:val="auto"/>
          <w:szCs w:val="21"/>
          <w:highlight w:val="none"/>
        </w:rPr>
        <w:t>决定</w:t>
      </w:r>
      <w:r>
        <w:rPr>
          <w:rFonts w:hint="eastAsia"/>
          <w:color w:val="auto"/>
          <w:highlight w:val="none"/>
        </w:rPr>
        <w:t>响应文件</w:t>
      </w:r>
      <w:r>
        <w:rPr>
          <w:rFonts w:hint="eastAsia"/>
          <w:color w:val="auto"/>
          <w:szCs w:val="21"/>
          <w:highlight w:val="none"/>
        </w:rPr>
        <w:t>的响应性只根据</w:t>
      </w:r>
      <w:r>
        <w:rPr>
          <w:rFonts w:hint="eastAsia"/>
          <w:color w:val="auto"/>
          <w:highlight w:val="none"/>
        </w:rPr>
        <w:t>响应文件</w:t>
      </w:r>
      <w:r>
        <w:rPr>
          <w:rFonts w:hint="eastAsia"/>
          <w:color w:val="auto"/>
          <w:szCs w:val="21"/>
          <w:highlight w:val="none"/>
        </w:rPr>
        <w:t>本身的真实无误的内容，而不依据外部的证据。</w:t>
      </w:r>
    </w:p>
    <w:p w14:paraId="6A46427F">
      <w:pPr>
        <w:pStyle w:val="24"/>
        <w:rPr>
          <w:color w:val="auto"/>
          <w:kern w:val="0"/>
          <w:highlight w:val="none"/>
        </w:rPr>
      </w:pPr>
      <w:r>
        <w:rPr>
          <w:rFonts w:hint="eastAsia"/>
          <w:color w:val="auto"/>
          <w:kern w:val="0"/>
          <w:highlight w:val="none"/>
        </w:rPr>
        <w:t xml:space="preserve">28.无效响应 </w:t>
      </w:r>
    </w:p>
    <w:p w14:paraId="48B2F474">
      <w:pPr>
        <w:pStyle w:val="24"/>
        <w:rPr>
          <w:b/>
          <w:color w:val="auto"/>
          <w:kern w:val="0"/>
          <w:highlight w:val="none"/>
        </w:rPr>
      </w:pPr>
      <w:r>
        <w:rPr>
          <w:rFonts w:hint="eastAsia"/>
          <w:color w:val="auto"/>
          <w:kern w:val="0"/>
          <w:highlight w:val="none"/>
        </w:rPr>
        <w:t>28.1</w:t>
      </w:r>
      <w:r>
        <w:rPr>
          <w:rFonts w:hint="eastAsia"/>
          <w:color w:val="auto"/>
          <w:highlight w:val="none"/>
        </w:rPr>
        <w:t>磋商小组在对资格性和符合性进行审查时，有下列情况之一的，属无效响应，</w:t>
      </w:r>
      <w:r>
        <w:rPr>
          <w:rFonts w:hint="eastAsia"/>
          <w:color w:val="auto"/>
          <w:kern w:val="0"/>
          <w:highlight w:val="none"/>
        </w:rPr>
        <w:t>磋商小组应当告知有关供应商</w:t>
      </w:r>
      <w:r>
        <w:rPr>
          <w:rFonts w:hint="eastAsia"/>
          <w:color w:val="auto"/>
          <w:highlight w:val="none"/>
        </w:rPr>
        <w:t>：</w:t>
      </w:r>
    </w:p>
    <w:p w14:paraId="0BF31256">
      <w:pPr>
        <w:rPr>
          <w:color w:val="auto"/>
          <w:highlight w:val="none"/>
        </w:rPr>
      </w:pPr>
      <w:r>
        <w:rPr>
          <w:rFonts w:hint="eastAsia"/>
          <w:color w:val="auto"/>
          <w:highlight w:val="none"/>
        </w:rPr>
        <w:t>（1）供应商不具备本章第3.1款规定的供应商资格条件要求，或存在本章第3.3款情形的；</w:t>
      </w:r>
    </w:p>
    <w:p w14:paraId="3E063E70">
      <w:pPr>
        <w:rPr>
          <w:color w:val="auto"/>
          <w:highlight w:val="none"/>
        </w:rPr>
      </w:pPr>
      <w:r>
        <w:rPr>
          <w:rFonts w:hint="eastAsia"/>
          <w:color w:val="auto"/>
          <w:highlight w:val="none"/>
        </w:rPr>
        <w:t>（2）联合体不符合本章第3.2款规定的；</w:t>
      </w:r>
    </w:p>
    <w:p w14:paraId="49BD5086">
      <w:pPr>
        <w:rPr>
          <w:color w:val="auto"/>
          <w:highlight w:val="none"/>
        </w:rPr>
      </w:pPr>
      <w:r>
        <w:rPr>
          <w:rFonts w:hint="eastAsia"/>
          <w:color w:val="auto"/>
          <w:highlight w:val="none"/>
        </w:rPr>
        <w:t>（3）应交未交磋商保证金或金额不足、磋商保证金缴纳形式不符合磋商文件要求的；</w:t>
      </w:r>
    </w:p>
    <w:p w14:paraId="26BD95A2">
      <w:pPr>
        <w:rPr>
          <w:color w:val="auto"/>
          <w:highlight w:val="none"/>
        </w:rPr>
      </w:pPr>
      <w:r>
        <w:rPr>
          <w:rFonts w:hint="eastAsia"/>
          <w:color w:val="auto"/>
          <w:highlight w:val="none"/>
        </w:rPr>
        <w:t>（4）响应文件未按照磋商文件要求签署、盖章的；</w:t>
      </w:r>
    </w:p>
    <w:p w14:paraId="048455D3">
      <w:pPr>
        <w:rPr>
          <w:color w:val="auto"/>
          <w:highlight w:val="none"/>
        </w:rPr>
      </w:pPr>
      <w:r>
        <w:rPr>
          <w:rFonts w:hint="eastAsia"/>
          <w:color w:val="auto"/>
          <w:highlight w:val="none"/>
        </w:rPr>
        <w:t>（5）响应文件不满足本章第27.1款规定的实质性要求的；</w:t>
      </w:r>
    </w:p>
    <w:p w14:paraId="65E6E187">
      <w:pPr>
        <w:rPr>
          <w:color w:val="auto"/>
          <w:highlight w:val="none"/>
        </w:rPr>
      </w:pPr>
      <w:r>
        <w:rPr>
          <w:rFonts w:hint="eastAsia"/>
          <w:color w:val="auto"/>
          <w:highlight w:val="none"/>
        </w:rPr>
        <w:t>（6）响应文件有效期不足的；</w:t>
      </w:r>
    </w:p>
    <w:p w14:paraId="1C6214A4">
      <w:pPr>
        <w:rPr>
          <w:color w:val="auto"/>
          <w:highlight w:val="none"/>
        </w:rPr>
      </w:pPr>
      <w:r>
        <w:rPr>
          <w:rFonts w:hint="eastAsia"/>
          <w:color w:val="auto"/>
          <w:highlight w:val="none"/>
        </w:rPr>
        <w:t>（7）响应文件不符合法律、规章、规范性文件和磋商文件规定及要求的。</w:t>
      </w:r>
    </w:p>
    <w:p w14:paraId="4CA2D0AD">
      <w:pPr>
        <w:rPr>
          <w:color w:val="auto"/>
          <w:kern w:val="0"/>
          <w:highlight w:val="none"/>
        </w:rPr>
      </w:pPr>
      <w:r>
        <w:rPr>
          <w:rFonts w:hint="eastAsia"/>
          <w:color w:val="auto"/>
          <w:kern w:val="0"/>
          <w:highlight w:val="none"/>
        </w:rPr>
        <w:t>29.澄清</w:t>
      </w:r>
    </w:p>
    <w:p w14:paraId="172F4796">
      <w:pPr>
        <w:rPr>
          <w:color w:val="auto"/>
          <w:kern w:val="0"/>
          <w:highlight w:val="none"/>
        </w:rPr>
      </w:pPr>
      <w:r>
        <w:rPr>
          <w:rFonts w:hint="eastAsia"/>
          <w:color w:val="auto"/>
          <w:kern w:val="0"/>
          <w:highlight w:val="none"/>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7F6EBC24">
      <w:pPr>
        <w:rPr>
          <w:color w:val="auto"/>
          <w:kern w:val="0"/>
          <w:highlight w:val="none"/>
        </w:rPr>
      </w:pPr>
      <w:r>
        <w:rPr>
          <w:rFonts w:hint="eastAsia"/>
          <w:color w:val="auto"/>
          <w:kern w:val="0"/>
          <w:highlight w:val="none"/>
        </w:rPr>
        <w:t>29.2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7E384A1F">
      <w:pPr>
        <w:rPr>
          <w:color w:val="auto"/>
          <w:kern w:val="0"/>
          <w:highlight w:val="none"/>
        </w:rPr>
      </w:pPr>
      <w:r>
        <w:rPr>
          <w:rFonts w:hint="eastAsia"/>
          <w:color w:val="auto"/>
          <w:kern w:val="0"/>
          <w:highlight w:val="none"/>
        </w:rPr>
        <w:t>30.磋商</w:t>
      </w:r>
    </w:p>
    <w:p w14:paraId="478232DF">
      <w:pPr>
        <w:rPr>
          <w:color w:val="auto"/>
          <w:kern w:val="0"/>
          <w:highlight w:val="none"/>
          <w:lang w:val="zh-CN"/>
        </w:rPr>
      </w:pPr>
      <w:r>
        <w:rPr>
          <w:rFonts w:hint="eastAsia"/>
          <w:color w:val="auto"/>
          <w:kern w:val="0"/>
          <w:highlight w:val="none"/>
        </w:rPr>
        <w:t>30.1</w:t>
      </w:r>
      <w:r>
        <w:rPr>
          <w:rFonts w:hint="eastAsia"/>
          <w:color w:val="auto"/>
          <w:highlight w:val="none"/>
        </w:rPr>
        <w:t>本章第10.2项</w:t>
      </w:r>
      <w:r>
        <w:rPr>
          <w:rFonts w:hint="eastAsia"/>
          <w:color w:val="auto"/>
          <w:kern w:val="0"/>
          <w:highlight w:val="none"/>
        </w:rPr>
        <w:t>未明确磋商文件实质性变动内容的，或者磋商文件明确了可能发生实质性变动内容，但在磋商过程中，</w:t>
      </w:r>
      <w:r>
        <w:rPr>
          <w:rFonts w:hint="eastAsia"/>
          <w:bCs/>
          <w:color w:val="auto"/>
          <w:highlight w:val="none"/>
        </w:rPr>
        <w:t>磋商小组</w:t>
      </w:r>
      <w:r>
        <w:rPr>
          <w:rFonts w:hint="eastAsia"/>
          <w:color w:val="auto"/>
          <w:kern w:val="0"/>
          <w:highlight w:val="none"/>
        </w:rPr>
        <w:t>根据磋商情况</w:t>
      </w:r>
      <w:r>
        <w:rPr>
          <w:rFonts w:hint="eastAsia"/>
          <w:bCs/>
          <w:color w:val="auto"/>
          <w:highlight w:val="none"/>
        </w:rPr>
        <w:t>认为</w:t>
      </w:r>
      <w:r>
        <w:rPr>
          <w:rFonts w:hint="eastAsia"/>
          <w:color w:val="auto"/>
          <w:kern w:val="0"/>
          <w:highlight w:val="none"/>
        </w:rPr>
        <w:t>磋商文件无需发生实质性变动的，磋商小组应当直接与响应文件审查合格的供应商就价格组织多轮磋商。</w:t>
      </w:r>
    </w:p>
    <w:p w14:paraId="558655E0">
      <w:pPr>
        <w:rPr>
          <w:color w:val="auto"/>
          <w:kern w:val="0"/>
          <w:highlight w:val="none"/>
        </w:rPr>
      </w:pPr>
      <w:r>
        <w:rPr>
          <w:rFonts w:hint="eastAsia"/>
          <w:color w:val="auto"/>
          <w:kern w:val="0"/>
          <w:highlight w:val="none"/>
        </w:rPr>
        <w:t>（1）</w:t>
      </w:r>
      <w:r>
        <w:rPr>
          <w:rFonts w:hint="eastAsia" w:ascii="宋体" w:hAnsi="宋体" w:cs="宋体"/>
          <w:b w:val="0"/>
          <w:bCs w:val="0"/>
          <w:color w:val="auto"/>
          <w:kern w:val="0"/>
          <w:szCs w:val="21"/>
          <w:highlight w:val="none"/>
          <w:lang w:val="en-US" w:eastAsia="zh-CN"/>
        </w:rPr>
        <w:t>磋商小组有权视情况要求供应商进行多轮报价，具体报价次数由磋商小组决定。</w:t>
      </w:r>
      <w:r>
        <w:rPr>
          <w:rFonts w:hint="eastAsia"/>
          <w:color w:val="auto"/>
          <w:kern w:val="0"/>
          <w:highlight w:val="none"/>
        </w:rPr>
        <w:t>磋商结束后，磋商小组</w:t>
      </w:r>
      <w:r>
        <w:rPr>
          <w:rFonts w:hint="eastAsia"/>
          <w:color w:val="auto"/>
          <w:kern w:val="0"/>
          <w:highlight w:val="none"/>
          <w:lang w:val="en-US" w:eastAsia="zh-CN"/>
        </w:rPr>
        <w:t>有权</w:t>
      </w:r>
      <w:r>
        <w:rPr>
          <w:rFonts w:hint="eastAsia"/>
          <w:color w:val="auto"/>
          <w:kern w:val="0"/>
          <w:highlight w:val="none"/>
        </w:rPr>
        <w:t>要求所有继续参加磋商的供应商在磋商小组规定时间内提交最后报价。</w:t>
      </w:r>
    </w:p>
    <w:p w14:paraId="11D0E215">
      <w:pPr>
        <w:rPr>
          <w:color w:val="auto"/>
          <w:kern w:val="0"/>
          <w:highlight w:val="none"/>
        </w:rPr>
      </w:pPr>
      <w:r>
        <w:rPr>
          <w:rFonts w:hint="eastAsia"/>
          <w:color w:val="auto"/>
          <w:kern w:val="0"/>
          <w:highlight w:val="none"/>
        </w:rPr>
        <w:t>（2）磋商文件明确可能发生实质性变动，但在磋商过程中</w:t>
      </w:r>
      <w:r>
        <w:rPr>
          <w:rFonts w:hint="eastAsia"/>
          <w:bCs/>
          <w:color w:val="auto"/>
          <w:highlight w:val="none"/>
        </w:rPr>
        <w:t>磋商小组</w:t>
      </w:r>
      <w:r>
        <w:rPr>
          <w:rFonts w:hint="eastAsia"/>
          <w:color w:val="auto"/>
          <w:kern w:val="0"/>
          <w:highlight w:val="none"/>
        </w:rPr>
        <w:t>根据磋商情况</w:t>
      </w:r>
      <w:r>
        <w:rPr>
          <w:rFonts w:hint="eastAsia"/>
          <w:bCs/>
          <w:color w:val="auto"/>
          <w:highlight w:val="none"/>
        </w:rPr>
        <w:t>认为</w:t>
      </w:r>
      <w:r>
        <w:rPr>
          <w:rFonts w:hint="eastAsia"/>
          <w:color w:val="auto"/>
          <w:kern w:val="0"/>
          <w:highlight w:val="none"/>
        </w:rPr>
        <w:t>磋商文件无需发生实质性变动的，磋商小组不另行通知。</w:t>
      </w:r>
    </w:p>
    <w:p w14:paraId="49CAF06E">
      <w:pPr>
        <w:rPr>
          <w:color w:val="auto"/>
          <w:kern w:val="0"/>
          <w:highlight w:val="none"/>
        </w:rPr>
      </w:pPr>
      <w:r>
        <w:rPr>
          <w:rFonts w:hint="eastAsia"/>
          <w:color w:val="auto"/>
          <w:kern w:val="0"/>
          <w:highlight w:val="none"/>
        </w:rPr>
        <w:t>30.2</w:t>
      </w:r>
      <w:r>
        <w:rPr>
          <w:rFonts w:hint="eastAsia"/>
          <w:color w:val="auto"/>
          <w:highlight w:val="none"/>
        </w:rPr>
        <w:t>本章第10.2</w:t>
      </w:r>
      <w:r>
        <w:rPr>
          <w:rFonts w:hint="eastAsia"/>
          <w:color w:val="auto"/>
          <w:kern w:val="0"/>
          <w:highlight w:val="none"/>
          <w:lang w:val="zh-CN"/>
        </w:rPr>
        <w:t>款</w:t>
      </w:r>
      <w:r>
        <w:rPr>
          <w:rFonts w:hint="eastAsia"/>
          <w:color w:val="auto"/>
          <w:kern w:val="0"/>
          <w:highlight w:val="none"/>
        </w:rPr>
        <w:t>明确磋商文件实质性变动内容的，</w:t>
      </w:r>
      <w:r>
        <w:rPr>
          <w:rFonts w:hint="eastAsia"/>
          <w:bCs/>
          <w:color w:val="auto"/>
          <w:highlight w:val="none"/>
        </w:rPr>
        <w:t>磋商小组</w:t>
      </w:r>
      <w:r>
        <w:rPr>
          <w:rFonts w:hint="eastAsia"/>
          <w:color w:val="auto"/>
          <w:kern w:val="0"/>
          <w:highlight w:val="none"/>
        </w:rPr>
        <w:t>可以组织多轮磋商。</w:t>
      </w:r>
      <w:r>
        <w:rPr>
          <w:rFonts w:hint="eastAsia"/>
          <w:bCs/>
          <w:color w:val="auto"/>
          <w:highlight w:val="none"/>
        </w:rPr>
        <w:t>在每一轮磋商中，磋商小组</w:t>
      </w:r>
      <w:r>
        <w:rPr>
          <w:rFonts w:hint="eastAsia"/>
          <w:color w:val="auto"/>
          <w:kern w:val="0"/>
          <w:highlight w:val="none"/>
        </w:rPr>
        <w:t>可以根据磋商文件规定和磋商情况，</w:t>
      </w:r>
      <w:r>
        <w:rPr>
          <w:rFonts w:hint="eastAsia"/>
          <w:bCs/>
          <w:color w:val="auto"/>
          <w:highlight w:val="none"/>
        </w:rPr>
        <w:t>对磋商文件的</w:t>
      </w:r>
      <w:r>
        <w:rPr>
          <w:rFonts w:hint="eastAsia"/>
          <w:color w:val="auto"/>
          <w:kern w:val="0"/>
          <w:highlight w:val="none"/>
        </w:rPr>
        <w:t>采购需求中的技术、服务要求以及合同草案条款</w:t>
      </w:r>
      <w:r>
        <w:rPr>
          <w:rFonts w:hint="eastAsia"/>
          <w:bCs/>
          <w:color w:val="auto"/>
          <w:highlight w:val="none"/>
        </w:rPr>
        <w:t>作实质性变动(磋商文件的实质性变动内容为磋商文件的组成部分)，并以书面形式要求</w:t>
      </w:r>
      <w:r>
        <w:rPr>
          <w:rFonts w:hint="eastAsia"/>
          <w:color w:val="auto"/>
          <w:kern w:val="0"/>
          <w:highlight w:val="none"/>
        </w:rPr>
        <w:t>响应文件审查合格</w:t>
      </w:r>
      <w:r>
        <w:rPr>
          <w:rFonts w:hint="eastAsia"/>
          <w:bCs/>
          <w:color w:val="auto"/>
          <w:highlight w:val="none"/>
        </w:rPr>
        <w:t>的供应商，在规定的</w:t>
      </w:r>
      <w:r>
        <w:rPr>
          <w:rFonts w:hint="eastAsia"/>
          <w:color w:val="auto"/>
          <w:kern w:val="0"/>
          <w:highlight w:val="none"/>
        </w:rPr>
        <w:t>截止时间前</w:t>
      </w:r>
      <w:r>
        <w:rPr>
          <w:rFonts w:hint="eastAsia"/>
          <w:bCs/>
          <w:color w:val="auto"/>
          <w:highlight w:val="none"/>
        </w:rPr>
        <w:t>重</w:t>
      </w:r>
      <w:r>
        <w:rPr>
          <w:rFonts w:hint="eastAsia"/>
          <w:color w:val="auto"/>
          <w:kern w:val="0"/>
          <w:highlight w:val="none"/>
        </w:rPr>
        <w:t>新提交响应文件</w:t>
      </w:r>
      <w:r>
        <w:rPr>
          <w:rFonts w:hint="eastAsia"/>
          <w:bCs/>
          <w:color w:val="auto"/>
          <w:highlight w:val="none"/>
        </w:rPr>
        <w:t>。</w:t>
      </w:r>
      <w:r>
        <w:rPr>
          <w:rFonts w:hint="eastAsia"/>
          <w:color w:val="auto"/>
          <w:kern w:val="0"/>
          <w:highlight w:val="none"/>
        </w:rPr>
        <w:t>磋商小组应当</w:t>
      </w:r>
      <w:r>
        <w:rPr>
          <w:rFonts w:hint="eastAsia"/>
          <w:color w:val="auto"/>
          <w:highlight w:val="none"/>
        </w:rPr>
        <w:t>根据本章第26.2</w:t>
      </w:r>
      <w:r>
        <w:rPr>
          <w:rFonts w:hint="eastAsia"/>
          <w:color w:val="auto"/>
          <w:kern w:val="0"/>
          <w:highlight w:val="none"/>
          <w:lang w:val="zh-CN"/>
        </w:rPr>
        <w:t>款</w:t>
      </w:r>
      <w:r>
        <w:rPr>
          <w:rFonts w:hint="eastAsia"/>
          <w:color w:val="auto"/>
          <w:highlight w:val="none"/>
        </w:rPr>
        <w:t>规定</w:t>
      </w:r>
      <w:r>
        <w:rPr>
          <w:rFonts w:hint="eastAsia"/>
          <w:color w:val="auto"/>
          <w:kern w:val="0"/>
          <w:highlight w:val="none"/>
        </w:rPr>
        <w:t>对供应商重新提交的响应文件进行审查。供应商重新提交的响应文件审查不合格的，不得进入下一轮磋商。</w:t>
      </w:r>
    </w:p>
    <w:p w14:paraId="40687EA6">
      <w:pPr>
        <w:rPr>
          <w:color w:val="auto"/>
          <w:kern w:val="0"/>
          <w:highlight w:val="none"/>
        </w:rPr>
      </w:pPr>
      <w:r>
        <w:rPr>
          <w:rFonts w:hint="eastAsia"/>
          <w:color w:val="auto"/>
          <w:kern w:val="0"/>
          <w:highlight w:val="none"/>
        </w:rPr>
        <w:t>（1）磋商文件能够详细列明采购需求的技术、服务要求的，磋商结束后，磋商小组应当要求所有继续参加磋商的供应商在规定时间内提交最后报价。</w:t>
      </w:r>
    </w:p>
    <w:p w14:paraId="351BC424">
      <w:pPr>
        <w:rPr>
          <w:color w:val="auto"/>
          <w:kern w:val="0"/>
          <w:highlight w:val="none"/>
        </w:rPr>
      </w:pPr>
      <w:r>
        <w:rPr>
          <w:rFonts w:hint="eastAsia"/>
          <w:color w:val="auto"/>
          <w:kern w:val="0"/>
          <w:highlight w:val="none"/>
        </w:rPr>
        <w:t>（2）磋商文件不能详细列明采购需求的技术、服务要求的，需经磋商由供应商提供最终设计方案或解决方案的，磋商结束后，磋商小组应当按照少数服从多数的原则投票推荐3家以上供应商的设计方案或者解决方案，并要求其在规定时间内提交最后报价。</w:t>
      </w:r>
    </w:p>
    <w:p w14:paraId="16241D62">
      <w:pPr>
        <w:rPr>
          <w:bCs/>
          <w:color w:val="auto"/>
          <w:highlight w:val="none"/>
        </w:rPr>
      </w:pPr>
      <w:r>
        <w:rPr>
          <w:rFonts w:hint="eastAsia"/>
          <w:bCs/>
          <w:color w:val="auto"/>
          <w:highlight w:val="none"/>
        </w:rPr>
        <w:t>30.3重</w:t>
      </w:r>
      <w:r>
        <w:rPr>
          <w:rFonts w:hint="eastAsia"/>
          <w:color w:val="auto"/>
          <w:kern w:val="0"/>
          <w:highlight w:val="none"/>
        </w:rPr>
        <w:t>新提交的响应文件</w:t>
      </w:r>
      <w:r>
        <w:rPr>
          <w:rFonts w:hint="eastAsia"/>
          <w:color w:val="auto"/>
          <w:highlight w:val="none"/>
        </w:rPr>
        <w:t>或者最后报价应按</w:t>
      </w:r>
      <w:r>
        <w:rPr>
          <w:rFonts w:hint="eastAsia"/>
          <w:color w:val="auto"/>
          <w:kern w:val="0"/>
          <w:highlight w:val="none"/>
        </w:rPr>
        <w:t>本章第</w:t>
      </w:r>
      <w:r>
        <w:rPr>
          <w:rFonts w:hint="eastAsia"/>
          <w:color w:val="auto"/>
          <w:highlight w:val="none"/>
        </w:rPr>
        <w:t>21.3</w:t>
      </w:r>
      <w:r>
        <w:rPr>
          <w:rFonts w:hint="eastAsia"/>
          <w:color w:val="auto"/>
          <w:kern w:val="0"/>
          <w:highlight w:val="none"/>
          <w:lang w:val="zh-CN"/>
        </w:rPr>
        <w:t>款</w:t>
      </w:r>
      <w:r>
        <w:rPr>
          <w:rFonts w:hint="eastAsia"/>
          <w:color w:val="auto"/>
          <w:highlight w:val="none"/>
        </w:rPr>
        <w:t>规定，</w:t>
      </w:r>
      <w:r>
        <w:rPr>
          <w:rFonts w:hint="eastAsia"/>
          <w:color w:val="auto"/>
          <w:kern w:val="0"/>
          <w:highlight w:val="none"/>
        </w:rPr>
        <w:t>由其法定代表人或其委托代理人签字或者加盖供应商单位章，在规定时间内密封递交给磋商小组</w:t>
      </w:r>
      <w:r>
        <w:rPr>
          <w:rFonts w:hint="eastAsia"/>
          <w:bCs/>
          <w:color w:val="auto"/>
          <w:highlight w:val="none"/>
        </w:rPr>
        <w:t>。</w:t>
      </w:r>
    </w:p>
    <w:p w14:paraId="713A1BC5">
      <w:pPr>
        <w:rPr>
          <w:rFonts w:hint="eastAsia" w:ascii="宋体" w:hAnsi="宋体" w:eastAsia="宋体" w:cs="宋体"/>
          <w:color w:val="auto"/>
          <w:highlight w:val="none"/>
        </w:rPr>
      </w:pPr>
      <w:r>
        <w:rPr>
          <w:rFonts w:hint="eastAsia"/>
          <w:color w:val="auto"/>
          <w:kern w:val="0"/>
          <w:highlight w:val="none"/>
        </w:rPr>
        <w:t>30.4</w:t>
      </w:r>
      <w:r>
        <w:rPr>
          <w:rFonts w:hint="eastAsia"/>
          <w:color w:val="auto"/>
          <w:kern w:val="0"/>
          <w:highlight w:val="none"/>
          <w:lang w:val="zh-CN"/>
        </w:rPr>
        <w:t>供应商的</w:t>
      </w:r>
      <w:r>
        <w:rPr>
          <w:rFonts w:hint="eastAsia"/>
          <w:bCs/>
          <w:color w:val="auto"/>
          <w:highlight w:val="none"/>
        </w:rPr>
        <w:t>最</w:t>
      </w:r>
      <w:r>
        <w:rPr>
          <w:rFonts w:hint="eastAsia"/>
          <w:color w:val="auto"/>
          <w:kern w:val="0"/>
          <w:highlight w:val="none"/>
          <w:lang w:val="zh-CN"/>
        </w:rPr>
        <w:t>后</w:t>
      </w:r>
      <w:r>
        <w:rPr>
          <w:rFonts w:hint="eastAsia"/>
          <w:bCs/>
          <w:color w:val="auto"/>
          <w:highlight w:val="none"/>
        </w:rPr>
        <w:t>报价及</w:t>
      </w:r>
      <w:r>
        <w:rPr>
          <w:rFonts w:hint="eastAsia"/>
          <w:color w:val="auto"/>
          <w:kern w:val="0"/>
          <w:highlight w:val="none"/>
        </w:rPr>
        <w:t>政府采购政策规定的价格扣除情况，磋商小组应召集所有参加最后报价的</w:t>
      </w:r>
      <w:r>
        <w:rPr>
          <w:rFonts w:hint="eastAsia" w:ascii="宋体" w:hAnsi="宋体" w:eastAsia="宋体" w:cs="宋体"/>
          <w:color w:val="auto"/>
          <w:highlight w:val="none"/>
        </w:rPr>
        <w:t>供应商当场开封公布，并由供应商代表签字确认。</w:t>
      </w:r>
    </w:p>
    <w:p w14:paraId="5C1CDB18">
      <w:pPr>
        <w:rPr>
          <w:rFonts w:hint="eastAsia" w:ascii="宋体" w:hAnsi="宋体" w:eastAsia="宋体" w:cs="宋体"/>
          <w:color w:val="auto"/>
          <w:highlight w:val="none"/>
        </w:rPr>
      </w:pPr>
      <w:r>
        <w:rPr>
          <w:rFonts w:hint="eastAsia" w:ascii="宋体" w:hAnsi="宋体" w:eastAsia="宋体" w:cs="宋体"/>
          <w:color w:val="auto"/>
          <w:highlight w:val="none"/>
        </w:rPr>
        <w:t>30.5提交首次响应文件的供应商，在提交最后报价之前，可以根据磋商情况退出磋商，并书面通知采购代理机构或者磋商小组。该通知由供应商法定代表人或其委托代理人签字。</w:t>
      </w:r>
    </w:p>
    <w:p w14:paraId="2EF79499">
      <w:pPr>
        <w:rPr>
          <w:rFonts w:hint="eastAsia" w:ascii="宋体" w:hAnsi="宋体" w:eastAsia="宋体" w:cs="宋体"/>
          <w:color w:val="auto"/>
          <w:highlight w:val="none"/>
        </w:rPr>
      </w:pPr>
      <w:r>
        <w:rPr>
          <w:rFonts w:hint="eastAsia" w:ascii="宋体" w:hAnsi="宋体" w:eastAsia="宋体" w:cs="宋体"/>
          <w:color w:val="auto"/>
          <w:highlight w:val="none"/>
        </w:rPr>
        <w:t>30.6磋商文件在磋商过程中未发生实质性变动的，参加磋商供应商的次轮报价不得高于上轮报价，否则视为无效响应。</w:t>
      </w:r>
    </w:p>
    <w:p w14:paraId="6A3869FB">
      <w:pPr>
        <w:rPr>
          <w:rFonts w:hint="eastAsia" w:ascii="宋体" w:hAnsi="宋体" w:eastAsia="宋体" w:cs="宋体"/>
          <w:color w:val="auto"/>
          <w:highlight w:val="none"/>
        </w:rPr>
      </w:pPr>
      <w:r>
        <w:rPr>
          <w:rFonts w:hint="eastAsia" w:ascii="宋体" w:hAnsi="宋体" w:eastAsia="宋体" w:cs="宋体"/>
          <w:color w:val="auto"/>
          <w:highlight w:val="none"/>
        </w:rPr>
        <w:t>31.响应文件评审</w:t>
      </w:r>
    </w:p>
    <w:p w14:paraId="7A1F0ECF">
      <w:pPr>
        <w:rPr>
          <w:color w:val="auto"/>
          <w:kern w:val="0"/>
          <w:highlight w:val="none"/>
        </w:rPr>
      </w:pPr>
      <w:r>
        <w:rPr>
          <w:rFonts w:hint="eastAsia"/>
          <w:color w:val="auto"/>
          <w:kern w:val="0"/>
          <w:highlight w:val="none"/>
        </w:rPr>
        <w:t>31.1经磋商确定最终采购需求和提交最后报价的供应商后，由磋商小组采用综合评分法对提交最后报价的供应商的响应文件和最后报价进行综合评价。</w:t>
      </w:r>
    </w:p>
    <w:p w14:paraId="21EEC2B4">
      <w:pPr>
        <w:rPr>
          <w:color w:val="auto"/>
          <w:kern w:val="0"/>
          <w:highlight w:val="none"/>
        </w:rPr>
      </w:pPr>
      <w:r>
        <w:rPr>
          <w:rFonts w:hint="eastAsia"/>
          <w:color w:val="auto"/>
          <w:kern w:val="0"/>
          <w:highlight w:val="none"/>
        </w:rPr>
        <w:t>31.2综合评分法，是指响应文件满足磋商文件全部实质性要求且按评审因素的量化指标评审得分最高的供应商为成交候选供应商的评审方法。本采购项目的评审因素和标准见磋商须知前附表。</w:t>
      </w:r>
    </w:p>
    <w:p w14:paraId="652785BC">
      <w:pPr>
        <w:rPr>
          <w:color w:val="auto"/>
          <w:kern w:val="0"/>
          <w:highlight w:val="none"/>
        </w:rPr>
      </w:pPr>
      <w:r>
        <w:rPr>
          <w:rFonts w:hint="eastAsia"/>
          <w:color w:val="auto"/>
          <w:kern w:val="0"/>
          <w:highlight w:val="none"/>
        </w:rPr>
        <w:t>31.3最后报价调整。磋商小组以各供应商最后报价为基础，按照符合政府采购支持中小企业发展的相应条件，对供应商的最后报价进行价格扣除，用扣除后的最后报价计算价格得分，具体价格扣除比例见磋商须知前附表。</w:t>
      </w:r>
    </w:p>
    <w:p w14:paraId="682643E3">
      <w:pPr>
        <w:rPr>
          <w:color w:val="auto"/>
          <w:kern w:val="0"/>
          <w:highlight w:val="none"/>
        </w:rPr>
      </w:pPr>
      <w:r>
        <w:rPr>
          <w:rFonts w:hint="eastAsia"/>
          <w:color w:val="auto"/>
          <w:kern w:val="0"/>
          <w:highlight w:val="none"/>
        </w:rPr>
        <w:t>31.4综合评分法中的价格分采用低价优先法计算，即满足磋商文件要求且经调整后的最后报价最低的供应商的价格为磋商基准价，其价格分为满分。其他供应商的价格分按照下列公式计算：</w:t>
      </w:r>
    </w:p>
    <w:p w14:paraId="65E745C3">
      <w:pPr>
        <w:rPr>
          <w:color w:val="auto"/>
          <w:kern w:val="0"/>
          <w:highlight w:val="none"/>
        </w:rPr>
      </w:pPr>
      <w:r>
        <w:rPr>
          <w:rFonts w:hint="eastAsia"/>
          <w:color w:val="auto"/>
          <w:kern w:val="0"/>
          <w:highlight w:val="none"/>
        </w:rPr>
        <w:t>详见评分标准</w:t>
      </w:r>
    </w:p>
    <w:p w14:paraId="5FB4F9C7">
      <w:pPr>
        <w:rPr>
          <w:color w:val="auto"/>
          <w:kern w:val="0"/>
          <w:highlight w:val="none"/>
        </w:rPr>
      </w:pPr>
      <w:r>
        <w:rPr>
          <w:rFonts w:hint="eastAsia"/>
          <w:color w:val="auto"/>
          <w:kern w:val="0"/>
          <w:highlight w:val="none"/>
        </w:rPr>
        <w:t>项目评审过程中，不得去掉最后报价中的最高报价和最低报价。</w:t>
      </w:r>
    </w:p>
    <w:p w14:paraId="61FA2122">
      <w:pPr>
        <w:rPr>
          <w:color w:val="auto"/>
          <w:kern w:val="0"/>
          <w:highlight w:val="none"/>
        </w:rPr>
      </w:pPr>
      <w:r>
        <w:rPr>
          <w:rFonts w:hint="eastAsia"/>
          <w:color w:val="auto"/>
          <w:kern w:val="0"/>
          <w:highlight w:val="none"/>
        </w:rPr>
        <w:t>31.5涉及政府采购政策优惠对供应商分值进行调整的，按磋商须知前附表规定调整供应商的技术、商务、价格得分或总得分。</w:t>
      </w:r>
    </w:p>
    <w:p w14:paraId="3008F7C9">
      <w:pPr>
        <w:rPr>
          <w:color w:val="auto"/>
          <w:kern w:val="0"/>
          <w:highlight w:val="none"/>
        </w:rPr>
      </w:pPr>
      <w:r>
        <w:rPr>
          <w:rFonts w:hint="eastAsia"/>
          <w:color w:val="auto"/>
          <w:kern w:val="0"/>
          <w:highlight w:val="none"/>
        </w:rPr>
        <w:t>31.6涉及多处或部分获得政府采购政策优惠的，其多处或部分享受政府采购优惠政策的计算方法见磋商须知前附表相关规定。</w:t>
      </w:r>
    </w:p>
    <w:p w14:paraId="41CFF068">
      <w:pPr>
        <w:rPr>
          <w:color w:val="auto"/>
          <w:kern w:val="0"/>
          <w:highlight w:val="none"/>
        </w:rPr>
      </w:pPr>
      <w:r>
        <w:rPr>
          <w:rFonts w:hint="eastAsia"/>
          <w:color w:val="auto"/>
          <w:kern w:val="0"/>
          <w:highlight w:val="none"/>
        </w:rPr>
        <w:t>31.7评审时，磋商小组各成员应当独立对每个供应商的响应文件进行评价、评分，并按照政府采购优惠政策对最后报价进行价格扣除和技术、商务、价格加分后，汇总各供应商的总得分。</w:t>
      </w:r>
    </w:p>
    <w:p w14:paraId="5A16A08A">
      <w:pPr>
        <w:rPr>
          <w:rFonts w:hint="eastAsia"/>
          <w:color w:val="auto"/>
          <w:kern w:val="0"/>
          <w:highlight w:val="none"/>
        </w:rPr>
      </w:pPr>
      <w:r>
        <w:rPr>
          <w:rFonts w:hint="eastAsia"/>
          <w:color w:val="auto"/>
          <w:kern w:val="0"/>
          <w:highlight w:val="none"/>
        </w:rPr>
        <w:t>32.提出成交供应商</w:t>
      </w:r>
    </w:p>
    <w:p w14:paraId="01704431">
      <w:pPr>
        <w:rPr>
          <w:rFonts w:hint="eastAsia"/>
          <w:color w:val="auto"/>
          <w:kern w:val="0"/>
          <w:highlight w:val="none"/>
        </w:rPr>
      </w:pPr>
      <w:r>
        <w:rPr>
          <w:rFonts w:hint="eastAsia"/>
          <w:color w:val="auto"/>
          <w:kern w:val="0"/>
          <w:highlight w:val="none"/>
          <w:lang w:val="en-US" w:eastAsia="zh-CN"/>
        </w:rPr>
        <w:t>3</w:t>
      </w:r>
      <w:r>
        <w:rPr>
          <w:rFonts w:hint="default"/>
          <w:color w:val="auto"/>
          <w:kern w:val="0"/>
          <w:highlight w:val="none"/>
          <w:lang w:val="en-US" w:eastAsia="zh-CN"/>
        </w:rPr>
        <w:t xml:space="preserve">2.1 </w:t>
      </w:r>
      <w:r>
        <w:rPr>
          <w:rFonts w:hint="default"/>
          <w:color w:val="auto"/>
          <w:kern w:val="0"/>
          <w:highlight w:val="none"/>
        </w:rPr>
        <w:t>竞争性磋商采购过程中提交</w:t>
      </w:r>
      <w:r>
        <w:rPr>
          <w:rFonts w:hint="default"/>
          <w:color w:val="auto"/>
          <w:kern w:val="0"/>
          <w:highlight w:val="none"/>
          <w:lang w:val="en-US" w:eastAsia="zh-CN"/>
        </w:rPr>
        <w:t>响应</w:t>
      </w:r>
      <w:r>
        <w:rPr>
          <w:rFonts w:hint="default"/>
          <w:color w:val="auto"/>
          <w:kern w:val="0"/>
          <w:highlight w:val="none"/>
        </w:rPr>
        <w:t>文件或者经评审实质性响应文件要求的供应商只有两家时，</w:t>
      </w:r>
      <w:r>
        <w:rPr>
          <w:rFonts w:hint="default"/>
          <w:color w:val="auto"/>
          <w:kern w:val="0"/>
          <w:highlight w:val="none"/>
          <w:lang w:val="en-US" w:eastAsia="zh-CN"/>
        </w:rPr>
        <w:t>经评委一致同意，</w:t>
      </w:r>
      <w:r>
        <w:rPr>
          <w:rFonts w:hint="default"/>
          <w:color w:val="auto"/>
          <w:kern w:val="0"/>
          <w:highlight w:val="none"/>
        </w:rPr>
        <w:t>竞争性磋商</w:t>
      </w:r>
      <w:r>
        <w:rPr>
          <w:rFonts w:hint="default"/>
          <w:color w:val="auto"/>
          <w:kern w:val="0"/>
          <w:highlight w:val="none"/>
          <w:lang w:val="en-US" w:eastAsia="zh-CN"/>
        </w:rPr>
        <w:t>活动可以继续进行；采购</w:t>
      </w:r>
      <w:r>
        <w:rPr>
          <w:rFonts w:hint="default"/>
          <w:color w:val="auto"/>
          <w:kern w:val="0"/>
          <w:highlight w:val="none"/>
        </w:rPr>
        <w:t>过程中提交</w:t>
      </w:r>
      <w:r>
        <w:rPr>
          <w:rFonts w:hint="default"/>
          <w:color w:val="auto"/>
          <w:kern w:val="0"/>
          <w:highlight w:val="none"/>
          <w:lang w:val="en-US" w:eastAsia="zh-CN"/>
        </w:rPr>
        <w:t>响应</w:t>
      </w:r>
      <w:r>
        <w:rPr>
          <w:rFonts w:hint="default"/>
          <w:color w:val="auto"/>
          <w:kern w:val="0"/>
          <w:highlight w:val="none"/>
        </w:rPr>
        <w:t>文件或者经评审实质性响应文件要求的供应商只有</w:t>
      </w:r>
      <w:r>
        <w:rPr>
          <w:rFonts w:hint="default"/>
          <w:color w:val="auto"/>
          <w:kern w:val="0"/>
          <w:highlight w:val="none"/>
          <w:lang w:val="en-US" w:eastAsia="zh-CN"/>
        </w:rPr>
        <w:t>一</w:t>
      </w:r>
      <w:r>
        <w:rPr>
          <w:rFonts w:hint="default"/>
          <w:color w:val="auto"/>
          <w:kern w:val="0"/>
          <w:highlight w:val="none"/>
        </w:rPr>
        <w:t>家时，应当终止采购活动，发布项目终止公告并说明原因，重新开展采购活动。</w:t>
      </w:r>
    </w:p>
    <w:p w14:paraId="69E80A5B">
      <w:pPr>
        <w:rPr>
          <w:rFonts w:hint="eastAsia"/>
          <w:color w:val="auto"/>
          <w:kern w:val="0"/>
          <w:highlight w:val="none"/>
        </w:rPr>
      </w:pPr>
      <w:r>
        <w:rPr>
          <w:rFonts w:hint="eastAsia"/>
          <w:color w:val="auto"/>
          <w:kern w:val="0"/>
          <w:highlight w:val="none"/>
        </w:rPr>
        <w:t>32.1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r>
        <w:rPr>
          <w:rFonts w:hint="eastAsia"/>
          <w:color w:val="auto"/>
          <w:kern w:val="0"/>
          <w:highlight w:val="none"/>
          <w:lang w:val="en-US" w:eastAsia="zh-CN"/>
        </w:rPr>
        <w:t>除磋商小组一致同意外</w:t>
      </w:r>
      <w:r>
        <w:rPr>
          <w:rFonts w:hint="eastAsia"/>
          <w:color w:val="auto"/>
          <w:kern w:val="0"/>
          <w:highlight w:val="none"/>
        </w:rPr>
        <w:t>，可以推荐2家成交候选供应商。</w:t>
      </w:r>
    </w:p>
    <w:p w14:paraId="38CEBAE7">
      <w:pPr>
        <w:rPr>
          <w:color w:val="auto"/>
          <w:highlight w:val="none"/>
        </w:rPr>
      </w:pPr>
      <w:r>
        <w:rPr>
          <w:rFonts w:hint="eastAsia"/>
          <w:color w:val="auto"/>
          <w:highlight w:val="none"/>
        </w:rPr>
        <w:t>33.确定成交供应商</w:t>
      </w:r>
    </w:p>
    <w:p w14:paraId="644D7367">
      <w:pPr>
        <w:rPr>
          <w:color w:val="auto"/>
          <w:kern w:val="0"/>
          <w:highlight w:val="none"/>
        </w:rPr>
      </w:pPr>
      <w:r>
        <w:rPr>
          <w:rFonts w:hint="eastAsia"/>
          <w:color w:val="auto"/>
          <w:kern w:val="0"/>
          <w:highlight w:val="none"/>
        </w:rPr>
        <w:t>33.1采购代理机构应当在评审结束后2个工作日内将评审报告送采购人确认。</w:t>
      </w:r>
    </w:p>
    <w:p w14:paraId="4FFC1208">
      <w:pPr>
        <w:rPr>
          <w:color w:val="auto"/>
          <w:kern w:val="0"/>
          <w:highlight w:val="none"/>
        </w:rPr>
      </w:pPr>
      <w:r>
        <w:rPr>
          <w:rFonts w:hint="eastAsia"/>
          <w:color w:val="auto"/>
          <w:kern w:val="0"/>
          <w:highlight w:val="none"/>
        </w:rPr>
        <w:t>33.2采购人应当在收到评审报告后5个工作日内，从评审报告提出的成交候选供应商中，按照排序由高到低的原则确定成交供应商，也可以书面授权磋商小组直接确定成交供应商。</w:t>
      </w:r>
    </w:p>
    <w:p w14:paraId="3915E7F4">
      <w:pPr>
        <w:pStyle w:val="24"/>
        <w:rPr>
          <w:color w:val="auto"/>
          <w:highlight w:val="none"/>
        </w:rPr>
      </w:pPr>
      <w:r>
        <w:rPr>
          <w:rFonts w:hint="eastAsia"/>
          <w:color w:val="auto"/>
          <w:highlight w:val="none"/>
        </w:rPr>
        <w:t>34.磋商终止</w:t>
      </w:r>
    </w:p>
    <w:p w14:paraId="1F77FC1D">
      <w:pPr>
        <w:rPr>
          <w:color w:val="auto"/>
          <w:kern w:val="0"/>
          <w:sz w:val="21"/>
          <w:szCs w:val="21"/>
          <w:highlight w:val="none"/>
        </w:rPr>
      </w:pPr>
      <w:r>
        <w:rPr>
          <w:rFonts w:hint="eastAsia"/>
          <w:bCs/>
          <w:color w:val="auto"/>
          <w:highlight w:val="none"/>
        </w:rPr>
        <w:t>34.</w:t>
      </w:r>
      <w:r>
        <w:rPr>
          <w:rFonts w:hint="eastAsia"/>
          <w:bCs/>
          <w:color w:val="auto"/>
          <w:sz w:val="21"/>
          <w:szCs w:val="21"/>
          <w:highlight w:val="none"/>
        </w:rPr>
        <w:t>1</w:t>
      </w:r>
      <w:r>
        <w:rPr>
          <w:rFonts w:hint="eastAsia"/>
          <w:color w:val="auto"/>
          <w:kern w:val="0"/>
          <w:sz w:val="21"/>
          <w:szCs w:val="21"/>
          <w:highlight w:val="none"/>
        </w:rPr>
        <w:t>出现下列情形之一的，采购人或者采购代理机构应当终止竞争性磋商采购活动，</w:t>
      </w:r>
      <w:r>
        <w:rPr>
          <w:rFonts w:hint="eastAsia"/>
          <w:color w:val="auto"/>
          <w:sz w:val="21"/>
          <w:szCs w:val="21"/>
          <w:highlight w:val="none"/>
        </w:rPr>
        <w:t>在本章第37.1款指定的媒体上</w:t>
      </w:r>
      <w:r>
        <w:rPr>
          <w:rFonts w:hint="eastAsia"/>
          <w:color w:val="auto"/>
          <w:kern w:val="0"/>
          <w:sz w:val="21"/>
          <w:szCs w:val="21"/>
          <w:highlight w:val="none"/>
        </w:rPr>
        <w:t xml:space="preserve">发布项目终止公告并说明原因，重新开展采购活动： </w:t>
      </w:r>
    </w:p>
    <w:p w14:paraId="13679DB9">
      <w:pPr>
        <w:rPr>
          <w:color w:val="auto"/>
          <w:kern w:val="0"/>
          <w:sz w:val="21"/>
          <w:szCs w:val="21"/>
          <w:highlight w:val="none"/>
        </w:rPr>
      </w:pPr>
      <w:r>
        <w:rPr>
          <w:rFonts w:hint="eastAsia"/>
          <w:color w:val="auto"/>
          <w:kern w:val="0"/>
          <w:sz w:val="21"/>
          <w:szCs w:val="21"/>
          <w:highlight w:val="none"/>
        </w:rPr>
        <w:t>（1）因情况变化，不再符合规定的竞争性磋商采购方式适用情形的；</w:t>
      </w:r>
    </w:p>
    <w:p w14:paraId="0EAEA511">
      <w:pPr>
        <w:rPr>
          <w:color w:val="auto"/>
          <w:kern w:val="0"/>
          <w:sz w:val="21"/>
          <w:szCs w:val="21"/>
          <w:highlight w:val="none"/>
        </w:rPr>
      </w:pPr>
      <w:r>
        <w:rPr>
          <w:rFonts w:hint="eastAsia"/>
          <w:color w:val="auto"/>
          <w:kern w:val="0"/>
          <w:sz w:val="21"/>
          <w:szCs w:val="21"/>
          <w:highlight w:val="none"/>
        </w:rPr>
        <w:t>（2）出现影响采购公正的违法、违规行为的；</w:t>
      </w:r>
    </w:p>
    <w:p w14:paraId="12504BC8">
      <w:pPr>
        <w:rPr>
          <w:rFonts w:hint="eastAsia"/>
          <w:bCs/>
          <w:color w:val="auto"/>
          <w:sz w:val="21"/>
          <w:szCs w:val="21"/>
          <w:highlight w:val="none"/>
        </w:rPr>
      </w:pPr>
      <w:r>
        <w:rPr>
          <w:rFonts w:hint="eastAsia"/>
          <w:color w:val="auto"/>
          <w:kern w:val="0"/>
          <w:sz w:val="21"/>
          <w:szCs w:val="21"/>
          <w:highlight w:val="none"/>
        </w:rPr>
        <w:t>（3）</w:t>
      </w:r>
      <w:r>
        <w:rPr>
          <w:rFonts w:hint="eastAsia"/>
          <w:bCs/>
          <w:color w:val="auto"/>
          <w:sz w:val="21"/>
          <w:szCs w:val="21"/>
          <w:highlight w:val="none"/>
        </w:rPr>
        <w:t>除</w:t>
      </w:r>
      <w:r>
        <w:rPr>
          <w:rFonts w:hint="eastAsia"/>
          <w:color w:val="auto"/>
          <w:kern w:val="0"/>
          <w:szCs w:val="21"/>
          <w:highlight w:val="none"/>
        </w:rPr>
        <w:t>磋商小组</w:t>
      </w:r>
      <w:r>
        <w:rPr>
          <w:rFonts w:hint="eastAsia"/>
          <w:bCs w:val="0"/>
          <w:color w:val="auto"/>
          <w:kern w:val="0"/>
          <w:sz w:val="21"/>
          <w:szCs w:val="21"/>
          <w:highlight w:val="none"/>
          <w:lang w:val="en-US" w:eastAsia="zh-CN"/>
        </w:rPr>
        <w:t>一致同意</w:t>
      </w:r>
      <w:r>
        <w:rPr>
          <w:rFonts w:hint="eastAsia" w:ascii="宋体" w:hAnsi="宋体" w:eastAsia="宋体" w:cs="宋体"/>
          <w:color w:val="auto"/>
          <w:kern w:val="0"/>
          <w:sz w:val="21"/>
          <w:szCs w:val="21"/>
          <w:highlight w:val="none"/>
        </w:rPr>
        <w:t>竞争性磋商</w:t>
      </w:r>
      <w:r>
        <w:rPr>
          <w:rFonts w:hint="eastAsia" w:ascii="宋体" w:hAnsi="宋体" w:eastAsia="宋体" w:cs="宋体"/>
          <w:color w:val="auto"/>
          <w:kern w:val="0"/>
          <w:sz w:val="21"/>
          <w:szCs w:val="21"/>
          <w:highlight w:val="none"/>
          <w:lang w:val="en-US" w:eastAsia="zh-CN"/>
        </w:rPr>
        <w:t>活动可以继续进行</w:t>
      </w:r>
      <w:r>
        <w:rPr>
          <w:rFonts w:hint="eastAsia"/>
          <w:bCs w:val="0"/>
          <w:color w:val="auto"/>
          <w:kern w:val="0"/>
          <w:sz w:val="21"/>
          <w:szCs w:val="21"/>
          <w:highlight w:val="none"/>
        </w:rPr>
        <w:t>外</w:t>
      </w:r>
      <w:r>
        <w:rPr>
          <w:rFonts w:hint="eastAsia"/>
          <w:bCs/>
          <w:color w:val="auto"/>
          <w:sz w:val="21"/>
          <w:szCs w:val="21"/>
          <w:highlight w:val="none"/>
        </w:rPr>
        <w:t>，在采购过程中符合要求的供应商或者报价未超过采购预算的供应商不足3家的；</w:t>
      </w:r>
    </w:p>
    <w:p w14:paraId="5387D3B4">
      <w:pPr>
        <w:rPr>
          <w:bCs/>
          <w:color w:val="auto"/>
          <w:sz w:val="21"/>
          <w:szCs w:val="21"/>
          <w:highlight w:val="none"/>
        </w:rPr>
      </w:pPr>
      <w:r>
        <w:rPr>
          <w:rFonts w:hint="eastAsia"/>
          <w:color w:val="auto"/>
          <w:kern w:val="0"/>
          <w:sz w:val="21"/>
          <w:szCs w:val="21"/>
          <w:highlight w:val="none"/>
        </w:rPr>
        <w:t>（4）因重大变故，采购任务取消的。</w:t>
      </w:r>
    </w:p>
    <w:p w14:paraId="6CCD101E">
      <w:pPr>
        <w:rPr>
          <w:color w:val="auto"/>
          <w:kern w:val="0"/>
          <w:sz w:val="21"/>
          <w:szCs w:val="21"/>
          <w:highlight w:val="none"/>
        </w:rPr>
      </w:pPr>
      <w:r>
        <w:rPr>
          <w:rFonts w:hint="eastAsia"/>
          <w:color w:val="auto"/>
          <w:kern w:val="0"/>
          <w:sz w:val="21"/>
          <w:szCs w:val="21"/>
          <w:highlight w:val="none"/>
        </w:rPr>
        <w:t>35．重新评审</w:t>
      </w:r>
    </w:p>
    <w:p w14:paraId="7262D7A8">
      <w:pPr>
        <w:rPr>
          <w:color w:val="auto"/>
          <w:kern w:val="0"/>
          <w:sz w:val="21"/>
          <w:szCs w:val="21"/>
          <w:highlight w:val="none"/>
        </w:rPr>
      </w:pPr>
      <w:r>
        <w:rPr>
          <w:rFonts w:hint="eastAsia"/>
          <w:color w:val="auto"/>
          <w:kern w:val="0"/>
          <w:sz w:val="21"/>
          <w:szCs w:val="21"/>
          <w:highlight w:val="none"/>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76DDC6D9">
      <w:pPr>
        <w:rPr>
          <w:color w:val="auto"/>
          <w:sz w:val="21"/>
          <w:szCs w:val="21"/>
          <w:highlight w:val="none"/>
        </w:rPr>
      </w:pPr>
      <w:r>
        <w:rPr>
          <w:rFonts w:hint="eastAsia"/>
          <w:color w:val="auto"/>
          <w:sz w:val="21"/>
          <w:szCs w:val="21"/>
          <w:highlight w:val="none"/>
        </w:rPr>
        <w:t>36.保密及串通行为</w:t>
      </w:r>
    </w:p>
    <w:p w14:paraId="27A4E7B4">
      <w:pPr>
        <w:rPr>
          <w:color w:val="auto"/>
          <w:sz w:val="21"/>
          <w:szCs w:val="21"/>
          <w:highlight w:val="none"/>
        </w:rPr>
      </w:pPr>
      <w:r>
        <w:rPr>
          <w:rFonts w:hint="eastAsia"/>
          <w:color w:val="auto"/>
          <w:sz w:val="21"/>
          <w:szCs w:val="21"/>
          <w:highlight w:val="none"/>
        </w:rPr>
        <w:t>36.1磋商小组成员以及与评审工作有关的人员不得泄露评审情况以及评审过程中获悉的国家秘密、商业秘密。</w:t>
      </w:r>
    </w:p>
    <w:p w14:paraId="39C8A703">
      <w:pPr>
        <w:rPr>
          <w:color w:val="auto"/>
          <w:sz w:val="21"/>
          <w:szCs w:val="21"/>
          <w:highlight w:val="none"/>
        </w:rPr>
      </w:pPr>
      <w:r>
        <w:rPr>
          <w:rFonts w:hint="eastAsia"/>
          <w:color w:val="auto"/>
          <w:sz w:val="21"/>
          <w:szCs w:val="21"/>
          <w:highlight w:val="none"/>
        </w:rPr>
        <w:t>36.2</w:t>
      </w:r>
      <w:r>
        <w:rPr>
          <w:rFonts w:hint="eastAsia"/>
          <w:color w:val="auto"/>
          <w:kern w:val="0"/>
          <w:sz w:val="21"/>
          <w:szCs w:val="21"/>
          <w:highlight w:val="none"/>
        </w:rPr>
        <w:t>供应商</w:t>
      </w:r>
      <w:r>
        <w:rPr>
          <w:rFonts w:hint="eastAsia"/>
          <w:color w:val="auto"/>
          <w:sz w:val="21"/>
          <w:szCs w:val="21"/>
          <w:highlight w:val="none"/>
        </w:rPr>
        <w:t>不得与</w:t>
      </w:r>
      <w:r>
        <w:rPr>
          <w:rFonts w:hint="eastAsia"/>
          <w:color w:val="auto"/>
          <w:kern w:val="0"/>
          <w:sz w:val="21"/>
          <w:szCs w:val="21"/>
          <w:highlight w:val="none"/>
        </w:rPr>
        <w:t>采购人、采购代理机构、其它供应商恶意</w:t>
      </w:r>
      <w:r>
        <w:rPr>
          <w:rFonts w:hint="eastAsia"/>
          <w:color w:val="auto"/>
          <w:sz w:val="21"/>
          <w:szCs w:val="21"/>
          <w:highlight w:val="none"/>
        </w:rPr>
        <w:t>串通；不得向</w:t>
      </w:r>
      <w:r>
        <w:rPr>
          <w:rFonts w:hint="eastAsia"/>
          <w:color w:val="auto"/>
          <w:kern w:val="0"/>
          <w:sz w:val="21"/>
          <w:szCs w:val="21"/>
          <w:highlight w:val="none"/>
        </w:rPr>
        <w:t>采购人、采购代理机构</w:t>
      </w:r>
      <w:r>
        <w:rPr>
          <w:rFonts w:hint="eastAsia"/>
          <w:color w:val="auto"/>
          <w:sz w:val="21"/>
          <w:szCs w:val="21"/>
          <w:highlight w:val="none"/>
        </w:rPr>
        <w:t>或者磋商小组成员行贿或者提供其它不正当利益；不得提供虚假资料谋取成交；不得以任何方式干扰、影响采购工作。</w:t>
      </w:r>
    </w:p>
    <w:p w14:paraId="1B54E1B0">
      <w:pPr>
        <w:rPr>
          <w:color w:val="auto"/>
          <w:sz w:val="21"/>
          <w:szCs w:val="21"/>
          <w:highlight w:val="none"/>
          <w:lang w:val="zh-CN"/>
        </w:rPr>
      </w:pPr>
      <w:r>
        <w:rPr>
          <w:rFonts w:hint="eastAsia"/>
          <w:color w:val="auto"/>
          <w:sz w:val="21"/>
          <w:szCs w:val="21"/>
          <w:highlight w:val="none"/>
        </w:rPr>
        <w:t>36.3</w:t>
      </w:r>
      <w:r>
        <w:rPr>
          <w:rFonts w:hint="eastAsia"/>
          <w:color w:val="auto"/>
          <w:sz w:val="21"/>
          <w:szCs w:val="21"/>
          <w:highlight w:val="none"/>
          <w:lang w:val="zh-CN"/>
        </w:rPr>
        <w:t>有下列情形之一的，属于恶意串通，对供应商依照政府采购法第七十七条第一款的规定追究法律责任：</w:t>
      </w:r>
    </w:p>
    <w:p w14:paraId="026FA293">
      <w:pPr>
        <w:rPr>
          <w:color w:val="auto"/>
          <w:sz w:val="21"/>
          <w:szCs w:val="21"/>
          <w:highlight w:val="none"/>
          <w:lang w:val="zh-CN"/>
        </w:rPr>
      </w:pPr>
      <w:r>
        <w:rPr>
          <w:rFonts w:hint="eastAsia"/>
          <w:color w:val="auto"/>
          <w:sz w:val="21"/>
          <w:szCs w:val="21"/>
          <w:highlight w:val="none"/>
          <w:lang w:val="zh-CN"/>
        </w:rPr>
        <w:t>（一）供应商直接或者间接从采购人或者采购代理机构处获得其它供应商的相关情况并修改其投标文件或者响应文件；</w:t>
      </w:r>
    </w:p>
    <w:p w14:paraId="0C15FAA7">
      <w:pPr>
        <w:rPr>
          <w:color w:val="auto"/>
          <w:sz w:val="21"/>
          <w:szCs w:val="21"/>
          <w:highlight w:val="none"/>
          <w:lang w:val="zh-CN"/>
        </w:rPr>
      </w:pPr>
      <w:r>
        <w:rPr>
          <w:rFonts w:hint="eastAsia"/>
          <w:color w:val="auto"/>
          <w:sz w:val="21"/>
          <w:szCs w:val="21"/>
          <w:highlight w:val="none"/>
          <w:lang w:val="zh-CN"/>
        </w:rPr>
        <w:t>（二）供应商按照采购人或者采购代理机构的授意撤换、修改投标文件或者响应文件；</w:t>
      </w:r>
    </w:p>
    <w:p w14:paraId="13063D94">
      <w:pPr>
        <w:rPr>
          <w:color w:val="auto"/>
          <w:sz w:val="21"/>
          <w:szCs w:val="21"/>
          <w:highlight w:val="none"/>
          <w:lang w:val="zh-CN"/>
        </w:rPr>
      </w:pPr>
      <w:r>
        <w:rPr>
          <w:rFonts w:hint="eastAsia"/>
          <w:color w:val="auto"/>
          <w:sz w:val="21"/>
          <w:szCs w:val="21"/>
          <w:highlight w:val="none"/>
          <w:lang w:val="zh-CN"/>
        </w:rPr>
        <w:t>（三）供应商之间协商报价、技术方案等投标文件或者响应文件的实质性内容；</w:t>
      </w:r>
    </w:p>
    <w:p w14:paraId="6C87724C">
      <w:pPr>
        <w:rPr>
          <w:color w:val="auto"/>
          <w:sz w:val="21"/>
          <w:szCs w:val="21"/>
          <w:highlight w:val="none"/>
          <w:lang w:val="zh-CN"/>
        </w:rPr>
      </w:pPr>
      <w:r>
        <w:rPr>
          <w:rFonts w:hint="eastAsia"/>
          <w:color w:val="auto"/>
          <w:sz w:val="21"/>
          <w:szCs w:val="21"/>
          <w:highlight w:val="none"/>
          <w:lang w:val="zh-CN"/>
        </w:rPr>
        <w:t>（四）属于同一集团、协会、商会等组织成员的供应商按照该组织要求协同参加采购活动；</w:t>
      </w:r>
    </w:p>
    <w:p w14:paraId="5FBDEBFE">
      <w:pPr>
        <w:rPr>
          <w:color w:val="auto"/>
          <w:sz w:val="21"/>
          <w:szCs w:val="21"/>
          <w:highlight w:val="none"/>
          <w:lang w:val="zh-CN"/>
        </w:rPr>
      </w:pPr>
      <w:r>
        <w:rPr>
          <w:rFonts w:hint="eastAsia"/>
          <w:color w:val="auto"/>
          <w:sz w:val="21"/>
          <w:szCs w:val="21"/>
          <w:highlight w:val="none"/>
          <w:lang w:val="zh-CN"/>
        </w:rPr>
        <w:t>（五）供应商之间事先约定由某一特定供应商中标、成交；</w:t>
      </w:r>
    </w:p>
    <w:p w14:paraId="4B28244C">
      <w:pPr>
        <w:rPr>
          <w:color w:val="auto"/>
          <w:sz w:val="21"/>
          <w:szCs w:val="21"/>
          <w:highlight w:val="none"/>
          <w:lang w:val="zh-CN"/>
        </w:rPr>
      </w:pPr>
      <w:r>
        <w:rPr>
          <w:rFonts w:hint="eastAsia"/>
          <w:color w:val="auto"/>
          <w:sz w:val="21"/>
          <w:szCs w:val="21"/>
          <w:highlight w:val="none"/>
          <w:lang w:val="zh-CN"/>
        </w:rPr>
        <w:t>（六）供应商之间商定部分供应商放弃参加采购活动或者放弃中标、成交；</w:t>
      </w:r>
    </w:p>
    <w:p w14:paraId="170882D5">
      <w:pPr>
        <w:rPr>
          <w:color w:val="auto"/>
          <w:sz w:val="21"/>
          <w:szCs w:val="21"/>
          <w:highlight w:val="none"/>
          <w:lang w:val="zh-CN"/>
        </w:rPr>
      </w:pPr>
      <w:r>
        <w:rPr>
          <w:rFonts w:hint="eastAsia"/>
          <w:color w:val="auto"/>
          <w:sz w:val="21"/>
          <w:szCs w:val="21"/>
          <w:highlight w:val="none"/>
          <w:lang w:val="zh-CN"/>
        </w:rPr>
        <w:t>（七）供应商与采购人或者采购代理机构之间、供应商相互之间，为谋求特定供应商中标、成交或者排斥其它供应商的其它串通行为。</w:t>
      </w:r>
    </w:p>
    <w:p w14:paraId="304EB6EB">
      <w:pPr>
        <w:rPr>
          <w:color w:val="auto"/>
          <w:sz w:val="21"/>
          <w:szCs w:val="21"/>
          <w:highlight w:val="none"/>
        </w:rPr>
      </w:pPr>
      <w:r>
        <w:rPr>
          <w:rFonts w:hint="eastAsia"/>
          <w:color w:val="auto"/>
          <w:sz w:val="21"/>
          <w:szCs w:val="21"/>
          <w:highlight w:val="none"/>
        </w:rPr>
        <w:t>六、成交结果信息公布与授予合同</w:t>
      </w:r>
    </w:p>
    <w:p w14:paraId="3F0103FB">
      <w:pPr>
        <w:rPr>
          <w:rFonts w:hint="eastAsia"/>
          <w:color w:val="auto"/>
          <w:sz w:val="21"/>
          <w:szCs w:val="21"/>
          <w:highlight w:val="none"/>
          <w:lang w:val="zh-CN" w:eastAsia="zh-CN"/>
        </w:rPr>
      </w:pPr>
      <w:r>
        <w:rPr>
          <w:rFonts w:hint="eastAsia"/>
          <w:color w:val="auto"/>
          <w:sz w:val="21"/>
          <w:szCs w:val="21"/>
          <w:highlight w:val="none"/>
          <w:lang w:val="zh-CN" w:eastAsia="zh-CN"/>
        </w:rPr>
        <w:t>37.成交信息的公布</w:t>
      </w:r>
    </w:p>
    <w:p w14:paraId="46823DAF">
      <w:pPr>
        <w:rPr>
          <w:rFonts w:hint="eastAsia"/>
          <w:color w:val="auto"/>
          <w:sz w:val="21"/>
          <w:szCs w:val="21"/>
          <w:highlight w:val="none"/>
          <w:lang w:val="zh-CN" w:eastAsia="zh-CN"/>
        </w:rPr>
      </w:pPr>
      <w:r>
        <w:rPr>
          <w:rFonts w:hint="eastAsia"/>
          <w:color w:val="auto"/>
          <w:sz w:val="21"/>
          <w:szCs w:val="21"/>
          <w:highlight w:val="none"/>
          <w:lang w:val="zh-CN" w:eastAsia="zh-CN"/>
        </w:rPr>
        <w:t>37.1成交供应商确定后2个工作日内，成交结果信息将在磋商须知前附表指定的媒体上公布。</w:t>
      </w:r>
    </w:p>
    <w:p w14:paraId="59146F8F">
      <w:pPr>
        <w:rPr>
          <w:rFonts w:hint="eastAsia"/>
          <w:color w:val="auto"/>
          <w:sz w:val="21"/>
          <w:szCs w:val="21"/>
          <w:highlight w:val="none"/>
          <w:lang w:val="zh-CN" w:eastAsia="zh-CN"/>
        </w:rPr>
      </w:pPr>
      <w:r>
        <w:rPr>
          <w:rFonts w:hint="eastAsia"/>
          <w:color w:val="auto"/>
          <w:sz w:val="21"/>
          <w:szCs w:val="21"/>
          <w:highlight w:val="none"/>
          <w:lang w:val="zh-CN" w:eastAsia="zh-CN"/>
        </w:rPr>
        <w:t>38.询问及质疑</w:t>
      </w:r>
    </w:p>
    <w:p w14:paraId="449B4737">
      <w:pPr>
        <w:rPr>
          <w:rFonts w:hint="eastAsia"/>
          <w:color w:val="auto"/>
          <w:sz w:val="21"/>
          <w:szCs w:val="21"/>
          <w:highlight w:val="none"/>
          <w:lang w:val="zh-CN" w:eastAsia="zh-CN"/>
        </w:rPr>
      </w:pPr>
      <w:r>
        <w:rPr>
          <w:rFonts w:hint="eastAsia"/>
          <w:color w:val="auto"/>
          <w:sz w:val="21"/>
          <w:szCs w:val="21"/>
          <w:highlight w:val="none"/>
          <w:lang w:val="zh-CN" w:eastAsia="zh-CN"/>
        </w:rPr>
        <w:t>38.1供应商对采购活动事项有疑问的，可以向采购人或采购代理机构提出询问。</w:t>
      </w:r>
    </w:p>
    <w:p w14:paraId="40B12103">
      <w:pPr>
        <w:rPr>
          <w:rFonts w:hint="eastAsia"/>
          <w:color w:val="auto"/>
          <w:sz w:val="21"/>
          <w:szCs w:val="21"/>
          <w:highlight w:val="none"/>
          <w:lang w:val="zh-CN" w:eastAsia="zh-CN"/>
        </w:rPr>
      </w:pPr>
      <w:r>
        <w:rPr>
          <w:rFonts w:hint="eastAsia"/>
          <w:color w:val="auto"/>
          <w:sz w:val="21"/>
          <w:szCs w:val="21"/>
          <w:highlight w:val="none"/>
          <w:lang w:val="zh-CN" w:eastAsia="zh-CN"/>
        </w:rPr>
        <w:t>38.2供应商若认为磋商文件、采购过程和成交结果使自己的权益受到损害，可以按法律、行政法规及湖南省财政厅规范性文件规定向采购人或采购代理机构提出质疑。</w:t>
      </w:r>
    </w:p>
    <w:p w14:paraId="36508602">
      <w:pPr>
        <w:rPr>
          <w:rFonts w:hint="eastAsia"/>
          <w:color w:val="auto"/>
          <w:sz w:val="21"/>
          <w:szCs w:val="21"/>
          <w:highlight w:val="none"/>
          <w:lang w:val="zh-CN" w:eastAsia="zh-CN"/>
        </w:rPr>
      </w:pPr>
      <w:r>
        <w:rPr>
          <w:rFonts w:hint="eastAsia"/>
          <w:color w:val="auto"/>
          <w:sz w:val="21"/>
          <w:szCs w:val="21"/>
          <w:highlight w:val="none"/>
          <w:lang w:val="zh-CN" w:eastAsia="zh-CN"/>
        </w:rPr>
        <w:t>39.成交通知</w:t>
      </w:r>
    </w:p>
    <w:p w14:paraId="71B6E9E3">
      <w:pPr>
        <w:rPr>
          <w:rFonts w:hint="eastAsia"/>
          <w:color w:val="auto"/>
          <w:sz w:val="21"/>
          <w:szCs w:val="21"/>
          <w:highlight w:val="none"/>
          <w:lang w:val="zh-CN" w:eastAsia="zh-CN"/>
        </w:rPr>
      </w:pPr>
      <w:r>
        <w:rPr>
          <w:rFonts w:hint="eastAsia"/>
          <w:color w:val="auto"/>
          <w:sz w:val="21"/>
          <w:szCs w:val="21"/>
          <w:highlight w:val="none"/>
          <w:lang w:val="zh-CN" w:eastAsia="zh-CN"/>
        </w:rPr>
        <w:t>39.1成交供应商确定后，采购人或采购代理机构将以书面形式向成交供应商发出成交通知书。成交通知书对采购人和成交供应商具有同等法律效力。</w:t>
      </w:r>
    </w:p>
    <w:p w14:paraId="66E6FC59">
      <w:pPr>
        <w:rPr>
          <w:rFonts w:hint="eastAsia"/>
          <w:color w:val="auto"/>
          <w:sz w:val="21"/>
          <w:szCs w:val="21"/>
          <w:highlight w:val="none"/>
          <w:lang w:val="zh-CN" w:eastAsia="zh-CN"/>
        </w:rPr>
      </w:pPr>
      <w:r>
        <w:rPr>
          <w:rFonts w:hint="eastAsia"/>
          <w:color w:val="auto"/>
          <w:sz w:val="21"/>
          <w:szCs w:val="21"/>
          <w:highlight w:val="none"/>
          <w:lang w:val="zh-CN" w:eastAsia="zh-CN"/>
        </w:rPr>
        <w:t>39.2 成交通知书是合同文件的组成部分。</w:t>
      </w:r>
    </w:p>
    <w:p w14:paraId="1425ED78">
      <w:pPr>
        <w:rPr>
          <w:rFonts w:hint="eastAsia"/>
          <w:color w:val="auto"/>
          <w:sz w:val="21"/>
          <w:szCs w:val="21"/>
          <w:highlight w:val="none"/>
          <w:lang w:val="zh-CN" w:eastAsia="zh-CN"/>
        </w:rPr>
      </w:pPr>
      <w:r>
        <w:rPr>
          <w:rFonts w:hint="eastAsia"/>
          <w:color w:val="auto"/>
          <w:sz w:val="21"/>
          <w:szCs w:val="21"/>
          <w:highlight w:val="none"/>
          <w:lang w:val="zh-CN" w:eastAsia="zh-CN"/>
        </w:rPr>
        <w:t>40.签订合同</w:t>
      </w:r>
    </w:p>
    <w:p w14:paraId="0F8DC6B2">
      <w:pPr>
        <w:rPr>
          <w:color w:val="auto"/>
          <w:sz w:val="21"/>
          <w:szCs w:val="21"/>
          <w:highlight w:val="none"/>
        </w:rPr>
      </w:pPr>
      <w:r>
        <w:rPr>
          <w:rFonts w:hint="eastAsia"/>
          <w:color w:val="auto"/>
          <w:sz w:val="21"/>
          <w:szCs w:val="21"/>
          <w:highlight w:val="none"/>
        </w:rPr>
        <w:t>40.1成交供应商应当在成交通知书发出之日起30日内与采购人签订采购合同。</w:t>
      </w:r>
    </w:p>
    <w:p w14:paraId="4504FCBB">
      <w:pPr>
        <w:rPr>
          <w:color w:val="auto"/>
          <w:sz w:val="21"/>
          <w:szCs w:val="21"/>
          <w:highlight w:val="none"/>
        </w:rPr>
      </w:pPr>
      <w:r>
        <w:rPr>
          <w:rFonts w:hint="eastAsia"/>
          <w:color w:val="auto"/>
          <w:sz w:val="21"/>
          <w:szCs w:val="21"/>
          <w:highlight w:val="none"/>
        </w:rPr>
        <w:t>40.2磋商文件、成交供应商的响应文件等均为签订采购合同的依据。</w:t>
      </w:r>
    </w:p>
    <w:p w14:paraId="6CC3AC34">
      <w:pPr>
        <w:rPr>
          <w:color w:val="auto"/>
          <w:sz w:val="21"/>
          <w:szCs w:val="21"/>
          <w:highlight w:val="none"/>
        </w:rPr>
      </w:pPr>
      <w:r>
        <w:rPr>
          <w:rFonts w:hint="eastAsia"/>
          <w:color w:val="auto"/>
          <w:sz w:val="21"/>
          <w:szCs w:val="21"/>
          <w:highlight w:val="none"/>
        </w:rPr>
        <w:t>40.3 成交供应商应当按照合同约定履行义务。成交供应商不得向他人转让成交项目，也不得将成交项目分包后分别向他人转让。</w:t>
      </w:r>
    </w:p>
    <w:p w14:paraId="2950CAAF">
      <w:pPr>
        <w:rPr>
          <w:color w:val="auto"/>
          <w:sz w:val="21"/>
          <w:szCs w:val="21"/>
          <w:highlight w:val="none"/>
        </w:rPr>
      </w:pPr>
      <w:r>
        <w:rPr>
          <w:rFonts w:hint="eastAsia"/>
          <w:color w:val="auto"/>
          <w:sz w:val="21"/>
          <w:szCs w:val="21"/>
          <w:highlight w:val="none"/>
        </w:rPr>
        <w:t>40.4 成交供应商有下列情形之一的，责令限期改正，情节严重的，列入不良行为记录名单，在1至3年内禁止参加采购活动，并予以通报：</w:t>
      </w:r>
    </w:p>
    <w:p w14:paraId="7538F416">
      <w:pPr>
        <w:rPr>
          <w:color w:val="auto"/>
          <w:sz w:val="21"/>
          <w:szCs w:val="21"/>
          <w:highlight w:val="none"/>
        </w:rPr>
      </w:pPr>
      <w:r>
        <w:rPr>
          <w:rFonts w:hint="eastAsia"/>
          <w:color w:val="auto"/>
          <w:sz w:val="21"/>
          <w:szCs w:val="21"/>
          <w:highlight w:val="none"/>
        </w:rPr>
        <w:t>（一）成交后无正当理由不与采购人签订合同的；</w:t>
      </w:r>
    </w:p>
    <w:p w14:paraId="4E1DFCC3">
      <w:pPr>
        <w:rPr>
          <w:color w:val="auto"/>
          <w:sz w:val="21"/>
          <w:szCs w:val="21"/>
          <w:highlight w:val="none"/>
        </w:rPr>
      </w:pPr>
      <w:r>
        <w:rPr>
          <w:rFonts w:hint="eastAsia"/>
          <w:color w:val="auto"/>
          <w:sz w:val="21"/>
          <w:szCs w:val="21"/>
          <w:highlight w:val="none"/>
        </w:rPr>
        <w:t>（二）未按照采购文件确定的事项签订采购合同，或者与采购人另行订立背离合同实质性内容的协议的；</w:t>
      </w:r>
    </w:p>
    <w:p w14:paraId="60B381F8">
      <w:pPr>
        <w:rPr>
          <w:color w:val="auto"/>
          <w:sz w:val="21"/>
          <w:szCs w:val="21"/>
          <w:highlight w:val="none"/>
        </w:rPr>
      </w:pPr>
      <w:r>
        <w:rPr>
          <w:rFonts w:hint="eastAsia"/>
          <w:color w:val="auto"/>
          <w:sz w:val="21"/>
          <w:szCs w:val="21"/>
          <w:highlight w:val="none"/>
        </w:rPr>
        <w:t>（三）拒绝履行合同义务的；</w:t>
      </w:r>
    </w:p>
    <w:p w14:paraId="473AF90D">
      <w:pPr>
        <w:rPr>
          <w:color w:val="auto"/>
          <w:sz w:val="21"/>
          <w:szCs w:val="21"/>
          <w:highlight w:val="none"/>
        </w:rPr>
      </w:pPr>
      <w:r>
        <w:rPr>
          <w:rFonts w:hint="eastAsia"/>
          <w:color w:val="auto"/>
          <w:sz w:val="21"/>
          <w:szCs w:val="21"/>
          <w:highlight w:val="none"/>
        </w:rPr>
        <w:t>（四）违反法律、规章、规范性文件规定的。</w:t>
      </w:r>
    </w:p>
    <w:p w14:paraId="593773EC">
      <w:pPr>
        <w:rPr>
          <w:color w:val="auto"/>
          <w:sz w:val="21"/>
          <w:szCs w:val="21"/>
          <w:highlight w:val="none"/>
        </w:rPr>
      </w:pPr>
      <w:r>
        <w:rPr>
          <w:rFonts w:hint="eastAsia"/>
          <w:color w:val="auto"/>
          <w:sz w:val="21"/>
          <w:szCs w:val="21"/>
          <w:highlight w:val="none"/>
        </w:rPr>
        <w:t>七、其它规定</w:t>
      </w:r>
    </w:p>
    <w:p w14:paraId="281F5FE0">
      <w:pPr>
        <w:rPr>
          <w:color w:val="auto"/>
          <w:sz w:val="21"/>
          <w:szCs w:val="21"/>
          <w:highlight w:val="none"/>
        </w:rPr>
      </w:pPr>
      <w:r>
        <w:rPr>
          <w:rFonts w:hint="eastAsia"/>
          <w:color w:val="auto"/>
          <w:sz w:val="21"/>
          <w:szCs w:val="21"/>
          <w:highlight w:val="none"/>
        </w:rPr>
        <w:t>41.1采购代理服务费</w:t>
      </w:r>
    </w:p>
    <w:p w14:paraId="3581F5D5">
      <w:pPr>
        <w:rPr>
          <w:color w:val="auto"/>
          <w:sz w:val="21"/>
          <w:szCs w:val="21"/>
          <w:highlight w:val="none"/>
        </w:rPr>
      </w:pPr>
      <w:r>
        <w:rPr>
          <w:rFonts w:hint="eastAsia"/>
          <w:color w:val="auto"/>
          <w:sz w:val="21"/>
          <w:szCs w:val="21"/>
          <w:highlight w:val="none"/>
        </w:rPr>
        <w:t>41.1采购代理机构应按磋商须知前附表规定收取采购代理服务费。</w:t>
      </w:r>
    </w:p>
    <w:p w14:paraId="3BECD161">
      <w:pPr>
        <w:rPr>
          <w:color w:val="auto"/>
          <w:sz w:val="21"/>
          <w:szCs w:val="21"/>
          <w:highlight w:val="none"/>
        </w:rPr>
      </w:pPr>
      <w:r>
        <w:rPr>
          <w:rFonts w:hint="eastAsia"/>
          <w:color w:val="auto"/>
          <w:sz w:val="21"/>
          <w:szCs w:val="21"/>
          <w:highlight w:val="none"/>
        </w:rPr>
        <w:t>41.2集中采购机构不得收取采购代理服务费。</w:t>
      </w:r>
    </w:p>
    <w:p w14:paraId="09CF0335">
      <w:pPr>
        <w:rPr>
          <w:color w:val="auto"/>
          <w:sz w:val="21"/>
          <w:szCs w:val="21"/>
          <w:highlight w:val="none"/>
        </w:rPr>
      </w:pPr>
      <w:r>
        <w:rPr>
          <w:rFonts w:hint="eastAsia"/>
          <w:color w:val="auto"/>
          <w:sz w:val="21"/>
          <w:szCs w:val="21"/>
          <w:highlight w:val="none"/>
        </w:rPr>
        <w:t>42. 其它规定</w:t>
      </w:r>
    </w:p>
    <w:p w14:paraId="6968E7CD">
      <w:pPr>
        <w:rPr>
          <w:color w:val="auto"/>
          <w:sz w:val="32"/>
          <w:szCs w:val="32"/>
          <w:highlight w:val="none"/>
        </w:rPr>
      </w:pPr>
      <w:r>
        <w:rPr>
          <w:rFonts w:hint="eastAsia"/>
          <w:color w:val="auto"/>
          <w:sz w:val="21"/>
          <w:szCs w:val="21"/>
          <w:highlight w:val="none"/>
        </w:rPr>
        <w:t>本项目为国有企业的采购活动，属于非政府采购项目，本文件所称政府采购的表述不代表本项目适用政府采购政策规定，由采购人负责所有相关问题的处理。</w:t>
      </w:r>
      <w:r>
        <w:rPr>
          <w:rFonts w:hint="eastAsia"/>
          <w:color w:val="auto"/>
          <w:sz w:val="32"/>
          <w:szCs w:val="32"/>
          <w:highlight w:val="none"/>
        </w:rPr>
        <w:br w:type="page"/>
      </w:r>
    </w:p>
    <w:p w14:paraId="1C3EC870">
      <w:pPr>
        <w:tabs>
          <w:tab w:val="left" w:pos="420"/>
          <w:tab w:val="left" w:pos="7560"/>
          <w:tab w:val="left" w:pos="7740"/>
          <w:tab w:val="left" w:pos="7920"/>
        </w:tabs>
        <w:adjustRightInd w:val="0"/>
        <w:snapToGrid w:val="0"/>
        <w:spacing w:line="360" w:lineRule="auto"/>
        <w:ind w:firstLine="643" w:firstLineChars="200"/>
        <w:jc w:val="center"/>
        <w:rPr>
          <w:rFonts w:hint="eastAsia" w:ascii="宋体" w:hAnsi="宋体" w:cs="宋体"/>
          <w:b/>
          <w:color w:val="auto"/>
          <w:sz w:val="32"/>
          <w:szCs w:val="32"/>
          <w:highlight w:val="none"/>
        </w:rPr>
      </w:pPr>
    </w:p>
    <w:p w14:paraId="3AE5A3CE">
      <w:pPr>
        <w:numPr>
          <w:ilvl w:val="0"/>
          <w:numId w:val="1"/>
        </w:numPr>
        <w:spacing w:line="240" w:lineRule="auto"/>
        <w:ind w:firstLine="0" w:firstLineChars="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采购合同格式</w:t>
      </w:r>
    </w:p>
    <w:p w14:paraId="673BC1B4">
      <w:pPr>
        <w:numPr>
          <w:ilvl w:val="0"/>
          <w:numId w:val="0"/>
        </w:numPr>
        <w:spacing w:line="240" w:lineRule="auto"/>
        <w:ind w:firstLine="261" w:firstLineChars="100"/>
        <w:rPr>
          <w:rFonts w:hint="eastAsia" w:ascii="宋体" w:hAnsi="宋体" w:eastAsia="宋体" w:cs="宋体"/>
          <w:b/>
          <w:bCs w:val="0"/>
          <w:color w:val="auto"/>
          <w:sz w:val="26"/>
          <w:szCs w:val="26"/>
          <w:highlight w:val="none"/>
          <w:lang w:eastAsia="zh-CN"/>
        </w:rPr>
      </w:pPr>
      <w:r>
        <w:rPr>
          <w:rFonts w:hint="eastAsia" w:ascii="宋体" w:hAnsi="宋体" w:eastAsia="宋体" w:cs="宋体"/>
          <w:b/>
          <w:bCs w:val="0"/>
          <w:color w:val="auto"/>
          <w:sz w:val="26"/>
          <w:szCs w:val="26"/>
          <w:highlight w:val="none"/>
        </w:rPr>
        <w:t>（</w:t>
      </w:r>
      <w:r>
        <w:rPr>
          <w:rFonts w:hint="eastAsia" w:ascii="宋体" w:hAnsi="宋体" w:eastAsia="宋体" w:cs="宋体"/>
          <w:b/>
          <w:bCs w:val="0"/>
          <w:color w:val="auto"/>
          <w:sz w:val="26"/>
          <w:szCs w:val="26"/>
          <w:highlight w:val="none"/>
          <w:lang w:val="en-US" w:eastAsia="zh-CN"/>
        </w:rPr>
        <w:t>根据采购需求及中标结果拟定，</w:t>
      </w:r>
      <w:r>
        <w:rPr>
          <w:rFonts w:hint="eastAsia" w:ascii="宋体" w:hAnsi="宋体" w:eastAsia="宋体" w:cs="宋体"/>
          <w:b/>
          <w:bCs w:val="0"/>
          <w:color w:val="auto"/>
          <w:sz w:val="26"/>
          <w:szCs w:val="26"/>
          <w:highlight w:val="none"/>
        </w:rPr>
        <w:t>以采购人最终提供的合同文件为准）</w:t>
      </w:r>
    </w:p>
    <w:p w14:paraId="2879EC90">
      <w:pPr>
        <w:adjustRightInd w:val="0"/>
        <w:snapToGrid w:val="0"/>
        <w:spacing w:before="156" w:beforeLines="50" w:line="360" w:lineRule="auto"/>
        <w:ind w:left="420" w:leftChars="200" w:firstLine="0" w:firstLineChars="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一、采购合同协议书</w:t>
      </w:r>
    </w:p>
    <w:p w14:paraId="6BF115BD">
      <w:pPr>
        <w:spacing w:line="240" w:lineRule="auto"/>
        <w:ind w:firstLine="4200" w:firstLineChars="20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               采购合同编号：</w:t>
      </w:r>
      <w:r>
        <w:rPr>
          <w:rFonts w:hint="eastAsia" w:ascii="宋体" w:hAnsi="宋体" w:eastAsia="宋体" w:cs="宋体"/>
          <w:color w:val="auto"/>
          <w:szCs w:val="21"/>
          <w:highlight w:val="none"/>
          <w:u w:val="single"/>
        </w:rPr>
        <w:t xml:space="preserve">                 </w:t>
      </w:r>
    </w:p>
    <w:p w14:paraId="6216D94D">
      <w:pPr>
        <w:adjustRightInd w:val="0"/>
        <w:snapToGrid w:val="0"/>
        <w:spacing w:before="156" w:beforeLines="50" w:line="360" w:lineRule="auto"/>
        <w:ind w:firstLine="0" w:firstLineChars="0"/>
        <w:jc w:val="center"/>
        <w:rPr>
          <w:rFonts w:hint="eastAsia" w:ascii="宋体" w:hAnsi="宋体" w:eastAsia="宋体" w:cs="宋体"/>
          <w:b/>
          <w:color w:val="auto"/>
          <w:szCs w:val="21"/>
          <w:highlight w:val="none"/>
        </w:rPr>
      </w:pPr>
    </w:p>
    <w:p w14:paraId="4A39A54C">
      <w:pPr>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（甲方）</w:t>
      </w:r>
    </w:p>
    <w:p w14:paraId="47128B42">
      <w:pPr>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（乙方）</w:t>
      </w:r>
    </w:p>
    <w:p w14:paraId="6AE37BF4">
      <w:pPr>
        <w:widowControl w:val="0"/>
        <w:adjustRightInd w:val="0"/>
        <w:snapToGrid w:val="0"/>
        <w:spacing w:after="0" w:line="360" w:lineRule="auto"/>
        <w:ind w:left="420" w:leftChars="200"/>
        <w:jc w:val="both"/>
        <w:rPr>
          <w:rFonts w:hint="eastAsia" w:ascii="宋体" w:hAnsi="宋体" w:eastAsia="宋体" w:cs="宋体"/>
          <w:color w:val="auto"/>
          <w:kern w:val="2"/>
          <w:sz w:val="21"/>
          <w:szCs w:val="21"/>
          <w:highlight w:val="none"/>
          <w:lang w:val="en-US" w:eastAsia="zh-CN" w:bidi="ar-SA"/>
        </w:rPr>
      </w:pPr>
    </w:p>
    <w:p w14:paraId="4703B836">
      <w:pPr>
        <w:widowControl w:val="0"/>
        <w:adjustRightInd w:val="0"/>
        <w:snapToGrid w:val="0"/>
        <w:spacing w:after="0" w:line="360" w:lineRule="auto"/>
        <w:ind w:left="0" w:leftChars="0"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为了保护甲、乙双方合法权益，根据《中华人民共和国民法典》及其他有关法律、法规、规章，双方签订本合同协议书。</w:t>
      </w:r>
    </w:p>
    <w:p w14:paraId="331B1DD4">
      <w:pPr>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1.项目信息</w:t>
      </w:r>
    </w:p>
    <w:p w14:paraId="4E5D5F07">
      <w:pPr>
        <w:widowControl w:val="0"/>
        <w:adjustRightInd w:val="0"/>
        <w:snapToGrid w:val="0"/>
        <w:spacing w:after="0" w:line="360" w:lineRule="auto"/>
        <w:ind w:left="420" w:left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（1）采购项目名称：</w:t>
      </w:r>
      <w:r>
        <w:rPr>
          <w:rFonts w:hint="eastAsia" w:ascii="宋体" w:hAnsi="宋体" w:eastAsia="宋体" w:cs="宋体"/>
          <w:color w:val="auto"/>
          <w:kern w:val="2"/>
          <w:sz w:val="21"/>
          <w:szCs w:val="21"/>
          <w:highlight w:val="none"/>
          <w:u w:val="single"/>
          <w:lang w:val="en-US" w:eastAsia="zh-CN" w:bidi="ar-SA"/>
        </w:rPr>
        <w:t xml:space="preserve">                                          </w:t>
      </w:r>
    </w:p>
    <w:p w14:paraId="6DE948FB">
      <w:pPr>
        <w:widowControl w:val="0"/>
        <w:adjustRightInd w:val="0"/>
        <w:snapToGrid w:val="0"/>
        <w:spacing w:after="0" w:line="360" w:lineRule="auto"/>
        <w:ind w:left="420" w:left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（2）采购计划编号：</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 xml:space="preserve"> </w:t>
      </w:r>
    </w:p>
    <w:p w14:paraId="3504368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（3）项目内容：</w:t>
      </w:r>
      <w:r>
        <w:rPr>
          <w:rFonts w:hint="eastAsia" w:ascii="宋体" w:hAnsi="宋体" w:eastAsia="宋体" w:cs="宋体"/>
          <w:color w:val="auto"/>
          <w:szCs w:val="21"/>
          <w:highlight w:val="none"/>
          <w:u w:val="single"/>
        </w:rPr>
        <w:t xml:space="preserve">                             </w:t>
      </w:r>
    </w:p>
    <w:p w14:paraId="137C27EA">
      <w:pPr>
        <w:adjustRightInd w:val="0"/>
        <w:snapToGrid w:val="0"/>
        <w:spacing w:line="360" w:lineRule="auto"/>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（工程项目）承包范围：</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项目经理：</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p>
    <w:p w14:paraId="6BE972A2">
      <w:pPr>
        <w:adjustRightInd w:val="0"/>
        <w:snapToGrid w:val="0"/>
        <w:spacing w:line="360" w:lineRule="auto"/>
        <w:ind w:firstLine="413" w:firstLineChars="19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2.合同金额</w:t>
      </w:r>
    </w:p>
    <w:p w14:paraId="4CAAFAB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（1）合同金额小写：</w:t>
      </w:r>
      <w:r>
        <w:rPr>
          <w:rFonts w:hint="eastAsia" w:ascii="宋体" w:hAnsi="宋体" w:eastAsia="宋体" w:cs="宋体"/>
          <w:color w:val="auto"/>
          <w:szCs w:val="21"/>
          <w:highlight w:val="none"/>
          <w:u w:val="single"/>
        </w:rPr>
        <w:t xml:space="preserve">                      </w:t>
      </w:r>
    </w:p>
    <w:p w14:paraId="72797076">
      <w:pPr>
        <w:adjustRightInd w:val="0"/>
        <w:snapToGrid w:val="0"/>
        <w:spacing w:line="360" w:lineRule="auto"/>
        <w:ind w:firstLine="1260" w:firstLineChars="6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大写：</w:t>
      </w:r>
      <w:r>
        <w:rPr>
          <w:rFonts w:hint="eastAsia" w:ascii="宋体" w:hAnsi="宋体" w:eastAsia="宋体" w:cs="宋体"/>
          <w:color w:val="auto"/>
          <w:szCs w:val="21"/>
          <w:highlight w:val="none"/>
          <w:u w:val="single"/>
        </w:rPr>
        <w:t xml:space="preserve">                      </w:t>
      </w:r>
    </w:p>
    <w:p w14:paraId="2668A59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（2）具体标的见附件。</w:t>
      </w:r>
    </w:p>
    <w:p w14:paraId="3BF9DD0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（3）合同价格形式：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6529D4B6">
      <w:pPr>
        <w:adjustRightInd w:val="0"/>
        <w:snapToGrid w:val="0"/>
        <w:spacing w:line="360" w:lineRule="auto"/>
        <w:ind w:firstLine="422" w:firstLineChars="200"/>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3.履行合同的时间、地点及方式</w:t>
      </w:r>
      <w:r>
        <w:rPr>
          <w:rFonts w:hint="eastAsia" w:ascii="宋体" w:hAnsi="宋体" w:eastAsia="宋体" w:cs="宋体"/>
          <w:color w:val="auto"/>
          <w:szCs w:val="21"/>
          <w:highlight w:val="none"/>
          <w:u w:val="single"/>
        </w:rPr>
        <w:t xml:space="preserve"> </w:t>
      </w:r>
    </w:p>
    <w:p w14:paraId="256B354E">
      <w:pPr>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日。总日历天数：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w:t>
      </w:r>
    </w:p>
    <w:p w14:paraId="544CDEE3">
      <w:pPr>
        <w:adjustRightInd w:val="0"/>
        <w:snapToGrid w:val="0"/>
        <w:spacing w:line="360" w:lineRule="auto"/>
        <w:ind w:firstLine="630" w:firstLineChars="3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地点</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u w:val="single"/>
        </w:rPr>
        <w:t xml:space="preserve">                             </w:t>
      </w:r>
    </w:p>
    <w:p w14:paraId="2F35B717">
      <w:pPr>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方式：</w:t>
      </w:r>
      <w:r>
        <w:rPr>
          <w:rFonts w:hint="eastAsia" w:ascii="宋体" w:hAnsi="宋体" w:eastAsia="宋体" w:cs="宋体"/>
          <w:color w:val="auto"/>
          <w:szCs w:val="21"/>
          <w:highlight w:val="none"/>
          <w:u w:val="single"/>
        </w:rPr>
        <w:t xml:space="preserve">                             </w:t>
      </w:r>
    </w:p>
    <w:p w14:paraId="7740D120">
      <w:pPr>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4.付款：</w:t>
      </w:r>
    </w:p>
    <w:p w14:paraId="753CEDED">
      <w:pPr>
        <w:adjustRightInd w:val="0"/>
        <w:snapToGrid w:val="0"/>
        <w:spacing w:line="360" w:lineRule="auto"/>
        <w:ind w:firstLine="630" w:firstLineChars="3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060E3BF0">
      <w:pPr>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5.解决合同纠纷方式</w:t>
      </w:r>
    </w:p>
    <w:p w14:paraId="4F8AE7A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首先通过双方协商解决，协商解决不成，则通过以下途径之一解决纠纷：</w:t>
      </w:r>
    </w:p>
    <w:p w14:paraId="257C2DF0">
      <w:pPr>
        <w:adjustRightInd w:val="0"/>
        <w:snapToGrid w:val="0"/>
        <w:spacing w:line="360" w:lineRule="auto"/>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提请仲裁       □ 向人民法院提起诉讼</w:t>
      </w:r>
    </w:p>
    <w:p w14:paraId="434883DE">
      <w:pPr>
        <w:adjustRightInd w:val="0"/>
        <w:snapToGrid w:val="0"/>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6.组成合同的文件</w:t>
      </w:r>
    </w:p>
    <w:p w14:paraId="225DDD8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本协议书与下列文件一起构成合同文件，如下述文件之间有任何抵触、矛盾或歧义，应按以下顺序解释：</w:t>
      </w:r>
    </w:p>
    <w:p w14:paraId="277C74B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（1）在采购或合同履行过程中乙方作出的承诺以及双方协商达成的变更或补充协议</w:t>
      </w:r>
    </w:p>
    <w:p w14:paraId="5F8A878F">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（2）成交通知书</w:t>
      </w:r>
    </w:p>
    <w:p w14:paraId="522953B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（3）响应文件</w:t>
      </w:r>
    </w:p>
    <w:p w14:paraId="099FADE4">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（4）政府采购合同格式条款及其附件</w:t>
      </w:r>
    </w:p>
    <w:p w14:paraId="13F15FC2">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（5）专用合同条款</w:t>
      </w:r>
    </w:p>
    <w:p w14:paraId="10F0E354">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（6）通用合同条款（如果有）</w:t>
      </w:r>
    </w:p>
    <w:p w14:paraId="2015672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（7）标准、规范及有关技术文件，图纸，已标价工程量清单或预算书（如果有）</w:t>
      </w:r>
    </w:p>
    <w:p w14:paraId="0028033C">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（8）其他合同文件。</w:t>
      </w:r>
    </w:p>
    <w:p w14:paraId="4E047EAF">
      <w:pPr>
        <w:adjustRightInd w:val="0"/>
        <w:snapToGrid w:val="0"/>
        <w:spacing w:line="360" w:lineRule="auto"/>
        <w:ind w:firstLine="310" w:firstLineChars="147"/>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7.合同生效</w:t>
      </w:r>
    </w:p>
    <w:p w14:paraId="14A6C55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生效。</w:t>
      </w:r>
    </w:p>
    <w:p w14:paraId="2FA34C68">
      <w:pPr>
        <w:adjustRightInd w:val="0"/>
        <w:snapToGrid w:val="0"/>
        <w:spacing w:line="360" w:lineRule="auto"/>
        <w:ind w:firstLine="310" w:firstLineChars="147"/>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8.合同份数</w:t>
      </w:r>
    </w:p>
    <w:p w14:paraId="4DFE372F">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份，采购人执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份，供应商执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份，均具有同等法律效力。</w:t>
      </w:r>
    </w:p>
    <w:p w14:paraId="736C9263">
      <w:pPr>
        <w:adjustRightInd w:val="0"/>
        <w:snapToGrid w:val="0"/>
        <w:spacing w:line="360" w:lineRule="auto"/>
        <w:ind w:firstLine="0" w:firstLineChars="0"/>
        <w:rPr>
          <w:rFonts w:hint="eastAsia" w:ascii="宋体" w:hAnsi="宋体" w:eastAsia="宋体" w:cs="宋体"/>
          <w:color w:val="auto"/>
          <w:szCs w:val="21"/>
          <w:highlight w:val="none"/>
        </w:rPr>
      </w:pPr>
    </w:p>
    <w:p w14:paraId="2B6D5CB5">
      <w:pPr>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79DA492B">
      <w:pPr>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合同订立地点：</w:t>
      </w:r>
      <w:r>
        <w:rPr>
          <w:rFonts w:hint="eastAsia" w:ascii="宋体" w:hAnsi="宋体" w:eastAsia="宋体" w:cs="宋体"/>
          <w:color w:val="auto"/>
          <w:szCs w:val="21"/>
          <w:highlight w:val="none"/>
          <w:u w:val="single"/>
        </w:rPr>
        <w:t xml:space="preserve">                           </w:t>
      </w:r>
    </w:p>
    <w:p w14:paraId="28DA2A44">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3CB273E8">
      <w:pPr>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      方：（公章）                     乙      方：（公章）</w:t>
      </w:r>
    </w:p>
    <w:p w14:paraId="6E5B7BE2">
      <w:pPr>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w:t>
      </w:r>
    </w:p>
    <w:p w14:paraId="3AB03607">
      <w:pPr>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xml:space="preserve">                   </w:t>
      </w:r>
    </w:p>
    <w:p w14:paraId="4DE59A62">
      <w:pPr>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p>
    <w:p w14:paraId="555880C6">
      <w:pPr>
        <w:adjustRightInd w:val="0"/>
        <w:snapToGrid w:val="0"/>
        <w:spacing w:line="360" w:lineRule="auto"/>
        <w:ind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p>
    <w:p w14:paraId="036EC16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开 户 银 行：</w:t>
      </w:r>
      <w:r>
        <w:rPr>
          <w:rFonts w:hint="eastAsia" w:ascii="宋体" w:hAnsi="宋体" w:eastAsia="宋体" w:cs="宋体"/>
          <w:color w:val="auto"/>
          <w:szCs w:val="21"/>
          <w:highlight w:val="none"/>
          <w:u w:val="single"/>
        </w:rPr>
        <w:t xml:space="preserve">                   </w:t>
      </w:r>
    </w:p>
    <w:p w14:paraId="1C9795E9">
      <w:pPr>
        <w:adjustRightInd w:val="0"/>
        <w:snapToGrid w:val="0"/>
        <w:spacing w:line="360" w:lineRule="auto"/>
        <w:ind w:firstLine="0" w:firstLineChars="0"/>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        </w:t>
      </w:r>
      <w:r>
        <w:rPr>
          <w:rFonts w:hint="eastAsia" w:cs="宋体"/>
          <w:color w:val="auto"/>
          <w:szCs w:val="21"/>
          <w:highlight w:val="none"/>
          <w:lang w:val="en-US" w:eastAsia="zh-CN"/>
        </w:rPr>
        <w:t xml:space="preserve">     </w:t>
      </w:r>
      <w:r>
        <w:rPr>
          <w:rFonts w:hint="eastAsia" w:ascii="宋体" w:hAnsi="宋体" w:eastAsia="宋体" w:cs="宋体"/>
          <w:color w:val="auto"/>
          <w:szCs w:val="21"/>
          <w:highlight w:val="none"/>
        </w:rPr>
        <w:t>帐       号：</w:t>
      </w:r>
      <w:r>
        <w:rPr>
          <w:rFonts w:hint="eastAsia" w:ascii="宋体" w:hAnsi="宋体" w:eastAsia="宋体" w:cs="宋体"/>
          <w:color w:val="auto"/>
          <w:szCs w:val="21"/>
          <w:highlight w:val="none"/>
          <w:u w:val="single"/>
        </w:rPr>
        <w:t xml:space="preserve">                 </w:t>
      </w:r>
    </w:p>
    <w:p w14:paraId="4C162FEA">
      <w:pPr>
        <w:rPr>
          <w:color w:val="auto"/>
          <w:highlight w:val="none"/>
        </w:rPr>
      </w:pPr>
    </w:p>
    <w:p w14:paraId="2D7C6867">
      <w:pPr>
        <w:rPr>
          <w:color w:val="auto"/>
          <w:highlight w:val="none"/>
        </w:rPr>
      </w:pPr>
    </w:p>
    <w:p w14:paraId="67E9C04C">
      <w:pPr>
        <w:rPr>
          <w:color w:val="auto"/>
          <w:highlight w:val="none"/>
        </w:rPr>
      </w:pPr>
    </w:p>
    <w:p w14:paraId="3506E429">
      <w:pPr>
        <w:rPr>
          <w:color w:val="auto"/>
          <w:highlight w:val="none"/>
        </w:rPr>
      </w:pPr>
    </w:p>
    <w:p w14:paraId="1B9F6E5D">
      <w:pPr>
        <w:rPr>
          <w:color w:val="auto"/>
          <w:highlight w:val="none"/>
        </w:rPr>
      </w:pPr>
    </w:p>
    <w:p w14:paraId="39C0D363">
      <w:pPr>
        <w:rPr>
          <w:color w:val="auto"/>
          <w:highlight w:val="none"/>
        </w:rPr>
      </w:pPr>
    </w:p>
    <w:p w14:paraId="1473D924">
      <w:pPr>
        <w:rPr>
          <w:color w:val="auto"/>
          <w:highlight w:val="none"/>
        </w:rPr>
      </w:pPr>
    </w:p>
    <w:p w14:paraId="186A5C96">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p>
    <w:p w14:paraId="4F5A05B7">
      <w:pPr>
        <w:spacing w:line="360" w:lineRule="auto"/>
        <w:ind w:firstLine="0" w:firstLineChars="0"/>
        <w:jc w:val="center"/>
        <w:rPr>
          <w:rFonts w:hint="eastAsia" w:ascii="宋体" w:hAnsi="宋体" w:cs="宋体"/>
          <w:b/>
          <w:color w:val="auto"/>
          <w:sz w:val="32"/>
          <w:szCs w:val="32"/>
          <w:highlight w:val="none"/>
        </w:rPr>
      </w:pPr>
      <w:r>
        <w:rPr>
          <w:rFonts w:hint="eastAsia" w:ascii="宋体" w:hAnsi="宋体" w:cs="宋体"/>
          <w:b/>
          <w:bCs/>
          <w:color w:val="auto"/>
          <w:sz w:val="32"/>
          <w:szCs w:val="32"/>
          <w:highlight w:val="none"/>
        </w:rPr>
        <w:t xml:space="preserve">第四章 </w:t>
      </w:r>
      <w:r>
        <w:rPr>
          <w:rFonts w:hint="eastAsia" w:cs="宋体"/>
          <w:b/>
          <w:bCs/>
          <w:color w:val="auto"/>
          <w:sz w:val="32"/>
          <w:szCs w:val="32"/>
          <w:highlight w:val="none"/>
          <w:lang w:val="en-US" w:eastAsia="zh-CN"/>
        </w:rPr>
        <w:t xml:space="preserve"> </w:t>
      </w:r>
      <w:r>
        <w:rPr>
          <w:rFonts w:hint="eastAsia" w:ascii="宋体" w:hAnsi="宋体" w:cs="宋体"/>
          <w:b/>
          <w:color w:val="auto"/>
          <w:sz w:val="32"/>
          <w:szCs w:val="32"/>
          <w:highlight w:val="none"/>
        </w:rPr>
        <w:t>采购需求</w:t>
      </w:r>
    </w:p>
    <w:p w14:paraId="0CFB8600">
      <w:pPr>
        <w:keepNext w:val="0"/>
        <w:keepLines w:val="0"/>
        <w:pageBreakBefore w:val="0"/>
        <w:kinsoku/>
        <w:wordWrap/>
        <w:overflowPunct/>
        <w:topLinePunct w:val="0"/>
        <w:autoSpaceDE/>
        <w:autoSpaceDN/>
        <w:bidi w:val="0"/>
        <w:adjustRightInd w:val="0"/>
        <w:snapToGrid w:val="0"/>
        <w:spacing w:line="520" w:lineRule="exac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一、采购项目名称：</w:t>
      </w:r>
      <w:r>
        <w:rPr>
          <w:rFonts w:hint="eastAsia" w:asciiTheme="minorEastAsia" w:hAnsiTheme="minorEastAsia" w:eastAsiaTheme="minorEastAsia" w:cstheme="minorEastAsia"/>
          <w:b w:val="0"/>
          <w:bCs w:val="0"/>
          <w:sz w:val="21"/>
          <w:szCs w:val="21"/>
          <w:lang w:val="en-US" w:eastAsia="zh-CN"/>
        </w:rPr>
        <w:t>新河大厦保安保洁业务委托服务采购项目</w:t>
      </w:r>
    </w:p>
    <w:p w14:paraId="6190843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22" w:firstLineChars="200"/>
        <w:jc w:val="both"/>
        <w:textAlignment w:val="auto"/>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rPr>
        <w:t>二、项目概况</w:t>
      </w:r>
      <w:bookmarkStart w:id="0" w:name="_Toc510278200"/>
      <w:r>
        <w:rPr>
          <w:rFonts w:hint="eastAsia" w:asciiTheme="minorEastAsia" w:hAnsiTheme="minorEastAsia" w:eastAsiaTheme="minorEastAsia" w:cstheme="minorEastAsia"/>
          <w:sz w:val="21"/>
          <w:szCs w:val="21"/>
        </w:rPr>
        <w:t>：</w:t>
      </w:r>
      <w:bookmarkEnd w:id="0"/>
      <w:r>
        <w:rPr>
          <w:rFonts w:hint="eastAsia" w:asciiTheme="minorEastAsia" w:hAnsiTheme="minorEastAsia" w:eastAsiaTheme="minorEastAsia" w:cstheme="minorEastAsia"/>
          <w:sz w:val="21"/>
          <w:szCs w:val="21"/>
          <w:lang w:val="en-US" w:eastAsia="zh-CN"/>
        </w:rPr>
        <w:t>新河大厦项目位于开福区长沙市开福凤舞路30号。由1栋地下2层，地上16层综合楼、1栋地下2层，地上7层综合楼组成，总建筑面积约22398㎡。</w:t>
      </w:r>
    </w:p>
    <w:tbl>
      <w:tblPr>
        <w:tblStyle w:val="43"/>
        <w:tblpPr w:leftFromText="180" w:rightFromText="180" w:vertAnchor="text" w:horzAnchor="page" w:tblpX="1645" w:tblpY="358"/>
        <w:tblOverlap w:val="never"/>
        <w:tblW w:w="50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1529"/>
        <w:gridCol w:w="2402"/>
        <w:gridCol w:w="770"/>
        <w:gridCol w:w="725"/>
        <w:gridCol w:w="1292"/>
        <w:gridCol w:w="1295"/>
      </w:tblGrid>
      <w:tr w14:paraId="2C3D9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334" w:type="pct"/>
            <w:noWrap w:val="0"/>
            <w:vAlign w:val="center"/>
          </w:tcPr>
          <w:p w14:paraId="4F2498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序号</w:t>
            </w:r>
          </w:p>
        </w:tc>
        <w:tc>
          <w:tcPr>
            <w:tcW w:w="890" w:type="pct"/>
            <w:noWrap w:val="0"/>
            <w:vAlign w:val="center"/>
          </w:tcPr>
          <w:p w14:paraId="0F5EB2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标的名称</w:t>
            </w:r>
          </w:p>
        </w:tc>
        <w:tc>
          <w:tcPr>
            <w:tcW w:w="1398" w:type="pct"/>
            <w:noWrap w:val="0"/>
            <w:vAlign w:val="center"/>
          </w:tcPr>
          <w:p w14:paraId="7C352B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rPr>
              <w:t>项目特征</w:t>
            </w:r>
          </w:p>
        </w:tc>
        <w:tc>
          <w:tcPr>
            <w:tcW w:w="448" w:type="pct"/>
            <w:noWrap w:val="0"/>
            <w:vAlign w:val="center"/>
          </w:tcPr>
          <w:p w14:paraId="58D811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数量</w:t>
            </w:r>
          </w:p>
        </w:tc>
        <w:tc>
          <w:tcPr>
            <w:tcW w:w="422" w:type="pct"/>
            <w:noWrap w:val="0"/>
            <w:vAlign w:val="center"/>
          </w:tcPr>
          <w:p w14:paraId="33D6E3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单位</w:t>
            </w:r>
          </w:p>
        </w:tc>
        <w:tc>
          <w:tcPr>
            <w:tcW w:w="752" w:type="pct"/>
            <w:noWrap w:val="0"/>
            <w:vAlign w:val="center"/>
          </w:tcPr>
          <w:p w14:paraId="557D9A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预算单价</w:t>
            </w:r>
          </w:p>
        </w:tc>
        <w:tc>
          <w:tcPr>
            <w:tcW w:w="753" w:type="pct"/>
            <w:noWrap w:val="0"/>
            <w:vAlign w:val="center"/>
          </w:tcPr>
          <w:p w14:paraId="6D851B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预算总价</w:t>
            </w:r>
          </w:p>
        </w:tc>
      </w:tr>
      <w:tr w14:paraId="590CA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334" w:type="pct"/>
            <w:noWrap w:val="0"/>
            <w:vAlign w:val="center"/>
          </w:tcPr>
          <w:p w14:paraId="76816E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1</w:t>
            </w:r>
          </w:p>
        </w:tc>
        <w:tc>
          <w:tcPr>
            <w:tcW w:w="890" w:type="pct"/>
            <w:noWrap w:val="0"/>
            <w:vAlign w:val="center"/>
          </w:tcPr>
          <w:p w14:paraId="5F571B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lang w:val="zh-CN" w:eastAsia="zh-CN"/>
              </w:rPr>
            </w:pPr>
            <w:r>
              <w:rPr>
                <w:rFonts w:hint="eastAsia" w:ascii="宋体" w:hAnsi="宋体" w:eastAsia="宋体" w:cs="宋体"/>
                <w:color w:val="auto"/>
                <w:kern w:val="2"/>
                <w:sz w:val="21"/>
                <w:szCs w:val="21"/>
                <w:highlight w:val="none"/>
                <w:lang w:val="zh-CN" w:eastAsia="zh-CN"/>
              </w:rPr>
              <w:t>保安、保洁服务业务委托</w:t>
            </w:r>
          </w:p>
        </w:tc>
        <w:tc>
          <w:tcPr>
            <w:tcW w:w="1398" w:type="pct"/>
            <w:noWrap w:val="0"/>
            <w:vAlign w:val="center"/>
          </w:tcPr>
          <w:p w14:paraId="3E99B2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lang w:val="zh-CN" w:eastAsia="zh-CN"/>
              </w:rPr>
            </w:pPr>
            <w:r>
              <w:rPr>
                <w:rFonts w:hint="eastAsia" w:ascii="宋体" w:hAnsi="宋体" w:eastAsia="宋体" w:cs="宋体"/>
                <w:color w:val="auto"/>
                <w:kern w:val="2"/>
                <w:sz w:val="21"/>
                <w:szCs w:val="21"/>
                <w:highlight w:val="none"/>
                <w:lang w:val="en-US" w:eastAsia="zh-CN"/>
              </w:rPr>
              <w:t>本项目须由成交方提供</w:t>
            </w:r>
            <w:r>
              <w:rPr>
                <w:rFonts w:hint="eastAsia" w:asciiTheme="minorEastAsia" w:hAnsiTheme="minorEastAsia" w:eastAsiaTheme="minorEastAsia" w:cstheme="minorEastAsia"/>
                <w:b w:val="0"/>
                <w:bCs w:val="0"/>
                <w:sz w:val="21"/>
                <w:szCs w:val="21"/>
                <w:highlight w:val="none"/>
                <w:lang w:val="en-US" w:eastAsia="zh-CN"/>
              </w:rPr>
              <w:t>新河大厦保安保洁业务委托服务</w:t>
            </w:r>
          </w:p>
        </w:tc>
        <w:tc>
          <w:tcPr>
            <w:tcW w:w="448" w:type="pct"/>
            <w:noWrap w:val="0"/>
            <w:vAlign w:val="center"/>
          </w:tcPr>
          <w:p w14:paraId="4C346B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lang w:val="zh-CN"/>
              </w:rPr>
            </w:pPr>
            <w:r>
              <w:rPr>
                <w:rFonts w:hint="eastAsia" w:ascii="宋体" w:hAnsi="宋体" w:eastAsia="宋体" w:cs="宋体"/>
                <w:color w:val="auto"/>
                <w:kern w:val="2"/>
                <w:sz w:val="21"/>
                <w:szCs w:val="21"/>
                <w:highlight w:val="none"/>
                <w:lang w:val="zh-CN"/>
              </w:rPr>
              <w:t>1</w:t>
            </w:r>
          </w:p>
        </w:tc>
        <w:tc>
          <w:tcPr>
            <w:tcW w:w="422" w:type="pct"/>
            <w:noWrap w:val="0"/>
            <w:vAlign w:val="center"/>
          </w:tcPr>
          <w:p w14:paraId="7643AB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lang w:val="zh-CN" w:eastAsia="zh-CN"/>
              </w:rPr>
            </w:pPr>
            <w:r>
              <w:rPr>
                <w:rFonts w:hint="eastAsia" w:ascii="宋体" w:hAnsi="宋体" w:eastAsia="宋体" w:cs="宋体"/>
                <w:color w:val="auto"/>
                <w:kern w:val="2"/>
                <w:sz w:val="21"/>
                <w:szCs w:val="21"/>
                <w:highlight w:val="none"/>
                <w:lang w:val="en-US" w:eastAsia="zh-CN"/>
              </w:rPr>
              <w:t>年</w:t>
            </w:r>
          </w:p>
        </w:tc>
        <w:tc>
          <w:tcPr>
            <w:tcW w:w="752" w:type="pct"/>
            <w:noWrap w:val="0"/>
            <w:vAlign w:val="center"/>
          </w:tcPr>
          <w:p w14:paraId="079107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77161.00</w:t>
            </w:r>
          </w:p>
          <w:p w14:paraId="05814F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元/月</w:t>
            </w:r>
          </w:p>
        </w:tc>
        <w:tc>
          <w:tcPr>
            <w:tcW w:w="753" w:type="pct"/>
            <w:noWrap w:val="0"/>
            <w:vAlign w:val="center"/>
          </w:tcPr>
          <w:p w14:paraId="228E0A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b w:val="0"/>
                <w:bCs w:val="0"/>
                <w:color w:val="auto"/>
                <w:kern w:val="2"/>
                <w:sz w:val="21"/>
                <w:szCs w:val="21"/>
                <w:highlight w:val="none"/>
                <w:lang w:val="en-US" w:eastAsia="zh-CN"/>
              </w:rPr>
            </w:pPr>
            <w:r>
              <w:rPr>
                <w:rFonts w:hint="eastAsia" w:eastAsia="宋体"/>
                <w:b w:val="0"/>
                <w:bCs w:val="0"/>
                <w:color w:val="auto"/>
                <w:highlight w:val="none"/>
                <w:lang w:eastAsia="zh-CN"/>
              </w:rPr>
              <w:t>925932.00</w:t>
            </w:r>
          </w:p>
          <w:p w14:paraId="7CCF96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元/年</w:t>
            </w:r>
          </w:p>
        </w:tc>
      </w:tr>
    </w:tbl>
    <w:p w14:paraId="20836272">
      <w:pPr>
        <w:keepNext w:val="0"/>
        <w:keepLines w:val="0"/>
        <w:pageBreakBefore w:val="0"/>
        <w:kinsoku/>
        <w:wordWrap/>
        <w:overflowPunct/>
        <w:topLinePunct w:val="0"/>
        <w:autoSpaceDE/>
        <w:autoSpaceDN/>
        <w:bidi w:val="0"/>
        <w:spacing w:line="520" w:lineRule="exact"/>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三、项目服务要求</w:t>
      </w:r>
    </w:p>
    <w:p w14:paraId="02F743FC">
      <w:pPr>
        <w:keepNext w:val="0"/>
        <w:keepLines w:val="0"/>
        <w:pageBreakBefore w:val="0"/>
        <w:kinsoku/>
        <w:wordWrap/>
        <w:overflowPunct/>
        <w:topLinePunct w:val="0"/>
        <w:autoSpaceDE/>
        <w:autoSpaceDN/>
        <w:bidi w:val="0"/>
        <w:spacing w:line="520" w:lineRule="exact"/>
        <w:ind w:firstLine="422" w:firstLineChars="200"/>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w:t>
      </w:r>
      <w:r>
        <w:rPr>
          <w:rFonts w:hint="eastAsia" w:asciiTheme="minorEastAsia" w:hAnsiTheme="minorEastAsia" w:eastAsiaTheme="minorEastAsia" w:cstheme="minorEastAsia"/>
          <w:b/>
          <w:bCs/>
          <w:sz w:val="21"/>
          <w:szCs w:val="21"/>
          <w:lang w:eastAsia="zh-CN"/>
        </w:rPr>
        <w:t>、</w:t>
      </w:r>
      <w:r>
        <w:rPr>
          <w:rFonts w:hint="eastAsia" w:asciiTheme="minorEastAsia" w:hAnsiTheme="minorEastAsia" w:eastAsiaTheme="minorEastAsia" w:cstheme="minorEastAsia"/>
          <w:b/>
          <w:bCs/>
          <w:sz w:val="21"/>
          <w:szCs w:val="21"/>
        </w:rPr>
        <w:t>服务形式要求</w:t>
      </w:r>
    </w:p>
    <w:p w14:paraId="491B5687">
      <w:pPr>
        <w:keepNext w:val="0"/>
        <w:keepLines w:val="0"/>
        <w:pageBreakBefore w:val="0"/>
        <w:widowControl/>
        <w:kinsoku/>
        <w:wordWrap/>
        <w:overflowPunct/>
        <w:topLinePunct w:val="0"/>
        <w:autoSpaceDE/>
        <w:autoSpaceDN/>
        <w:bidi w:val="0"/>
        <w:spacing w:after="93" w:afterLines="30" w:line="520" w:lineRule="exact"/>
        <w:ind w:firstLine="420" w:firstLineChars="200"/>
        <w:jc w:val="left"/>
        <w:textAlignment w:val="auto"/>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color w:val="000000"/>
          <w:kern w:val="0"/>
          <w:sz w:val="21"/>
          <w:szCs w:val="21"/>
        </w:rPr>
        <w:t>1.1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服务范围：项目红线范围内固定安全岗位及人行出入口、车辆出入口、停车场、消防安全管理和项目巡查等相关安全防范、秩序维护、门岗礼仪接待、突发事件应急处理等工作；庭院、楼层、楼道、电梯厅、天台、采光井、外围、停车场（库）、景观水池、儿童游乐场、休闲桌椅及其它公共区域日常保洁、车库地面冲洗、冬季铲冰除雪、垃圾分类等工作；</w:t>
      </w:r>
    </w:p>
    <w:p w14:paraId="5FAAC975">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1.2</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承担</w:t>
      </w:r>
      <w:r>
        <w:rPr>
          <w:rFonts w:hint="eastAsia" w:asciiTheme="minorEastAsia" w:hAnsiTheme="minorEastAsia" w:eastAsiaTheme="minorEastAsia" w:cstheme="minorEastAsia"/>
          <w:sz w:val="21"/>
          <w:szCs w:val="21"/>
          <w:lang w:eastAsia="zh-CN"/>
        </w:rPr>
        <w:t>保安、保洁</w:t>
      </w:r>
      <w:r>
        <w:rPr>
          <w:rFonts w:hint="eastAsia" w:asciiTheme="minorEastAsia" w:hAnsiTheme="minorEastAsia" w:eastAsiaTheme="minorEastAsia" w:cstheme="minorEastAsia"/>
          <w:color w:val="000000"/>
          <w:kern w:val="0"/>
          <w:sz w:val="21"/>
          <w:szCs w:val="21"/>
          <w:lang w:val="en-US" w:eastAsia="zh-CN"/>
        </w:rPr>
        <w:t>及项目主管/会务接待</w:t>
      </w:r>
      <w:r>
        <w:rPr>
          <w:rFonts w:hint="eastAsia" w:asciiTheme="minorEastAsia" w:hAnsiTheme="minorEastAsia" w:eastAsiaTheme="minorEastAsia" w:cstheme="minorEastAsia"/>
          <w:sz w:val="21"/>
          <w:szCs w:val="21"/>
        </w:rPr>
        <w:t>人员整套人力资源管理服务工作(包括招聘及离职手续办理、劳动合同管理、绩效管理、工资管理、保险福利管理、计划生育管理等)，所有</w:t>
      </w:r>
      <w:r>
        <w:rPr>
          <w:rFonts w:hint="eastAsia" w:asciiTheme="minorEastAsia" w:hAnsiTheme="minorEastAsia" w:eastAsiaTheme="minorEastAsia" w:cstheme="minorEastAsia"/>
          <w:sz w:val="21"/>
          <w:szCs w:val="21"/>
          <w:lang w:eastAsia="zh-CN"/>
        </w:rPr>
        <w:t>保安、保洁</w:t>
      </w:r>
      <w:r>
        <w:rPr>
          <w:rFonts w:hint="eastAsia" w:asciiTheme="minorEastAsia" w:hAnsiTheme="minorEastAsia" w:eastAsiaTheme="minorEastAsia" w:cstheme="minorEastAsia"/>
          <w:color w:val="000000"/>
          <w:kern w:val="0"/>
          <w:sz w:val="21"/>
          <w:szCs w:val="21"/>
          <w:lang w:val="en-US" w:eastAsia="zh-CN"/>
        </w:rPr>
        <w:t>及项目主管/会务接待</w:t>
      </w:r>
      <w:r>
        <w:rPr>
          <w:rFonts w:hint="eastAsia" w:asciiTheme="minorEastAsia" w:hAnsiTheme="minorEastAsia" w:eastAsiaTheme="minorEastAsia" w:cstheme="minorEastAsia"/>
          <w:sz w:val="21"/>
          <w:szCs w:val="21"/>
        </w:rPr>
        <w:t>人员须服从采购人工作安排，</w:t>
      </w:r>
      <w:r>
        <w:rPr>
          <w:rFonts w:hint="eastAsia" w:asciiTheme="minorEastAsia" w:hAnsiTheme="minorEastAsia" w:eastAsiaTheme="minorEastAsia" w:cstheme="minorEastAsia"/>
          <w:sz w:val="21"/>
          <w:szCs w:val="21"/>
          <w:lang w:val="en-US" w:eastAsia="zh-CN"/>
        </w:rPr>
        <w:t>保安、保洁</w:t>
      </w:r>
      <w:r>
        <w:rPr>
          <w:rFonts w:hint="eastAsia" w:asciiTheme="minorEastAsia" w:hAnsiTheme="minorEastAsia" w:eastAsiaTheme="minorEastAsia" w:cstheme="minorEastAsia"/>
          <w:color w:val="000000"/>
          <w:kern w:val="0"/>
          <w:sz w:val="21"/>
          <w:szCs w:val="21"/>
          <w:lang w:val="en-US" w:eastAsia="zh-CN"/>
        </w:rPr>
        <w:t>及项目主管/会务接待</w:t>
      </w:r>
      <w:r>
        <w:rPr>
          <w:rFonts w:hint="eastAsia" w:asciiTheme="minorEastAsia" w:hAnsiTheme="minorEastAsia" w:eastAsiaTheme="minorEastAsia" w:cstheme="minorEastAsia"/>
          <w:sz w:val="21"/>
          <w:szCs w:val="21"/>
          <w:lang w:val="en-US" w:eastAsia="zh-CN"/>
        </w:rPr>
        <w:t>人员食宿由供应商自行负责。</w:t>
      </w:r>
    </w:p>
    <w:p w14:paraId="18F69394">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1.3</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所有</w:t>
      </w:r>
      <w:r>
        <w:rPr>
          <w:rFonts w:hint="eastAsia" w:asciiTheme="minorEastAsia" w:hAnsiTheme="minorEastAsia" w:eastAsiaTheme="minorEastAsia" w:cstheme="minorEastAsia"/>
          <w:sz w:val="21"/>
          <w:szCs w:val="21"/>
          <w:lang w:eastAsia="zh-CN"/>
        </w:rPr>
        <w:t>保安、保洁</w:t>
      </w:r>
      <w:r>
        <w:rPr>
          <w:rFonts w:hint="eastAsia" w:asciiTheme="minorEastAsia" w:hAnsiTheme="minorEastAsia" w:eastAsiaTheme="minorEastAsia" w:cstheme="minorEastAsia"/>
          <w:color w:val="000000"/>
          <w:kern w:val="0"/>
          <w:sz w:val="21"/>
          <w:szCs w:val="21"/>
          <w:lang w:val="en-US" w:eastAsia="zh-CN"/>
        </w:rPr>
        <w:t>及项目主管/会务接待</w:t>
      </w:r>
      <w:r>
        <w:rPr>
          <w:rFonts w:hint="eastAsia" w:asciiTheme="minorEastAsia" w:hAnsiTheme="minorEastAsia" w:eastAsiaTheme="minorEastAsia" w:cstheme="minorEastAsia"/>
          <w:sz w:val="21"/>
          <w:szCs w:val="21"/>
        </w:rPr>
        <w:t>人员必须是与成交供应商签订劳动合同，有合法劳动关系并购买社会保险，保证人员的素质及思想稳定，并提供统一的管理</w:t>
      </w:r>
      <w:r>
        <w:rPr>
          <w:rFonts w:hint="eastAsia" w:asciiTheme="minorEastAsia" w:hAnsiTheme="minorEastAsia" w:eastAsiaTheme="minorEastAsia" w:cstheme="minorEastAsia"/>
          <w:sz w:val="21"/>
          <w:szCs w:val="21"/>
          <w:lang w:eastAsia="zh-CN"/>
        </w:rPr>
        <w:t>；</w:t>
      </w:r>
    </w:p>
    <w:p w14:paraId="09793A36">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1.4</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采购人确定</w:t>
      </w:r>
      <w:r>
        <w:rPr>
          <w:rFonts w:hint="eastAsia" w:asciiTheme="minorEastAsia" w:hAnsiTheme="minorEastAsia" w:eastAsiaTheme="minorEastAsia" w:cstheme="minorEastAsia"/>
          <w:sz w:val="21"/>
          <w:szCs w:val="21"/>
          <w:lang w:eastAsia="zh-CN"/>
        </w:rPr>
        <w:t>保安、保洁</w:t>
      </w:r>
      <w:r>
        <w:rPr>
          <w:rFonts w:hint="eastAsia" w:asciiTheme="minorEastAsia" w:hAnsiTheme="minorEastAsia" w:eastAsiaTheme="minorEastAsia" w:cstheme="minorEastAsia"/>
          <w:color w:val="000000"/>
          <w:kern w:val="0"/>
          <w:sz w:val="21"/>
          <w:szCs w:val="21"/>
          <w:lang w:val="en-US" w:eastAsia="zh-CN"/>
        </w:rPr>
        <w:t>及项目主管/会务接待</w:t>
      </w:r>
      <w:r>
        <w:rPr>
          <w:rFonts w:hint="eastAsia" w:asciiTheme="minorEastAsia" w:hAnsiTheme="minorEastAsia" w:eastAsiaTheme="minorEastAsia" w:cstheme="minorEastAsia"/>
          <w:sz w:val="21"/>
          <w:szCs w:val="21"/>
        </w:rPr>
        <w:t>服务标准及的人员数量后，成交供应商应按《劳动合同法》确保5个工作日内办理完毕劳动合同签订手续及相关流程，并及时向采购人保证使</w:t>
      </w:r>
      <w:r>
        <w:rPr>
          <w:rFonts w:hint="eastAsia" w:asciiTheme="minorEastAsia" w:hAnsiTheme="minorEastAsia" w:eastAsiaTheme="minorEastAsia" w:cstheme="minorEastAsia"/>
          <w:sz w:val="21"/>
          <w:szCs w:val="21"/>
          <w:lang w:eastAsia="zh-CN"/>
        </w:rPr>
        <w:t>保安、保洁</w:t>
      </w:r>
      <w:r>
        <w:rPr>
          <w:rFonts w:hint="eastAsia" w:asciiTheme="minorEastAsia" w:hAnsiTheme="minorEastAsia" w:eastAsiaTheme="minorEastAsia" w:cstheme="minorEastAsia"/>
          <w:color w:val="000000"/>
          <w:kern w:val="0"/>
          <w:sz w:val="21"/>
          <w:szCs w:val="21"/>
          <w:lang w:val="en-US" w:eastAsia="zh-CN"/>
        </w:rPr>
        <w:t>及项目主管/会务接待</w:t>
      </w:r>
      <w:r>
        <w:rPr>
          <w:rFonts w:hint="eastAsia" w:asciiTheme="minorEastAsia" w:hAnsiTheme="minorEastAsia" w:eastAsiaTheme="minorEastAsia" w:cstheme="minorEastAsia"/>
          <w:sz w:val="21"/>
          <w:szCs w:val="21"/>
          <w:lang w:val="en-US" w:eastAsia="zh-CN"/>
        </w:rPr>
        <w:t>服务</w:t>
      </w:r>
      <w:r>
        <w:rPr>
          <w:rFonts w:hint="eastAsia" w:asciiTheme="minorEastAsia" w:hAnsiTheme="minorEastAsia" w:eastAsiaTheme="minorEastAsia" w:cstheme="minorEastAsia"/>
          <w:sz w:val="21"/>
          <w:szCs w:val="21"/>
        </w:rPr>
        <w:t>人员能够顺利上岗</w:t>
      </w:r>
      <w:r>
        <w:rPr>
          <w:rFonts w:hint="eastAsia" w:asciiTheme="minorEastAsia" w:hAnsiTheme="minorEastAsia" w:eastAsiaTheme="minorEastAsia" w:cstheme="minorEastAsia"/>
          <w:sz w:val="21"/>
          <w:szCs w:val="21"/>
          <w:lang w:eastAsia="zh-CN"/>
        </w:rPr>
        <w:t>；</w:t>
      </w:r>
    </w:p>
    <w:p w14:paraId="29F2F9D3">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1.5</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工伤保险事务办理（成交供应商在接到采购人报案电话后24小时内，</w:t>
      </w:r>
      <w:r>
        <w:rPr>
          <w:rFonts w:hint="eastAsia" w:asciiTheme="minorEastAsia" w:hAnsiTheme="minorEastAsia" w:eastAsiaTheme="minorEastAsia" w:cstheme="minorEastAsia"/>
          <w:sz w:val="21"/>
          <w:szCs w:val="21"/>
          <w:lang w:eastAsia="zh-CN"/>
        </w:rPr>
        <w:t>须</w:t>
      </w:r>
      <w:r>
        <w:rPr>
          <w:rFonts w:hint="eastAsia" w:asciiTheme="minorEastAsia" w:hAnsiTheme="minorEastAsia" w:eastAsiaTheme="minorEastAsia" w:cstheme="minorEastAsia"/>
          <w:sz w:val="21"/>
          <w:szCs w:val="21"/>
        </w:rPr>
        <w:t>安排专职人员对接协助办理工伤事故员工的住院治疗、工伤鉴定、工伤理赔等手续工作）采购人予以</w:t>
      </w:r>
      <w:r>
        <w:rPr>
          <w:rFonts w:hint="eastAsia" w:asciiTheme="minorEastAsia" w:hAnsiTheme="minorEastAsia" w:eastAsiaTheme="minorEastAsia" w:cstheme="minorEastAsia"/>
          <w:sz w:val="21"/>
          <w:szCs w:val="21"/>
          <w:lang w:eastAsia="zh-CN"/>
        </w:rPr>
        <w:t>必要</w:t>
      </w:r>
      <w:r>
        <w:rPr>
          <w:rFonts w:hint="eastAsia" w:asciiTheme="minorEastAsia" w:hAnsiTheme="minorEastAsia" w:eastAsiaTheme="minorEastAsia" w:cstheme="minorEastAsia"/>
          <w:sz w:val="21"/>
          <w:szCs w:val="21"/>
        </w:rPr>
        <w:t>协助</w:t>
      </w:r>
      <w:r>
        <w:rPr>
          <w:rFonts w:hint="eastAsia" w:asciiTheme="minorEastAsia" w:hAnsiTheme="minorEastAsia" w:eastAsiaTheme="minorEastAsia" w:cstheme="minorEastAsia"/>
          <w:sz w:val="21"/>
          <w:szCs w:val="21"/>
          <w:lang w:eastAsia="zh-CN"/>
        </w:rPr>
        <w:t>；</w:t>
      </w:r>
    </w:p>
    <w:p w14:paraId="528E6C3D">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1.6</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成交供应商应为</w:t>
      </w:r>
      <w:r>
        <w:rPr>
          <w:rFonts w:hint="eastAsia" w:asciiTheme="minorEastAsia" w:hAnsiTheme="minorEastAsia" w:eastAsiaTheme="minorEastAsia" w:cstheme="minorEastAsia"/>
          <w:sz w:val="21"/>
          <w:szCs w:val="21"/>
          <w:lang w:eastAsia="zh-CN"/>
        </w:rPr>
        <w:t>保安、保洁</w:t>
      </w:r>
      <w:r>
        <w:rPr>
          <w:rFonts w:hint="eastAsia" w:asciiTheme="minorEastAsia" w:hAnsiTheme="minorEastAsia" w:eastAsiaTheme="minorEastAsia" w:cstheme="minorEastAsia"/>
          <w:color w:val="000000"/>
          <w:kern w:val="0"/>
          <w:sz w:val="21"/>
          <w:szCs w:val="21"/>
          <w:lang w:val="en-US" w:eastAsia="zh-CN"/>
        </w:rPr>
        <w:t>及项目主管/会务接待</w:t>
      </w:r>
      <w:r>
        <w:rPr>
          <w:rFonts w:hint="eastAsia" w:asciiTheme="minorEastAsia" w:hAnsiTheme="minorEastAsia" w:eastAsiaTheme="minorEastAsia" w:cstheme="minorEastAsia"/>
          <w:sz w:val="21"/>
          <w:szCs w:val="21"/>
        </w:rPr>
        <w:t>人员支付不低于长沙市最低工资标准的工资，并为他们缴纳相应的社会保险。成交供应商应按时足额支付所属人员工资及相关福利，如因成交供应商拖欠所属人员工资2个月及以上，对采购人造成负面影响的，采购人有权扣除履约保证金1万元/次，上述人员的涉及用工方面的劳务纠纷、福利纠纷和劳动</w:t>
      </w:r>
      <w:r>
        <w:rPr>
          <w:rFonts w:hint="eastAsia" w:asciiTheme="minorEastAsia" w:hAnsiTheme="minorEastAsia" w:eastAsiaTheme="minorEastAsia" w:cstheme="minorEastAsia"/>
          <w:sz w:val="21"/>
          <w:szCs w:val="21"/>
          <w:lang w:eastAsia="zh-CN"/>
        </w:rPr>
        <w:t>或意外</w:t>
      </w:r>
      <w:r>
        <w:rPr>
          <w:rFonts w:hint="eastAsia" w:asciiTheme="minorEastAsia" w:hAnsiTheme="minorEastAsia" w:eastAsiaTheme="minorEastAsia" w:cstheme="minorEastAsia"/>
          <w:sz w:val="21"/>
          <w:szCs w:val="21"/>
        </w:rPr>
        <w:t>事故</w:t>
      </w:r>
      <w:r>
        <w:rPr>
          <w:rFonts w:hint="eastAsia" w:asciiTheme="minorEastAsia" w:hAnsiTheme="minorEastAsia" w:eastAsiaTheme="minorEastAsia" w:cstheme="minorEastAsia"/>
          <w:sz w:val="21"/>
          <w:szCs w:val="21"/>
          <w:lang w:eastAsia="zh-CN"/>
        </w:rPr>
        <w:t>，与其相关联的协调、理赔、经济赔偿等一切事宜及费用</w:t>
      </w:r>
      <w:r>
        <w:rPr>
          <w:rFonts w:hint="eastAsia" w:asciiTheme="minorEastAsia" w:hAnsiTheme="minorEastAsia" w:eastAsiaTheme="minorEastAsia" w:cstheme="minorEastAsia"/>
          <w:sz w:val="21"/>
          <w:szCs w:val="21"/>
        </w:rPr>
        <w:t>均由成交供应商负责，与采购人无关</w:t>
      </w:r>
      <w:r>
        <w:rPr>
          <w:rFonts w:hint="eastAsia" w:asciiTheme="minorEastAsia" w:hAnsiTheme="minorEastAsia" w:eastAsiaTheme="minorEastAsia" w:cstheme="minorEastAsia"/>
          <w:sz w:val="21"/>
          <w:szCs w:val="21"/>
          <w:lang w:eastAsia="zh-CN"/>
        </w:rPr>
        <w:t>；</w:t>
      </w:r>
    </w:p>
    <w:p w14:paraId="0E1A3154">
      <w:pPr>
        <w:keepNext w:val="0"/>
        <w:keepLines w:val="0"/>
        <w:pageBreakBefore w:val="0"/>
        <w:kinsoku/>
        <w:wordWrap/>
        <w:overflowPunct/>
        <w:topLinePunct w:val="0"/>
        <w:autoSpaceDE/>
        <w:autoSpaceDN/>
        <w:bidi w:val="0"/>
        <w:spacing w:before="156" w:beforeLines="50" w:after="156" w:afterLines="50" w:line="520" w:lineRule="exact"/>
        <w:ind w:firstLine="420" w:firstLineChars="200"/>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1.7</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本项目如因成交供应商管理不善出现偷盗事件，如造成损失，采购人可协助成交供应商共同处理，如涉及赔偿则由成交供应商负责。</w:t>
      </w:r>
    </w:p>
    <w:p w14:paraId="345658D2">
      <w:pPr>
        <w:keepNext w:val="0"/>
        <w:keepLines w:val="0"/>
        <w:pageBreakBefore w:val="0"/>
        <w:kinsoku/>
        <w:wordWrap/>
        <w:overflowPunct/>
        <w:topLinePunct w:val="0"/>
        <w:autoSpaceDE/>
        <w:autoSpaceDN/>
        <w:bidi w:val="0"/>
        <w:spacing w:line="520" w:lineRule="exact"/>
        <w:ind w:firstLine="422" w:firstLineChars="200"/>
        <w:textAlignment w:val="auto"/>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rPr>
        <w:t>2.保安人员</w:t>
      </w:r>
      <w:r>
        <w:rPr>
          <w:rFonts w:hint="eastAsia" w:asciiTheme="minorEastAsia" w:hAnsiTheme="minorEastAsia" w:eastAsiaTheme="minorEastAsia" w:cstheme="minorEastAsia"/>
          <w:b/>
          <w:bCs/>
          <w:sz w:val="21"/>
          <w:szCs w:val="21"/>
          <w:lang w:val="en-US" w:eastAsia="zh-CN"/>
        </w:rPr>
        <w:t>岗位</w:t>
      </w:r>
      <w:r>
        <w:rPr>
          <w:rFonts w:hint="eastAsia" w:asciiTheme="minorEastAsia" w:hAnsiTheme="minorEastAsia" w:eastAsiaTheme="minorEastAsia" w:cstheme="minorEastAsia"/>
          <w:b/>
          <w:bCs/>
          <w:sz w:val="21"/>
          <w:szCs w:val="21"/>
        </w:rPr>
        <w:t>要求</w:t>
      </w:r>
      <w:r>
        <w:rPr>
          <w:rFonts w:hint="eastAsia" w:asciiTheme="minorEastAsia" w:hAnsiTheme="minorEastAsia" w:eastAsiaTheme="minorEastAsia" w:cstheme="minorEastAsia"/>
          <w:b/>
          <w:bCs/>
          <w:sz w:val="21"/>
          <w:szCs w:val="21"/>
          <w:lang w:val="en-US" w:eastAsia="zh-CN"/>
        </w:rPr>
        <w:t>及职责</w:t>
      </w:r>
    </w:p>
    <w:p w14:paraId="2D2DEE8E">
      <w:pPr>
        <w:keepNext w:val="0"/>
        <w:keepLines w:val="0"/>
        <w:pageBreakBefore w:val="0"/>
        <w:widowControl/>
        <w:kinsoku/>
        <w:wordWrap/>
        <w:overflowPunct/>
        <w:topLinePunct w:val="0"/>
        <w:autoSpaceDE/>
        <w:autoSpaceDN/>
        <w:bidi w:val="0"/>
        <w:snapToGrid w:val="0"/>
        <w:spacing w:line="520" w:lineRule="exact"/>
        <w:ind w:firstLine="420" w:firstLineChars="200"/>
        <w:jc w:val="left"/>
        <w:textAlignment w:val="auto"/>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2.1</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身高（男）1.70米以上、（女）1.60米以上，姿态良好、容貌端正，身体健康，年龄5</w:t>
      </w:r>
      <w:r>
        <w:rPr>
          <w:rFonts w:hint="eastAsia" w:asciiTheme="minorEastAsia" w:hAnsiTheme="minorEastAsia" w:eastAsiaTheme="minorEastAsia" w:cstheme="minorEastAsia"/>
          <w:color w:val="000000"/>
          <w:kern w:val="0"/>
          <w:sz w:val="21"/>
          <w:szCs w:val="21"/>
          <w:lang w:val="en-US" w:eastAsia="zh-CN"/>
        </w:rPr>
        <w:t>5</w:t>
      </w:r>
      <w:r>
        <w:rPr>
          <w:rFonts w:hint="eastAsia" w:asciiTheme="minorEastAsia" w:hAnsiTheme="minorEastAsia" w:eastAsiaTheme="minorEastAsia" w:cstheme="minorEastAsia"/>
          <w:color w:val="000000"/>
          <w:kern w:val="0"/>
          <w:sz w:val="21"/>
          <w:szCs w:val="21"/>
        </w:rPr>
        <w:t>岁</w:t>
      </w:r>
      <w:r>
        <w:rPr>
          <w:rFonts w:hint="eastAsia" w:asciiTheme="minorEastAsia" w:hAnsiTheme="minorEastAsia" w:eastAsiaTheme="minorEastAsia" w:cstheme="minorEastAsia"/>
          <w:color w:val="000000"/>
          <w:kern w:val="0"/>
          <w:sz w:val="21"/>
          <w:szCs w:val="21"/>
          <w:lang w:eastAsia="zh-CN"/>
        </w:rPr>
        <w:t>以下</w:t>
      </w:r>
      <w:r>
        <w:rPr>
          <w:rFonts w:hint="eastAsia" w:asciiTheme="minorEastAsia" w:hAnsiTheme="minorEastAsia" w:eastAsiaTheme="minorEastAsia" w:cstheme="minorEastAsia"/>
          <w:color w:val="000000"/>
          <w:kern w:val="0"/>
          <w:sz w:val="21"/>
          <w:szCs w:val="21"/>
        </w:rPr>
        <w:t>；</w:t>
      </w:r>
    </w:p>
    <w:p w14:paraId="4611BA5A">
      <w:pPr>
        <w:keepNext w:val="0"/>
        <w:keepLines w:val="0"/>
        <w:pageBreakBefore w:val="0"/>
        <w:widowControl/>
        <w:kinsoku/>
        <w:wordWrap/>
        <w:overflowPunct/>
        <w:topLinePunct w:val="0"/>
        <w:autoSpaceDE/>
        <w:autoSpaceDN/>
        <w:bidi w:val="0"/>
        <w:snapToGrid w:val="0"/>
        <w:spacing w:line="520" w:lineRule="exact"/>
        <w:ind w:firstLine="420" w:firstLineChars="200"/>
        <w:jc w:val="left"/>
        <w:textAlignment w:val="auto"/>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2.2</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初中及以上文化程度，</w:t>
      </w:r>
      <w:r>
        <w:rPr>
          <w:rFonts w:hint="eastAsia" w:asciiTheme="minorEastAsia" w:hAnsiTheme="minorEastAsia" w:eastAsiaTheme="minorEastAsia" w:cstheme="minorEastAsia"/>
          <w:color w:val="000000"/>
          <w:kern w:val="0"/>
          <w:sz w:val="21"/>
          <w:szCs w:val="21"/>
          <w:lang w:val="en-US" w:eastAsia="zh-CN"/>
        </w:rPr>
        <w:t>所有保安</w:t>
      </w:r>
      <w:r>
        <w:rPr>
          <w:rFonts w:hint="eastAsia" w:asciiTheme="minorEastAsia" w:hAnsiTheme="minorEastAsia" w:eastAsiaTheme="minorEastAsia" w:cstheme="minorEastAsia"/>
          <w:color w:val="000000"/>
          <w:kern w:val="0"/>
          <w:sz w:val="21"/>
          <w:szCs w:val="21"/>
        </w:rPr>
        <w:t>人员须</w:t>
      </w:r>
      <w:r>
        <w:rPr>
          <w:rFonts w:hint="eastAsia" w:asciiTheme="minorEastAsia" w:hAnsiTheme="minorEastAsia" w:eastAsiaTheme="minorEastAsia" w:cstheme="minorEastAsia"/>
          <w:color w:val="000000"/>
          <w:kern w:val="0"/>
          <w:sz w:val="21"/>
          <w:szCs w:val="21"/>
          <w:lang w:val="en-US" w:eastAsia="zh-CN"/>
        </w:rPr>
        <w:t>持有保安员证等</w:t>
      </w:r>
      <w:r>
        <w:rPr>
          <w:rFonts w:hint="eastAsia" w:asciiTheme="minorEastAsia" w:hAnsiTheme="minorEastAsia" w:eastAsiaTheme="minorEastAsia" w:cstheme="minorEastAsia"/>
          <w:color w:val="000000"/>
          <w:kern w:val="0"/>
          <w:sz w:val="21"/>
          <w:szCs w:val="21"/>
        </w:rPr>
        <w:t>相应的技术</w:t>
      </w:r>
      <w:r>
        <w:rPr>
          <w:rFonts w:hint="eastAsia" w:asciiTheme="minorEastAsia" w:hAnsiTheme="minorEastAsia" w:eastAsiaTheme="minorEastAsia" w:cstheme="minorEastAsia"/>
          <w:color w:val="000000"/>
          <w:kern w:val="0"/>
          <w:sz w:val="21"/>
          <w:szCs w:val="21"/>
          <w:lang w:val="en-US" w:eastAsia="zh-CN"/>
        </w:rPr>
        <w:t>/岗位</w:t>
      </w:r>
      <w:r>
        <w:rPr>
          <w:rFonts w:hint="eastAsia" w:asciiTheme="minorEastAsia" w:hAnsiTheme="minorEastAsia" w:eastAsiaTheme="minorEastAsia" w:cstheme="minorEastAsia"/>
          <w:color w:val="000000"/>
          <w:kern w:val="0"/>
          <w:sz w:val="21"/>
          <w:szCs w:val="21"/>
        </w:rPr>
        <w:t>资格证书；</w:t>
      </w:r>
    </w:p>
    <w:p w14:paraId="4D109E83">
      <w:pPr>
        <w:keepNext w:val="0"/>
        <w:keepLines w:val="0"/>
        <w:pageBreakBefore w:val="0"/>
        <w:widowControl/>
        <w:kinsoku/>
        <w:wordWrap/>
        <w:overflowPunct/>
        <w:topLinePunct w:val="0"/>
        <w:autoSpaceDE/>
        <w:autoSpaceDN/>
        <w:bidi w:val="0"/>
        <w:snapToGrid w:val="0"/>
        <w:spacing w:line="520" w:lineRule="exact"/>
        <w:ind w:firstLine="420" w:firstLineChars="200"/>
        <w:jc w:val="left"/>
        <w:textAlignment w:val="auto"/>
        <w:rPr>
          <w:rFonts w:hint="eastAsia" w:asciiTheme="minorEastAsia" w:hAnsiTheme="minorEastAsia" w:eastAsiaTheme="minorEastAsia" w:cstheme="minorEastAsia"/>
          <w:color w:val="000000"/>
          <w:kern w:val="0"/>
          <w:sz w:val="21"/>
          <w:szCs w:val="21"/>
        </w:rPr>
      </w:pPr>
      <w:r>
        <w:rPr>
          <w:rFonts w:hint="eastAsia" w:asciiTheme="minorEastAsia" w:hAnsiTheme="minorEastAsia" w:eastAsiaTheme="minorEastAsia" w:cstheme="minorEastAsia"/>
          <w:color w:val="000000"/>
          <w:kern w:val="0"/>
          <w:sz w:val="21"/>
          <w:szCs w:val="21"/>
        </w:rPr>
        <w:t>2.3</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会操作使用保安器具和消防器材</w:t>
      </w:r>
      <w:r>
        <w:rPr>
          <w:rFonts w:hint="eastAsia" w:asciiTheme="minorEastAsia" w:hAnsiTheme="minorEastAsia" w:eastAsiaTheme="minorEastAsia" w:cstheme="minorEastAsia"/>
          <w:color w:val="000000"/>
          <w:kern w:val="0"/>
          <w:sz w:val="21"/>
          <w:szCs w:val="21"/>
          <w:lang w:eastAsia="zh-CN"/>
        </w:rPr>
        <w:t>，退伍军人及专业学校毕业者优先</w:t>
      </w:r>
      <w:r>
        <w:rPr>
          <w:rFonts w:hint="eastAsia" w:asciiTheme="minorEastAsia" w:hAnsiTheme="minorEastAsia" w:eastAsiaTheme="minorEastAsia" w:cstheme="minorEastAsia"/>
          <w:color w:val="000000"/>
          <w:kern w:val="0"/>
          <w:sz w:val="21"/>
          <w:szCs w:val="21"/>
        </w:rPr>
        <w:t>；</w:t>
      </w:r>
    </w:p>
    <w:p w14:paraId="20FB0107">
      <w:pPr>
        <w:keepNext w:val="0"/>
        <w:keepLines w:val="0"/>
        <w:pageBreakBefore w:val="0"/>
        <w:widowControl/>
        <w:kinsoku/>
        <w:wordWrap/>
        <w:overflowPunct/>
        <w:topLinePunct w:val="0"/>
        <w:autoSpaceDE/>
        <w:autoSpaceDN/>
        <w:bidi w:val="0"/>
        <w:snapToGrid w:val="0"/>
        <w:spacing w:line="520" w:lineRule="exact"/>
        <w:ind w:firstLine="420" w:firstLineChars="200"/>
        <w:jc w:val="left"/>
        <w:textAlignment w:val="auto"/>
        <w:rPr>
          <w:rFonts w:hint="eastAsia" w:asciiTheme="minorEastAsia" w:hAnsiTheme="minorEastAsia" w:eastAsiaTheme="minorEastAsia" w:cstheme="minorEastAsia"/>
          <w:color w:val="000000"/>
          <w:kern w:val="0"/>
          <w:sz w:val="21"/>
          <w:szCs w:val="21"/>
          <w:lang w:eastAsia="zh-CN"/>
        </w:rPr>
      </w:pPr>
      <w:r>
        <w:rPr>
          <w:rFonts w:hint="eastAsia" w:asciiTheme="minorEastAsia" w:hAnsiTheme="minorEastAsia" w:eastAsiaTheme="minorEastAsia" w:cstheme="minorEastAsia"/>
          <w:color w:val="000000"/>
          <w:kern w:val="0"/>
          <w:sz w:val="21"/>
          <w:szCs w:val="21"/>
        </w:rPr>
        <w:t>2.4</w:t>
      </w:r>
      <w:r>
        <w:rPr>
          <w:rFonts w:hint="eastAsia" w:asciiTheme="minorEastAsia" w:hAnsiTheme="minorEastAsia" w:eastAsiaTheme="minorEastAsia" w:cstheme="minorEastAsia"/>
          <w:color w:val="000000"/>
          <w:kern w:val="0"/>
          <w:sz w:val="21"/>
          <w:szCs w:val="21"/>
          <w:lang w:eastAsia="zh-CN"/>
        </w:rPr>
        <w:t>、</w:t>
      </w:r>
      <w:r>
        <w:rPr>
          <w:rFonts w:hint="eastAsia" w:asciiTheme="minorEastAsia" w:hAnsiTheme="minorEastAsia" w:eastAsiaTheme="minorEastAsia" w:cstheme="minorEastAsia"/>
          <w:color w:val="000000"/>
          <w:kern w:val="0"/>
          <w:sz w:val="21"/>
          <w:szCs w:val="21"/>
        </w:rPr>
        <w:t>品行良好、遵纪守法、无犯罪记录</w:t>
      </w:r>
      <w:r>
        <w:rPr>
          <w:rFonts w:hint="eastAsia" w:asciiTheme="minorEastAsia" w:hAnsiTheme="minorEastAsia" w:eastAsiaTheme="minorEastAsia" w:cstheme="minorEastAsia"/>
          <w:color w:val="000000"/>
          <w:kern w:val="0"/>
          <w:sz w:val="21"/>
          <w:szCs w:val="21"/>
          <w:lang w:eastAsia="zh-CN"/>
        </w:rPr>
        <w:t>；</w:t>
      </w:r>
    </w:p>
    <w:p w14:paraId="10AEEF54">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b/>
          <w:bCs/>
          <w:color w:val="000000"/>
          <w:sz w:val="21"/>
          <w:szCs w:val="21"/>
          <w:lang w:eastAsia="zh-CN"/>
        </w:rPr>
      </w:pPr>
      <w:r>
        <w:rPr>
          <w:rFonts w:hint="eastAsia" w:asciiTheme="minorEastAsia" w:hAnsiTheme="minorEastAsia" w:eastAsiaTheme="minorEastAsia" w:cstheme="minorEastAsia"/>
          <w:sz w:val="21"/>
          <w:szCs w:val="21"/>
        </w:rPr>
        <w:t>2.5</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遵守甲方的各项管理规定。反映敏捷，服从安排调度，敢于负责</w:t>
      </w:r>
      <w:r>
        <w:rPr>
          <w:rFonts w:hint="eastAsia" w:asciiTheme="minorEastAsia" w:hAnsiTheme="minorEastAsia" w:eastAsiaTheme="minorEastAsia" w:cstheme="minorEastAsia"/>
          <w:sz w:val="21"/>
          <w:szCs w:val="21"/>
          <w:lang w:eastAsia="zh-CN"/>
        </w:rPr>
        <w:t>；</w:t>
      </w:r>
    </w:p>
    <w:p w14:paraId="009C2F33">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2.6</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专职安全护卫人员，思想品德良好，作风正派；身体健康，责任心强，工作认真负责，体态良好；无犯罪记录；</w:t>
      </w:r>
    </w:p>
    <w:p w14:paraId="74328760">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b w:val="0"/>
          <w:bCs w:val="0"/>
          <w:color w:val="000000"/>
          <w:sz w:val="21"/>
          <w:szCs w:val="21"/>
          <w:lang w:eastAsia="zh-CN"/>
        </w:rPr>
      </w:pPr>
      <w:r>
        <w:rPr>
          <w:rFonts w:hint="eastAsia" w:asciiTheme="minorEastAsia" w:hAnsiTheme="minorEastAsia" w:eastAsiaTheme="minorEastAsia" w:cstheme="minorEastAsia"/>
          <w:b w:val="0"/>
          <w:bCs w:val="0"/>
          <w:color w:val="000000"/>
          <w:sz w:val="21"/>
          <w:szCs w:val="21"/>
        </w:rPr>
        <w:t>2.7</w:t>
      </w:r>
      <w:r>
        <w:rPr>
          <w:rFonts w:hint="eastAsia" w:asciiTheme="minorEastAsia" w:hAnsiTheme="minorEastAsia" w:eastAsiaTheme="minorEastAsia" w:cstheme="minorEastAsia"/>
          <w:b w:val="0"/>
          <w:bCs w:val="0"/>
          <w:color w:val="000000"/>
          <w:sz w:val="21"/>
          <w:szCs w:val="21"/>
          <w:lang w:eastAsia="zh-CN"/>
        </w:rPr>
        <w:t>、</w:t>
      </w:r>
      <w:r>
        <w:rPr>
          <w:rFonts w:hint="eastAsia" w:asciiTheme="minorEastAsia" w:hAnsiTheme="minorEastAsia" w:eastAsiaTheme="minorEastAsia" w:cstheme="minorEastAsia"/>
          <w:b w:val="0"/>
          <w:bCs w:val="0"/>
          <w:color w:val="000000"/>
          <w:sz w:val="21"/>
          <w:szCs w:val="21"/>
        </w:rPr>
        <w:t>接受过两年以上安全护卫或相关训练，训练有素，掌握基本安全护卫技能，并定期进行安全防范学习，增强安全防范能力</w:t>
      </w:r>
      <w:r>
        <w:rPr>
          <w:rFonts w:hint="eastAsia" w:asciiTheme="minorEastAsia" w:hAnsiTheme="minorEastAsia" w:eastAsiaTheme="minorEastAsia" w:cstheme="minorEastAsia"/>
          <w:b w:val="0"/>
          <w:bCs w:val="0"/>
          <w:color w:val="000000"/>
          <w:sz w:val="21"/>
          <w:szCs w:val="21"/>
          <w:lang w:eastAsia="zh-CN"/>
        </w:rPr>
        <w:t>，消监控室值班人员必须本人持有消防设备操作证等相关专业技术证书方可上岗；</w:t>
      </w:r>
    </w:p>
    <w:p w14:paraId="03CDDC33">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2.8</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熟悉小区环境，熟悉物业管理及有关法律法规，能恰当的处理和应对小区护卫工作；</w:t>
      </w:r>
    </w:p>
    <w:p w14:paraId="53054930">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2.9</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当班时佩戴统一标志和执勤工号，身穿当地规定保安统一制服，工具佩戴规范，仪容仪表规范整齐；配备对讲装置和其他必备的安全护卫工具；</w:t>
      </w:r>
    </w:p>
    <w:p w14:paraId="2139A6F7">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2.10</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上岗时精神振作，举止应文明，姿态良好，大方、得体，抬头挺胸，注意检查和保持仪表；</w:t>
      </w:r>
    </w:p>
    <w:p w14:paraId="1CE92D73">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2.11</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严格遵守《交接班制度》，工作交接清楚，交接记录规范、整洁、及时、完善；</w:t>
      </w:r>
    </w:p>
    <w:p w14:paraId="7F7F67B3">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2.12</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 xml:space="preserve">当值时须按规定着装整齐，制服须保持整洁；精神饱满，举止大方、得体；使用文明礼貌用语，文明服务，礼貌待人； </w:t>
      </w:r>
    </w:p>
    <w:p w14:paraId="05F901A4">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2.13</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当值时严禁吸烟、吃零食、使用手机</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不得做与工作无关的私事</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lang w:val="en-US" w:eastAsia="zh-CN"/>
        </w:rPr>
        <w:t>如</w:t>
      </w:r>
      <w:r>
        <w:rPr>
          <w:rFonts w:hint="eastAsia" w:asciiTheme="minorEastAsia" w:hAnsiTheme="minorEastAsia" w:eastAsiaTheme="minorEastAsia" w:cstheme="minorEastAsia"/>
          <w:color w:val="000000"/>
          <w:sz w:val="21"/>
          <w:szCs w:val="21"/>
        </w:rPr>
        <w:t>阅看书籍、报纸</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收听收录机或看电视</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lang w:val="en-US" w:eastAsia="zh-CN"/>
        </w:rPr>
        <w:t>不得睡岗、</w:t>
      </w:r>
      <w:r>
        <w:rPr>
          <w:rFonts w:hint="eastAsia" w:asciiTheme="minorEastAsia" w:hAnsiTheme="minorEastAsia" w:eastAsiaTheme="minorEastAsia" w:cstheme="minorEastAsia"/>
          <w:color w:val="000000"/>
          <w:sz w:val="21"/>
          <w:szCs w:val="21"/>
        </w:rPr>
        <w:t>未经批准不得擅离职守、无故旷工或缺岗、脱岗；</w:t>
      </w:r>
    </w:p>
    <w:p w14:paraId="66977520">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2.14</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严禁在公司所管物业范围内打麻将、玩牌、喝酒，不</w:t>
      </w:r>
      <w:r>
        <w:rPr>
          <w:rFonts w:hint="eastAsia" w:asciiTheme="minorEastAsia" w:hAnsiTheme="minorEastAsia" w:eastAsiaTheme="minorEastAsia" w:cstheme="minorEastAsia"/>
          <w:color w:val="000000"/>
          <w:sz w:val="21"/>
          <w:szCs w:val="21"/>
          <w:lang w:val="en-US" w:eastAsia="zh-CN"/>
        </w:rPr>
        <w:t>得</w:t>
      </w:r>
      <w:r>
        <w:rPr>
          <w:rFonts w:hint="eastAsia" w:asciiTheme="minorEastAsia" w:hAnsiTheme="minorEastAsia" w:eastAsiaTheme="minorEastAsia" w:cstheme="minorEastAsia"/>
          <w:color w:val="000000"/>
          <w:sz w:val="21"/>
          <w:szCs w:val="21"/>
        </w:rPr>
        <w:t>借娱乐为名搞变相赌博；</w:t>
      </w:r>
    </w:p>
    <w:p w14:paraId="35245253">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2.15</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参加应急预案的演练和日常训练、培训，掌握应急事件处理方法，并快速响应；</w:t>
      </w:r>
    </w:p>
    <w:p w14:paraId="6D4827CB">
      <w:pPr>
        <w:keepNext w:val="0"/>
        <w:keepLines w:val="0"/>
        <w:pageBreakBefore w:val="0"/>
        <w:kinsoku/>
        <w:wordWrap/>
        <w:overflowPunct/>
        <w:topLinePunct w:val="0"/>
        <w:autoSpaceDE/>
        <w:autoSpaceDN/>
        <w:bidi w:val="0"/>
        <w:spacing w:line="520" w:lineRule="exact"/>
        <w:ind w:firstLine="422" w:firstLineChars="200"/>
        <w:textAlignment w:val="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3、</w:t>
      </w:r>
      <w:r>
        <w:rPr>
          <w:rFonts w:hint="eastAsia" w:asciiTheme="minorEastAsia" w:hAnsiTheme="minorEastAsia" w:eastAsiaTheme="minorEastAsia" w:cstheme="minorEastAsia"/>
          <w:b/>
          <w:bCs/>
          <w:color w:val="000000"/>
          <w:sz w:val="21"/>
          <w:szCs w:val="21"/>
          <w:lang w:eastAsia="zh-CN"/>
        </w:rPr>
        <w:t>保洁</w:t>
      </w:r>
      <w:r>
        <w:rPr>
          <w:rFonts w:hint="eastAsia" w:asciiTheme="minorEastAsia" w:hAnsiTheme="minorEastAsia" w:eastAsiaTheme="minorEastAsia" w:cstheme="minorEastAsia"/>
          <w:b/>
          <w:bCs/>
          <w:color w:val="000000"/>
          <w:sz w:val="21"/>
          <w:szCs w:val="21"/>
        </w:rPr>
        <w:t>人员岗位</w:t>
      </w:r>
      <w:r>
        <w:rPr>
          <w:rFonts w:hint="eastAsia" w:asciiTheme="minorEastAsia" w:hAnsiTheme="minorEastAsia" w:eastAsiaTheme="minorEastAsia" w:cstheme="minorEastAsia"/>
          <w:b/>
          <w:bCs/>
          <w:color w:val="000000"/>
          <w:sz w:val="21"/>
          <w:szCs w:val="21"/>
          <w:lang w:val="en-US" w:eastAsia="zh-CN"/>
        </w:rPr>
        <w:t>要求及</w:t>
      </w:r>
      <w:r>
        <w:rPr>
          <w:rFonts w:hint="eastAsia" w:asciiTheme="minorEastAsia" w:hAnsiTheme="minorEastAsia" w:eastAsiaTheme="minorEastAsia" w:cstheme="minorEastAsia"/>
          <w:b/>
          <w:bCs/>
          <w:color w:val="000000"/>
          <w:sz w:val="21"/>
          <w:szCs w:val="21"/>
        </w:rPr>
        <w:t>职责</w:t>
      </w:r>
    </w:p>
    <w:p w14:paraId="5184EC01">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3.1</w:t>
      </w:r>
      <w:r>
        <w:rPr>
          <w:rFonts w:hint="eastAsia" w:asciiTheme="minorEastAsia" w:hAnsiTheme="minorEastAsia" w:eastAsiaTheme="minorEastAsia" w:cstheme="minorEastAsia"/>
          <w:color w:val="000000"/>
          <w:sz w:val="21"/>
          <w:szCs w:val="21"/>
          <w:lang w:eastAsia="zh-CN"/>
        </w:rPr>
        <w:t>、</w:t>
      </w:r>
      <w:r>
        <w:rPr>
          <w:rFonts w:hint="eastAsia" w:asciiTheme="minorEastAsia" w:hAnsiTheme="minorEastAsia" w:eastAsiaTheme="minorEastAsia" w:cstheme="minorEastAsia"/>
          <w:color w:val="000000"/>
          <w:sz w:val="21"/>
          <w:szCs w:val="21"/>
        </w:rPr>
        <w:t>地面保洁岗</w:t>
      </w:r>
    </w:p>
    <w:p w14:paraId="7BFCE534">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3.1.1、负责外围、小区水景系统、广场及道路等公共区域内的清洁卫生；</w:t>
      </w:r>
    </w:p>
    <w:p w14:paraId="23303A00">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3.1.2、负责清扫小区区域外围路面、小区广场及道路、绿化带；</w:t>
      </w:r>
    </w:p>
    <w:p w14:paraId="2FB6F196">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3.1.3、负责打捞水景系内的杂物、落叶等，要求水面无杂物，池底洁净无沉淀物；</w:t>
      </w:r>
    </w:p>
    <w:p w14:paraId="33585337">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3.1.4、收集绿化带内果皮箱的垃圾，换上新的垃圾袋，并将收集的垃圾运到生活垃圾终转站；</w:t>
      </w:r>
    </w:p>
    <w:p w14:paraId="20340B80">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3.1.5、对区域内所有设施进行清洁（宣传栏、雕塑、信报箱、标识牌、台面等）；</w:t>
      </w:r>
    </w:p>
    <w:p w14:paraId="14681F5D">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3.1.6、负责外围区域巡视保洁。不</w:t>
      </w:r>
      <w:r>
        <w:rPr>
          <w:rFonts w:hint="eastAsia" w:asciiTheme="minorEastAsia" w:hAnsiTheme="minorEastAsia" w:eastAsiaTheme="minorEastAsia" w:cstheme="minorEastAsia"/>
          <w:color w:val="000000"/>
          <w:sz w:val="21"/>
          <w:szCs w:val="21"/>
          <w:lang w:val="en-US" w:eastAsia="zh-CN"/>
        </w:rPr>
        <w:t>得</w:t>
      </w:r>
      <w:r>
        <w:rPr>
          <w:rFonts w:hint="eastAsia" w:asciiTheme="minorEastAsia" w:hAnsiTheme="minorEastAsia" w:eastAsiaTheme="minorEastAsia" w:cstheme="minorEastAsia"/>
          <w:color w:val="000000"/>
          <w:sz w:val="21"/>
          <w:szCs w:val="21"/>
        </w:rPr>
        <w:t>将垃圾、树叶等倒入绿化带，如遇雨后天晴，应根据岗位区域的实际情况依次对地面和台面进行有效排水处理；</w:t>
      </w:r>
    </w:p>
    <w:p w14:paraId="2C551016">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3.1.7、地面污渍清洗操作规程：</w:t>
      </w:r>
    </w:p>
    <w:p w14:paraId="05E6C490">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①地面污渍清洗，如地面有油漆、锈水等污渍，分别用天那水、瓷锈水、盐酸（按比例渗水）作为清洁剂，先将地面清扫干净，并浇上适量的水，接着把相应的清洁剂倒在地面上用钢刷来回擦，再冲水后用地拖将水拖干；</w:t>
      </w:r>
    </w:p>
    <w:p w14:paraId="2B4AEDD6">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color w:val="000000"/>
          <w:sz w:val="21"/>
          <w:szCs w:val="21"/>
        </w:rPr>
        <w:t>②瓷片地面用拖把或毛巾对地面及墙面进行拖擦。</w:t>
      </w:r>
    </w:p>
    <w:p w14:paraId="5446FF43">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3.2、</w:t>
      </w:r>
      <w:r>
        <w:rPr>
          <w:rFonts w:hint="eastAsia" w:asciiTheme="minorEastAsia" w:hAnsiTheme="minorEastAsia" w:eastAsiaTheme="minorEastAsia" w:cstheme="minorEastAsia"/>
          <w:color w:val="000000"/>
          <w:sz w:val="21"/>
          <w:szCs w:val="21"/>
          <w:lang w:eastAsia="zh-CN"/>
        </w:rPr>
        <w:t>楼</w:t>
      </w:r>
      <w:r>
        <w:rPr>
          <w:rFonts w:hint="eastAsia" w:asciiTheme="minorEastAsia" w:hAnsiTheme="minorEastAsia" w:eastAsiaTheme="minorEastAsia" w:cstheme="minorEastAsia"/>
          <w:color w:val="000000"/>
          <w:sz w:val="21"/>
          <w:szCs w:val="21"/>
        </w:rPr>
        <w:t>层保洁岗</w:t>
      </w:r>
    </w:p>
    <w:p w14:paraId="60B897A2">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3.2.1、负责责任区楼道的清扫保洁，从地下室到楼顶层天台楼宇内所有的公共部分；</w:t>
      </w:r>
    </w:p>
    <w:p w14:paraId="4396B208">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3.2.2、负责楼层的生活垃圾收集至垃圾中转站,清洗垃圾桶,套上垃圾袋放回相应的楼层。首先清洁干净首层大堂地面，电梯厅内地面的卫生之后，再用扫把对楼层、通道及后楼梯清扫；</w:t>
      </w:r>
    </w:p>
    <w:p w14:paraId="259B7B30">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3.2.3、负责用地拖拖抹通道地面及楼梯台阶。再用清洁毛巾对楼层的公共设备，包括通道防火门、消防栓、平开窗、楼道灯罩、开关、排风口、楼梯扶手、楼层墙面、后楼梯管线等擦抹一遍；</w:t>
      </w:r>
    </w:p>
    <w:p w14:paraId="7AF0C5B9">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3.2.4、楼层所有灯具用干净的白毛巾擦拭；</w:t>
      </w:r>
    </w:p>
    <w:p w14:paraId="36BF9E8D">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3.2.5、负责后楼梯顶面扫尘、除蛛网；</w:t>
      </w:r>
    </w:p>
    <w:p w14:paraId="5FFC96CF">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3.2.6、负责对楼宇内的门厅前不锈钢拄、不锈钢护栏、招牌、电梯轿厢门等上不锈钢油；</w:t>
      </w:r>
    </w:p>
    <w:p w14:paraId="660E6389">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3.2.7、负责天台及楼道内无杂物清理。</w:t>
      </w:r>
    </w:p>
    <w:p w14:paraId="4738ECCC">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3.3、地下室保洁岗</w:t>
      </w:r>
    </w:p>
    <w:p w14:paraId="27B5762A">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3.3.1、人员配备根据地下室的面积大小而定岗；</w:t>
      </w:r>
    </w:p>
    <w:p w14:paraId="7B4374A2">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3.3.2、负责地下室清扫保洁工作；</w:t>
      </w:r>
    </w:p>
    <w:p w14:paraId="0BDF0F95">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3.3.3、负责地下室管线、消防设施、设备、指示牌等保洁工作；</w:t>
      </w:r>
    </w:p>
    <w:p w14:paraId="0926AD2A">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3.3.4、负责对地下室的污水井每季度彻底清洗一次，周边污水沟在冲冼地面时也要冲洗干净。</w:t>
      </w:r>
    </w:p>
    <w:p w14:paraId="76B156FD">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3.4垃圾中转清洁岗</w:t>
      </w:r>
    </w:p>
    <w:p w14:paraId="33B3193F">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3.4.1、负责小区的垃圾清运至周边的中转站并按要求进行垃圾分类，此岗视项目具体要求而定；</w:t>
      </w:r>
    </w:p>
    <w:p w14:paraId="2938846D">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3.4.2、按项目规定时间集中清运生活垃圾到中转站；</w:t>
      </w:r>
    </w:p>
    <w:p w14:paraId="4EFFA835">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3.4.3、负责冲洗垃圾站周边地面和墙壁、垃圾桶，冲洗地面污水。放回垃圾桶，并摆放整齐；</w:t>
      </w:r>
    </w:p>
    <w:p w14:paraId="77DB7849">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3.4.4、负责垃圾房、垃圾桶消杀；</w:t>
      </w:r>
    </w:p>
    <w:p w14:paraId="4A79BBB2">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3.4.5、注意事项：在倾倒垃圾时垃圾桶要套牢挂钩，以防掉下造 成意外伤亡事故。</w:t>
      </w:r>
    </w:p>
    <w:p w14:paraId="144DA1B8">
      <w:pPr>
        <w:keepNext w:val="0"/>
        <w:keepLines w:val="0"/>
        <w:pageBreakBefore w:val="0"/>
        <w:kinsoku/>
        <w:wordWrap/>
        <w:overflowPunct/>
        <w:topLinePunct w:val="0"/>
        <w:autoSpaceDE/>
        <w:autoSpaceDN/>
        <w:bidi w:val="0"/>
        <w:spacing w:line="520" w:lineRule="exact"/>
        <w:ind w:firstLine="422" w:firstLineChars="200"/>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4</w:t>
      </w:r>
      <w:r>
        <w:rPr>
          <w:rFonts w:hint="eastAsia" w:asciiTheme="minorEastAsia" w:hAnsiTheme="minorEastAsia" w:eastAsiaTheme="minorEastAsia" w:cstheme="minorEastAsia"/>
          <w:b/>
          <w:bCs/>
          <w:sz w:val="21"/>
          <w:szCs w:val="21"/>
        </w:rPr>
        <w:t>、会务接待人员要求</w:t>
      </w:r>
    </w:p>
    <w:p w14:paraId="0CE66C6E">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lang w:val="en-US" w:eastAsia="zh-CN"/>
        </w:rPr>
        <w:t>4</w:t>
      </w:r>
      <w:r>
        <w:rPr>
          <w:rFonts w:hint="eastAsia" w:asciiTheme="minorEastAsia" w:hAnsiTheme="minorEastAsia" w:eastAsiaTheme="minorEastAsia" w:cstheme="minorEastAsia"/>
          <w:b w:val="0"/>
          <w:bCs w:val="0"/>
          <w:sz w:val="21"/>
          <w:szCs w:val="21"/>
        </w:rPr>
        <w:t>.1、45岁以下，女、身高155cm以上。中专及以上文化程度；</w:t>
      </w:r>
    </w:p>
    <w:p w14:paraId="14E2E3DC">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lang w:val="en-US" w:eastAsia="zh-CN"/>
        </w:rPr>
        <w:t>4</w:t>
      </w:r>
      <w:r>
        <w:rPr>
          <w:rFonts w:hint="eastAsia" w:asciiTheme="minorEastAsia" w:hAnsiTheme="minorEastAsia" w:eastAsiaTheme="minorEastAsia" w:cstheme="minorEastAsia"/>
          <w:b w:val="0"/>
          <w:bCs w:val="0"/>
          <w:sz w:val="21"/>
          <w:szCs w:val="21"/>
        </w:rPr>
        <w:t>.2、有2年以上会务接待或客户服务经验；</w:t>
      </w:r>
    </w:p>
    <w:p w14:paraId="167336AB">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lang w:val="en-US" w:eastAsia="zh-CN"/>
        </w:rPr>
        <w:t>4</w:t>
      </w:r>
      <w:r>
        <w:rPr>
          <w:rFonts w:hint="eastAsia" w:asciiTheme="minorEastAsia" w:hAnsiTheme="minorEastAsia" w:eastAsiaTheme="minorEastAsia" w:cstheme="minorEastAsia"/>
          <w:b w:val="0"/>
          <w:bCs w:val="0"/>
          <w:sz w:val="21"/>
          <w:szCs w:val="21"/>
        </w:rPr>
        <w:t>.3、熟悉一般礼仪接待流程；</w:t>
      </w:r>
    </w:p>
    <w:p w14:paraId="47D1C2CB">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lang w:val="en-US" w:eastAsia="zh-CN"/>
        </w:rPr>
        <w:t>4</w:t>
      </w:r>
      <w:r>
        <w:rPr>
          <w:rFonts w:hint="eastAsia" w:asciiTheme="minorEastAsia" w:hAnsiTheme="minorEastAsia" w:eastAsiaTheme="minorEastAsia" w:cstheme="minorEastAsia"/>
          <w:b w:val="0"/>
          <w:bCs w:val="0"/>
          <w:sz w:val="21"/>
          <w:szCs w:val="21"/>
        </w:rPr>
        <w:t>.4、能够严格遵守并执行采购人的工作安排及工作制度。</w:t>
      </w:r>
    </w:p>
    <w:p w14:paraId="0C148AB9">
      <w:pPr>
        <w:keepNext w:val="0"/>
        <w:keepLines w:val="0"/>
        <w:pageBreakBefore w:val="0"/>
        <w:kinsoku/>
        <w:wordWrap/>
        <w:overflowPunct/>
        <w:topLinePunct w:val="0"/>
        <w:autoSpaceDE/>
        <w:autoSpaceDN/>
        <w:bidi w:val="0"/>
        <w:spacing w:line="520" w:lineRule="exact"/>
        <w:ind w:firstLine="422" w:firstLineChars="200"/>
        <w:textAlignment w:val="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sz w:val="21"/>
          <w:szCs w:val="21"/>
          <w:lang w:val="en-US" w:eastAsia="zh-CN"/>
        </w:rPr>
        <w:t>5</w:t>
      </w:r>
      <w:r>
        <w:rPr>
          <w:rFonts w:hint="eastAsia" w:asciiTheme="minorEastAsia" w:hAnsiTheme="minorEastAsia" w:eastAsiaTheme="minorEastAsia" w:cstheme="minorEastAsia"/>
          <w:b/>
          <w:bCs/>
          <w:color w:val="000000"/>
          <w:sz w:val="21"/>
          <w:szCs w:val="21"/>
        </w:rPr>
        <w:t>、其他岗位</w:t>
      </w:r>
      <w:r>
        <w:rPr>
          <w:rFonts w:hint="eastAsia" w:asciiTheme="minorEastAsia" w:hAnsiTheme="minorEastAsia" w:eastAsiaTheme="minorEastAsia" w:cstheme="minorEastAsia"/>
          <w:b/>
          <w:bCs/>
          <w:color w:val="000000"/>
          <w:sz w:val="21"/>
          <w:szCs w:val="21"/>
          <w:lang w:val="en-US" w:eastAsia="zh-CN"/>
        </w:rPr>
        <w:t>要求及</w:t>
      </w:r>
      <w:r>
        <w:rPr>
          <w:rFonts w:hint="eastAsia" w:asciiTheme="minorEastAsia" w:hAnsiTheme="minorEastAsia" w:eastAsiaTheme="minorEastAsia" w:cstheme="minorEastAsia"/>
          <w:b/>
          <w:bCs/>
          <w:color w:val="000000"/>
          <w:sz w:val="21"/>
          <w:szCs w:val="21"/>
        </w:rPr>
        <w:t>职责</w:t>
      </w:r>
    </w:p>
    <w:p w14:paraId="742985DD">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5.1、</w:t>
      </w:r>
      <w:r>
        <w:rPr>
          <w:rFonts w:hint="eastAsia" w:asciiTheme="minorEastAsia" w:hAnsiTheme="minorEastAsia" w:eastAsiaTheme="minorEastAsia" w:cstheme="minorEastAsia"/>
          <w:color w:val="000000"/>
          <w:sz w:val="21"/>
          <w:szCs w:val="21"/>
        </w:rPr>
        <w:t>建筑垃圾服务岗（</w:t>
      </w:r>
      <w:r>
        <w:rPr>
          <w:rFonts w:hint="eastAsia" w:asciiTheme="minorEastAsia" w:hAnsiTheme="minorEastAsia" w:eastAsiaTheme="minorEastAsia" w:cstheme="minorEastAsia"/>
          <w:color w:val="000000"/>
          <w:sz w:val="21"/>
          <w:szCs w:val="21"/>
          <w:lang w:eastAsia="zh-CN"/>
        </w:rPr>
        <w:t>保安、保洁</w:t>
      </w:r>
      <w:r>
        <w:rPr>
          <w:rFonts w:hint="eastAsia" w:asciiTheme="minorEastAsia" w:hAnsiTheme="minorEastAsia" w:eastAsiaTheme="minorEastAsia" w:cstheme="minorEastAsia"/>
          <w:color w:val="000000"/>
          <w:sz w:val="21"/>
          <w:szCs w:val="21"/>
        </w:rPr>
        <w:t>）</w:t>
      </w:r>
    </w:p>
    <w:p w14:paraId="77EE6D56">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5</w:t>
      </w:r>
      <w:r>
        <w:rPr>
          <w:rFonts w:hint="eastAsia" w:asciiTheme="minorEastAsia" w:hAnsiTheme="minorEastAsia" w:eastAsiaTheme="minorEastAsia" w:cstheme="minorEastAsia"/>
          <w:color w:val="000000"/>
          <w:sz w:val="21"/>
          <w:szCs w:val="21"/>
        </w:rPr>
        <w:t>.1</w:t>
      </w:r>
      <w:r>
        <w:rPr>
          <w:rFonts w:hint="eastAsia" w:asciiTheme="minorEastAsia" w:hAnsiTheme="minorEastAsia" w:eastAsiaTheme="minorEastAsia" w:cstheme="minorEastAsia"/>
          <w:color w:val="000000"/>
          <w:sz w:val="21"/>
          <w:szCs w:val="21"/>
          <w:lang w:val="en-US" w:eastAsia="zh-CN"/>
        </w:rPr>
        <w:t>.2</w:t>
      </w:r>
      <w:r>
        <w:rPr>
          <w:rFonts w:hint="eastAsia" w:asciiTheme="minorEastAsia" w:hAnsiTheme="minorEastAsia" w:eastAsiaTheme="minorEastAsia" w:cstheme="minorEastAsia"/>
          <w:color w:val="000000"/>
          <w:sz w:val="21"/>
          <w:szCs w:val="21"/>
        </w:rPr>
        <w:t>、负责小区建筑垃圾监督管理，确保建筑垃圾于指定地点有序堆放。</w:t>
      </w:r>
    </w:p>
    <w:p w14:paraId="10813178">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5</w:t>
      </w:r>
      <w:r>
        <w:rPr>
          <w:rFonts w:hint="eastAsia" w:asciiTheme="minorEastAsia" w:hAnsiTheme="minorEastAsia" w:eastAsiaTheme="minorEastAsia" w:cstheme="minorEastAsia"/>
          <w:color w:val="000000"/>
          <w:sz w:val="21"/>
          <w:szCs w:val="21"/>
        </w:rPr>
        <w:t>.</w:t>
      </w:r>
      <w:r>
        <w:rPr>
          <w:rFonts w:hint="eastAsia" w:asciiTheme="minorEastAsia" w:hAnsiTheme="minorEastAsia" w:eastAsiaTheme="minorEastAsia" w:cstheme="minorEastAsia"/>
          <w:color w:val="000000"/>
          <w:sz w:val="21"/>
          <w:szCs w:val="21"/>
          <w:lang w:val="en-US" w:eastAsia="zh-CN"/>
        </w:rPr>
        <w:t>1.3</w:t>
      </w:r>
      <w:r>
        <w:rPr>
          <w:rFonts w:hint="eastAsia" w:asciiTheme="minorEastAsia" w:hAnsiTheme="minorEastAsia" w:eastAsiaTheme="minorEastAsia" w:cstheme="minorEastAsia"/>
          <w:color w:val="000000"/>
          <w:sz w:val="21"/>
          <w:szCs w:val="21"/>
        </w:rPr>
        <w:t>、根据本小区建筑垃圾情况，及时汇报堆放情况，根据需求对清运时间进行合理铺排并严格监管清运过程，按照项目要求，规范填写其清运资料。</w:t>
      </w:r>
    </w:p>
    <w:p w14:paraId="235EB53F">
      <w:pPr>
        <w:keepNext w:val="0"/>
        <w:keepLines w:val="0"/>
        <w:pageBreakBefore w:val="0"/>
        <w:kinsoku/>
        <w:wordWrap/>
        <w:overflowPunct/>
        <w:topLinePunct w:val="0"/>
        <w:autoSpaceDE/>
        <w:autoSpaceDN/>
        <w:bidi w:val="0"/>
        <w:spacing w:line="520" w:lineRule="exact"/>
        <w:ind w:firstLine="420" w:firstLineChars="200"/>
        <w:textAlignment w:val="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5</w:t>
      </w:r>
      <w:r>
        <w:rPr>
          <w:rFonts w:hint="eastAsia" w:asciiTheme="minorEastAsia" w:hAnsiTheme="minorEastAsia" w:eastAsiaTheme="minorEastAsia" w:cstheme="minorEastAsia"/>
          <w:color w:val="000000"/>
          <w:sz w:val="21"/>
          <w:szCs w:val="21"/>
        </w:rPr>
        <w:t>.</w:t>
      </w:r>
      <w:r>
        <w:rPr>
          <w:rFonts w:hint="eastAsia" w:asciiTheme="minorEastAsia" w:hAnsiTheme="minorEastAsia" w:eastAsiaTheme="minorEastAsia" w:cstheme="minorEastAsia"/>
          <w:color w:val="000000"/>
          <w:sz w:val="21"/>
          <w:szCs w:val="21"/>
          <w:lang w:val="en-US" w:eastAsia="zh-CN"/>
        </w:rPr>
        <w:t>1.4</w:t>
      </w:r>
      <w:r>
        <w:rPr>
          <w:rFonts w:hint="eastAsia" w:asciiTheme="minorEastAsia" w:hAnsiTheme="minorEastAsia" w:eastAsiaTheme="minorEastAsia" w:cstheme="minorEastAsia"/>
          <w:color w:val="000000"/>
          <w:sz w:val="21"/>
          <w:szCs w:val="21"/>
        </w:rPr>
        <w:t>、注意事项，在监督建筑垃圾清运及堆放过程中，不得靠近清运所需机械设备，以免造成意外伤害事故</w:t>
      </w:r>
    </w:p>
    <w:p w14:paraId="6E15C2C3">
      <w:pPr>
        <w:keepNext w:val="0"/>
        <w:keepLines w:val="0"/>
        <w:pageBreakBefore w:val="0"/>
        <w:kinsoku/>
        <w:wordWrap/>
        <w:overflowPunct/>
        <w:topLinePunct w:val="0"/>
        <w:bidi w:val="0"/>
        <w:spacing w:before="156" w:beforeLines="50" w:after="156" w:afterLines="50" w:line="560" w:lineRule="exact"/>
        <w:ind w:firstLine="422" w:firstLineChars="2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6</w:t>
      </w:r>
      <w:r>
        <w:rPr>
          <w:rFonts w:hint="eastAsia" w:asciiTheme="minorEastAsia" w:hAnsiTheme="minorEastAsia" w:eastAsiaTheme="minorEastAsia" w:cstheme="minorEastAsia"/>
          <w:b/>
          <w:bCs/>
          <w:sz w:val="21"/>
          <w:szCs w:val="21"/>
        </w:rPr>
        <w:t>、人员配备要求</w:t>
      </w:r>
    </w:p>
    <w:tbl>
      <w:tblPr>
        <w:tblStyle w:val="43"/>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19"/>
        <w:gridCol w:w="2336"/>
        <w:gridCol w:w="1331"/>
        <w:gridCol w:w="1855"/>
        <w:gridCol w:w="2072"/>
      </w:tblGrid>
      <w:tr w14:paraId="38076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9" w:hRule="atLeast"/>
          <w:jc w:val="center"/>
        </w:trPr>
        <w:tc>
          <w:tcPr>
            <w:tcW w:w="919" w:type="dxa"/>
            <w:shd w:val="clear" w:color="auto" w:fill="auto"/>
            <w:vAlign w:val="center"/>
          </w:tcPr>
          <w:p w14:paraId="1745E23D">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eastAsia="zh-CN" w:bidi="ar"/>
              </w:rPr>
            </w:pPr>
            <w:r>
              <w:rPr>
                <w:rFonts w:hint="eastAsia" w:ascii="宋体" w:hAnsi="宋体" w:eastAsia="宋体" w:cs="宋体"/>
                <w:b/>
                <w:bCs/>
                <w:color w:val="auto"/>
                <w:kern w:val="2"/>
                <w:sz w:val="21"/>
                <w:szCs w:val="21"/>
                <w:highlight w:val="none"/>
                <w:lang w:val="en-US" w:eastAsia="zh-CN" w:bidi="ar"/>
              </w:rPr>
              <w:t>序号</w:t>
            </w:r>
          </w:p>
        </w:tc>
        <w:tc>
          <w:tcPr>
            <w:tcW w:w="2336" w:type="dxa"/>
            <w:shd w:val="clear" w:color="auto" w:fill="auto"/>
            <w:vAlign w:val="center"/>
          </w:tcPr>
          <w:p w14:paraId="444810FC">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eastAsia="zh-CN" w:bidi="ar"/>
              </w:rPr>
            </w:pPr>
            <w:r>
              <w:rPr>
                <w:rFonts w:hint="eastAsia" w:ascii="宋体" w:hAnsi="宋体" w:eastAsia="宋体" w:cs="宋体"/>
                <w:b/>
                <w:bCs/>
                <w:color w:val="auto"/>
                <w:kern w:val="2"/>
                <w:sz w:val="21"/>
                <w:szCs w:val="21"/>
                <w:highlight w:val="none"/>
                <w:lang w:val="en-US" w:eastAsia="zh-CN" w:bidi="ar"/>
              </w:rPr>
              <w:t>职位</w:t>
            </w:r>
          </w:p>
        </w:tc>
        <w:tc>
          <w:tcPr>
            <w:tcW w:w="1331" w:type="dxa"/>
            <w:shd w:val="clear" w:color="auto" w:fill="auto"/>
            <w:vAlign w:val="center"/>
          </w:tcPr>
          <w:p w14:paraId="10F875A0">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eastAsia="zh-CN" w:bidi="ar"/>
              </w:rPr>
            </w:pPr>
            <w:r>
              <w:rPr>
                <w:rFonts w:hint="eastAsia" w:ascii="宋体" w:hAnsi="宋体" w:eastAsia="宋体" w:cs="宋体"/>
                <w:b/>
                <w:bCs/>
                <w:color w:val="auto"/>
                <w:kern w:val="2"/>
                <w:sz w:val="21"/>
                <w:szCs w:val="21"/>
                <w:highlight w:val="none"/>
                <w:lang w:val="en-US" w:eastAsia="zh-CN" w:bidi="ar"/>
              </w:rPr>
              <w:t>配置人数</w:t>
            </w:r>
          </w:p>
        </w:tc>
        <w:tc>
          <w:tcPr>
            <w:tcW w:w="1855" w:type="dxa"/>
            <w:shd w:val="clear" w:color="auto" w:fill="auto"/>
            <w:vAlign w:val="center"/>
          </w:tcPr>
          <w:p w14:paraId="197DD77E">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val="en-US" w:eastAsia="zh-CN" w:bidi="ar"/>
              </w:rPr>
            </w:pPr>
            <w:r>
              <w:rPr>
                <w:rFonts w:hint="eastAsia" w:ascii="宋体" w:hAnsi="宋体" w:eastAsia="宋体" w:cs="宋体"/>
                <w:b/>
                <w:bCs/>
                <w:color w:val="auto"/>
                <w:kern w:val="2"/>
                <w:sz w:val="21"/>
                <w:szCs w:val="21"/>
                <w:highlight w:val="none"/>
                <w:lang w:val="en-US" w:eastAsia="zh-CN" w:bidi="ar"/>
              </w:rPr>
              <w:t>月合计（元）</w:t>
            </w:r>
          </w:p>
        </w:tc>
        <w:tc>
          <w:tcPr>
            <w:tcW w:w="2072" w:type="dxa"/>
            <w:shd w:val="clear" w:color="auto" w:fill="auto"/>
            <w:vAlign w:val="center"/>
          </w:tcPr>
          <w:p w14:paraId="022F0C37">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eastAsia="zh-CN" w:bidi="ar"/>
              </w:rPr>
            </w:pPr>
            <w:r>
              <w:rPr>
                <w:rFonts w:hint="eastAsia" w:ascii="宋体" w:hAnsi="宋体" w:eastAsia="宋体" w:cs="宋体"/>
                <w:b/>
                <w:bCs/>
                <w:color w:val="auto"/>
                <w:kern w:val="2"/>
                <w:sz w:val="21"/>
                <w:szCs w:val="21"/>
                <w:highlight w:val="none"/>
                <w:lang w:val="en-US" w:eastAsia="zh-CN" w:bidi="ar"/>
              </w:rPr>
              <w:t>备注</w:t>
            </w:r>
          </w:p>
        </w:tc>
      </w:tr>
      <w:tr w14:paraId="7A537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919" w:type="dxa"/>
            <w:shd w:val="clear" w:color="auto" w:fill="auto"/>
            <w:vAlign w:val="center"/>
          </w:tcPr>
          <w:p w14:paraId="25AE7D18">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2336" w:type="dxa"/>
            <w:shd w:val="clear" w:color="auto" w:fill="auto"/>
            <w:vAlign w:val="center"/>
          </w:tcPr>
          <w:p w14:paraId="506097BE">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项目主管/会务接待</w:t>
            </w:r>
          </w:p>
        </w:tc>
        <w:tc>
          <w:tcPr>
            <w:tcW w:w="1331" w:type="dxa"/>
            <w:shd w:val="clear" w:color="auto" w:fill="auto"/>
            <w:vAlign w:val="center"/>
          </w:tcPr>
          <w:p w14:paraId="6BF80961">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855" w:type="dxa"/>
            <w:shd w:val="clear" w:color="auto" w:fill="auto"/>
            <w:vAlign w:val="center"/>
          </w:tcPr>
          <w:p w14:paraId="10AFD111">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5833</w:t>
            </w:r>
          </w:p>
        </w:tc>
        <w:tc>
          <w:tcPr>
            <w:tcW w:w="2072" w:type="dxa"/>
            <w:shd w:val="clear" w:color="auto" w:fill="auto"/>
            <w:vAlign w:val="center"/>
          </w:tcPr>
          <w:p w14:paraId="0A004314">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负责会务接待</w:t>
            </w:r>
          </w:p>
        </w:tc>
      </w:tr>
      <w:tr w14:paraId="0DFD6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3" w:hRule="atLeast"/>
          <w:jc w:val="center"/>
        </w:trPr>
        <w:tc>
          <w:tcPr>
            <w:tcW w:w="3255" w:type="dxa"/>
            <w:gridSpan w:val="2"/>
            <w:shd w:val="clear" w:color="auto" w:fill="auto"/>
            <w:vAlign w:val="center"/>
          </w:tcPr>
          <w:p w14:paraId="7E0ADBF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2"/>
                <w:sz w:val="21"/>
                <w:szCs w:val="21"/>
                <w:u w:val="none"/>
                <w:lang w:val="en-US" w:eastAsia="zh-CN" w:bidi="ar-SA"/>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小计</w:t>
            </w:r>
          </w:p>
        </w:tc>
        <w:tc>
          <w:tcPr>
            <w:tcW w:w="1331" w:type="dxa"/>
            <w:shd w:val="clear" w:color="auto" w:fill="auto"/>
            <w:vAlign w:val="center"/>
          </w:tcPr>
          <w:p w14:paraId="3104A85C">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bCs/>
                <w:i w:val="0"/>
                <w:iCs w:val="0"/>
                <w:color w:val="000000"/>
                <w:kern w:val="2"/>
                <w:sz w:val="21"/>
                <w:szCs w:val="21"/>
                <w:u w:val="none"/>
                <w:lang w:val="en-US" w:eastAsia="zh-CN" w:bidi="ar-SA"/>
              </w:rPr>
            </w:pPr>
            <w:r>
              <w:rPr>
                <w:rFonts w:hint="eastAsia" w:asciiTheme="minorEastAsia" w:hAnsiTheme="minorEastAsia" w:eastAsiaTheme="minorEastAsia" w:cstheme="minorEastAsia"/>
                <w:b/>
                <w:bCs/>
                <w:i w:val="0"/>
                <w:iCs w:val="0"/>
                <w:color w:val="000000"/>
                <w:kern w:val="0"/>
                <w:sz w:val="21"/>
                <w:szCs w:val="21"/>
                <w:u w:val="none"/>
                <w:lang w:val="en-US" w:eastAsia="zh-CN" w:bidi="ar"/>
              </w:rPr>
              <w:t>1</w:t>
            </w:r>
          </w:p>
        </w:tc>
        <w:tc>
          <w:tcPr>
            <w:tcW w:w="1855" w:type="dxa"/>
            <w:shd w:val="clear" w:color="auto" w:fill="auto"/>
            <w:vAlign w:val="center"/>
          </w:tcPr>
          <w:p w14:paraId="2D1264E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2"/>
                <w:sz w:val="21"/>
                <w:szCs w:val="21"/>
                <w:u w:val="none"/>
                <w:lang w:val="en-US" w:eastAsia="zh-CN" w:bidi="ar-SA"/>
              </w:rPr>
            </w:pPr>
            <w:r>
              <w:rPr>
                <w:rFonts w:hint="eastAsia" w:asciiTheme="minorEastAsia" w:hAnsiTheme="minorEastAsia" w:eastAsiaTheme="minorEastAsia" w:cstheme="minorEastAsia"/>
                <w:b/>
                <w:bCs/>
                <w:i w:val="0"/>
                <w:iCs w:val="0"/>
                <w:color w:val="000000"/>
                <w:kern w:val="0"/>
                <w:sz w:val="21"/>
                <w:szCs w:val="21"/>
                <w:u w:val="none"/>
                <w:lang w:val="en-US" w:eastAsia="zh-CN" w:bidi="ar"/>
              </w:rPr>
              <w:t>5833</w:t>
            </w:r>
          </w:p>
        </w:tc>
        <w:tc>
          <w:tcPr>
            <w:tcW w:w="2072" w:type="dxa"/>
            <w:shd w:val="clear" w:color="auto" w:fill="auto"/>
            <w:vAlign w:val="center"/>
          </w:tcPr>
          <w:p w14:paraId="5332793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2"/>
                <w:sz w:val="21"/>
                <w:szCs w:val="21"/>
                <w:u w:val="none"/>
                <w:lang w:val="en-US" w:eastAsia="zh-CN" w:bidi="ar-SA"/>
              </w:rPr>
            </w:pPr>
            <w:r>
              <w:rPr>
                <w:rFonts w:hint="eastAsia" w:asciiTheme="minorEastAsia" w:hAnsiTheme="minorEastAsia" w:eastAsiaTheme="minorEastAsia" w:cstheme="minorEastAsia"/>
                <w:b/>
                <w:bCs/>
                <w:i w:val="0"/>
                <w:iCs w:val="0"/>
                <w:color w:val="000000"/>
                <w:kern w:val="0"/>
                <w:sz w:val="21"/>
                <w:szCs w:val="21"/>
                <w:u w:val="none"/>
                <w:lang w:val="en-US" w:eastAsia="zh-CN" w:bidi="ar"/>
              </w:rPr>
              <w:t>/</w:t>
            </w:r>
          </w:p>
        </w:tc>
      </w:tr>
      <w:tr w14:paraId="14A0D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19" w:type="dxa"/>
            <w:shd w:val="clear" w:color="auto" w:fill="auto"/>
            <w:vAlign w:val="center"/>
          </w:tcPr>
          <w:p w14:paraId="04FB5B09">
            <w:pPr>
              <w:keepNext w:val="0"/>
              <w:keepLines w:val="0"/>
              <w:widowControl/>
              <w:suppressLineNumbers w:val="0"/>
              <w:spacing w:before="0" w:beforeAutospacing="0" w:after="0" w:afterAutospacing="0"/>
              <w:ind w:left="0" w:leftChars="0" w:right="0" w:firstLine="0" w:firstLineChars="0"/>
              <w:jc w:val="both"/>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2336" w:type="dxa"/>
            <w:shd w:val="clear" w:color="auto" w:fill="auto"/>
            <w:vAlign w:val="center"/>
          </w:tcPr>
          <w:p w14:paraId="0780EBB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职位</w:t>
            </w:r>
          </w:p>
        </w:tc>
        <w:tc>
          <w:tcPr>
            <w:tcW w:w="1331" w:type="dxa"/>
            <w:shd w:val="clear" w:color="auto" w:fill="auto"/>
            <w:vAlign w:val="center"/>
          </w:tcPr>
          <w:p w14:paraId="719B219D">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val="en-US" w:eastAsia="zh-CN" w:bidi="ar"/>
              </w:rPr>
            </w:pPr>
            <w:r>
              <w:rPr>
                <w:rFonts w:hint="eastAsia" w:ascii="宋体" w:hAnsi="宋体" w:eastAsia="宋体" w:cs="宋体"/>
                <w:b/>
                <w:bCs/>
                <w:color w:val="auto"/>
                <w:kern w:val="2"/>
                <w:sz w:val="21"/>
                <w:szCs w:val="21"/>
                <w:highlight w:val="none"/>
                <w:lang w:val="en-US" w:eastAsia="zh-CN" w:bidi="ar"/>
              </w:rPr>
              <w:t>配置人数</w:t>
            </w:r>
          </w:p>
        </w:tc>
        <w:tc>
          <w:tcPr>
            <w:tcW w:w="1855" w:type="dxa"/>
            <w:shd w:val="clear" w:color="auto" w:fill="auto"/>
            <w:vAlign w:val="center"/>
          </w:tcPr>
          <w:p w14:paraId="22A8333D">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val="en-US" w:eastAsia="zh-CN" w:bidi="ar"/>
              </w:rPr>
            </w:pPr>
            <w:r>
              <w:rPr>
                <w:rFonts w:hint="eastAsia" w:ascii="宋体" w:hAnsi="宋体" w:eastAsia="宋体" w:cs="宋体"/>
                <w:b/>
                <w:bCs/>
                <w:color w:val="auto"/>
                <w:kern w:val="2"/>
                <w:sz w:val="21"/>
                <w:szCs w:val="21"/>
                <w:highlight w:val="none"/>
                <w:lang w:val="en-US" w:eastAsia="zh-CN" w:bidi="ar"/>
              </w:rPr>
              <w:t>月合计（元）</w:t>
            </w:r>
          </w:p>
        </w:tc>
        <w:tc>
          <w:tcPr>
            <w:tcW w:w="2072" w:type="dxa"/>
            <w:shd w:val="clear" w:color="auto" w:fill="auto"/>
            <w:vAlign w:val="center"/>
          </w:tcPr>
          <w:p w14:paraId="510D804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备注</w:t>
            </w:r>
          </w:p>
        </w:tc>
      </w:tr>
      <w:tr w14:paraId="32DE6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919" w:type="dxa"/>
            <w:shd w:val="clear" w:color="auto" w:fill="auto"/>
            <w:vAlign w:val="center"/>
          </w:tcPr>
          <w:p w14:paraId="7F998CD3">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2336" w:type="dxa"/>
            <w:shd w:val="clear" w:color="auto" w:fill="auto"/>
            <w:vAlign w:val="center"/>
          </w:tcPr>
          <w:p w14:paraId="0C79190F">
            <w:pPr>
              <w:keepNext w:val="0"/>
              <w:keepLines w:val="0"/>
              <w:widowControl/>
              <w:suppressLineNumbers w:val="0"/>
              <w:spacing w:before="0" w:beforeAutospacing="0" w:after="0" w:afterAutospacing="0"/>
              <w:ind w:left="0" w:right="0" w:firstLine="630" w:firstLineChars="300"/>
              <w:jc w:val="both"/>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车辆道闸</w:t>
            </w:r>
          </w:p>
        </w:tc>
        <w:tc>
          <w:tcPr>
            <w:tcW w:w="1331" w:type="dxa"/>
            <w:shd w:val="clear" w:color="auto" w:fill="auto"/>
            <w:vAlign w:val="center"/>
          </w:tcPr>
          <w:p w14:paraId="5E1A3853">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val="0"/>
                <w:bCs w:val="0"/>
                <w:i w:val="0"/>
                <w:iCs w:val="0"/>
                <w:color w:val="000000"/>
                <w:kern w:val="0"/>
                <w:sz w:val="21"/>
                <w:szCs w:val="21"/>
                <w:u w:val="none"/>
                <w:lang w:val="en-US" w:eastAsia="zh-CN" w:bidi="ar"/>
              </w:rPr>
            </w:pPr>
            <w:r>
              <w:rPr>
                <w:rFonts w:hint="eastAsia" w:asciiTheme="minorEastAsia" w:hAnsiTheme="minorEastAsia" w:eastAsiaTheme="minorEastAsia" w:cstheme="minorEastAsia"/>
                <w:b w:val="0"/>
                <w:bCs w:val="0"/>
                <w:i w:val="0"/>
                <w:iCs w:val="0"/>
                <w:color w:val="000000"/>
                <w:kern w:val="0"/>
                <w:sz w:val="21"/>
                <w:szCs w:val="21"/>
                <w:u w:val="none"/>
                <w:lang w:val="en-US" w:eastAsia="zh-CN" w:bidi="ar"/>
              </w:rPr>
              <w:t>2</w:t>
            </w:r>
          </w:p>
        </w:tc>
        <w:tc>
          <w:tcPr>
            <w:tcW w:w="1855" w:type="dxa"/>
            <w:shd w:val="clear" w:color="auto" w:fill="auto"/>
            <w:vAlign w:val="center"/>
          </w:tcPr>
          <w:p w14:paraId="3406F12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9266</w:t>
            </w:r>
          </w:p>
        </w:tc>
        <w:tc>
          <w:tcPr>
            <w:tcW w:w="2072" w:type="dxa"/>
            <w:shd w:val="clear" w:color="auto" w:fill="auto"/>
            <w:vAlign w:val="center"/>
          </w:tcPr>
          <w:p w14:paraId="69B61F11">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入口值守</w:t>
            </w:r>
          </w:p>
        </w:tc>
      </w:tr>
      <w:tr w14:paraId="41E42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9" w:hRule="atLeast"/>
          <w:jc w:val="center"/>
        </w:trPr>
        <w:tc>
          <w:tcPr>
            <w:tcW w:w="919" w:type="dxa"/>
            <w:shd w:val="clear" w:color="auto" w:fill="auto"/>
            <w:vAlign w:val="center"/>
          </w:tcPr>
          <w:p w14:paraId="6BE4BBC3">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2336" w:type="dxa"/>
            <w:shd w:val="clear" w:color="auto" w:fill="auto"/>
            <w:vAlign w:val="center"/>
          </w:tcPr>
          <w:p w14:paraId="439B8A7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1楼大厅值班</w:t>
            </w:r>
          </w:p>
        </w:tc>
        <w:tc>
          <w:tcPr>
            <w:tcW w:w="1331" w:type="dxa"/>
            <w:shd w:val="clear" w:color="auto" w:fill="auto"/>
            <w:vAlign w:val="center"/>
          </w:tcPr>
          <w:p w14:paraId="6AB2B09C">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val="0"/>
                <w:bCs w:val="0"/>
                <w:i w:val="0"/>
                <w:iCs w:val="0"/>
                <w:color w:val="000000"/>
                <w:kern w:val="0"/>
                <w:sz w:val="21"/>
                <w:szCs w:val="21"/>
                <w:u w:val="none"/>
                <w:lang w:val="en-US" w:eastAsia="zh-CN" w:bidi="ar"/>
              </w:rPr>
            </w:pPr>
            <w:r>
              <w:rPr>
                <w:rFonts w:hint="eastAsia" w:asciiTheme="minorEastAsia" w:hAnsiTheme="minorEastAsia" w:eastAsiaTheme="minorEastAsia" w:cstheme="minorEastAsia"/>
                <w:b w:val="0"/>
                <w:bCs w:val="0"/>
                <w:i w:val="0"/>
                <w:iCs w:val="0"/>
                <w:color w:val="000000"/>
                <w:kern w:val="0"/>
                <w:sz w:val="21"/>
                <w:szCs w:val="21"/>
                <w:u w:val="none"/>
                <w:lang w:val="en-US" w:eastAsia="zh-CN" w:bidi="ar"/>
              </w:rPr>
              <w:t>1</w:t>
            </w:r>
          </w:p>
        </w:tc>
        <w:tc>
          <w:tcPr>
            <w:tcW w:w="1855" w:type="dxa"/>
            <w:shd w:val="clear" w:color="auto" w:fill="auto"/>
            <w:vAlign w:val="center"/>
          </w:tcPr>
          <w:p w14:paraId="44B4AF6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4633</w:t>
            </w:r>
          </w:p>
        </w:tc>
        <w:tc>
          <w:tcPr>
            <w:tcW w:w="2072" w:type="dxa"/>
            <w:shd w:val="clear" w:color="auto" w:fill="auto"/>
            <w:vAlign w:val="center"/>
          </w:tcPr>
          <w:p w14:paraId="1497F285">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1楼大厅值守</w:t>
            </w:r>
          </w:p>
        </w:tc>
      </w:tr>
      <w:tr w14:paraId="3890C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7" w:hRule="atLeast"/>
          <w:jc w:val="center"/>
        </w:trPr>
        <w:tc>
          <w:tcPr>
            <w:tcW w:w="919" w:type="dxa"/>
            <w:shd w:val="clear" w:color="auto" w:fill="auto"/>
            <w:vAlign w:val="center"/>
          </w:tcPr>
          <w:p w14:paraId="2A5CFAD2">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2336" w:type="dxa"/>
            <w:shd w:val="clear" w:color="auto" w:fill="auto"/>
            <w:vAlign w:val="center"/>
          </w:tcPr>
          <w:p w14:paraId="27C9AB7B">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日/夜间巡逻岗</w:t>
            </w:r>
          </w:p>
        </w:tc>
        <w:tc>
          <w:tcPr>
            <w:tcW w:w="1331" w:type="dxa"/>
            <w:shd w:val="clear" w:color="auto" w:fill="auto"/>
            <w:vAlign w:val="center"/>
          </w:tcPr>
          <w:p w14:paraId="6B51FF97">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val="0"/>
                <w:bCs w:val="0"/>
                <w:i w:val="0"/>
                <w:iCs w:val="0"/>
                <w:color w:val="000000"/>
                <w:kern w:val="0"/>
                <w:sz w:val="21"/>
                <w:szCs w:val="21"/>
                <w:u w:val="none"/>
                <w:lang w:val="en-US" w:eastAsia="zh-CN" w:bidi="ar"/>
              </w:rPr>
            </w:pPr>
            <w:r>
              <w:rPr>
                <w:rFonts w:hint="eastAsia" w:asciiTheme="minorEastAsia" w:hAnsiTheme="minorEastAsia" w:eastAsiaTheme="minorEastAsia" w:cstheme="minorEastAsia"/>
                <w:b w:val="0"/>
                <w:bCs w:val="0"/>
                <w:i w:val="0"/>
                <w:iCs w:val="0"/>
                <w:color w:val="000000"/>
                <w:kern w:val="0"/>
                <w:sz w:val="21"/>
                <w:szCs w:val="21"/>
                <w:u w:val="none"/>
                <w:lang w:val="en-US" w:eastAsia="zh-CN" w:bidi="ar"/>
              </w:rPr>
              <w:t>2</w:t>
            </w:r>
          </w:p>
        </w:tc>
        <w:tc>
          <w:tcPr>
            <w:tcW w:w="1855" w:type="dxa"/>
            <w:shd w:val="clear" w:color="auto" w:fill="auto"/>
            <w:vAlign w:val="center"/>
          </w:tcPr>
          <w:p w14:paraId="21AA68D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9266</w:t>
            </w:r>
          </w:p>
        </w:tc>
        <w:tc>
          <w:tcPr>
            <w:tcW w:w="2072" w:type="dxa"/>
            <w:shd w:val="clear" w:color="auto" w:fill="auto"/>
            <w:vAlign w:val="center"/>
          </w:tcPr>
          <w:p w14:paraId="7208ED7C">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外围巡逻、秩序维护</w:t>
            </w:r>
          </w:p>
        </w:tc>
      </w:tr>
      <w:tr w14:paraId="274A2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5" w:hRule="atLeast"/>
          <w:jc w:val="center"/>
        </w:trPr>
        <w:tc>
          <w:tcPr>
            <w:tcW w:w="919" w:type="dxa"/>
            <w:vMerge w:val="restart"/>
            <w:shd w:val="clear" w:color="auto" w:fill="auto"/>
            <w:vAlign w:val="center"/>
          </w:tcPr>
          <w:p w14:paraId="0A4F3742">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2336" w:type="dxa"/>
            <w:shd w:val="clear" w:color="auto" w:fill="auto"/>
            <w:vAlign w:val="center"/>
          </w:tcPr>
          <w:p w14:paraId="405570E1">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消控岗</w:t>
            </w:r>
          </w:p>
        </w:tc>
        <w:tc>
          <w:tcPr>
            <w:tcW w:w="1331" w:type="dxa"/>
            <w:vMerge w:val="restart"/>
            <w:shd w:val="clear" w:color="auto" w:fill="auto"/>
            <w:vAlign w:val="center"/>
          </w:tcPr>
          <w:p w14:paraId="6E7AF6D9">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val="0"/>
                <w:bCs w:val="0"/>
                <w:i w:val="0"/>
                <w:iCs w:val="0"/>
                <w:color w:val="000000"/>
                <w:kern w:val="0"/>
                <w:sz w:val="21"/>
                <w:szCs w:val="21"/>
                <w:u w:val="none"/>
                <w:lang w:val="en-US" w:eastAsia="zh-CN" w:bidi="ar"/>
              </w:rPr>
            </w:pPr>
            <w:r>
              <w:rPr>
                <w:rFonts w:hint="eastAsia" w:asciiTheme="minorEastAsia" w:hAnsiTheme="minorEastAsia" w:eastAsiaTheme="minorEastAsia" w:cstheme="minorEastAsia"/>
                <w:b w:val="0"/>
                <w:bCs w:val="0"/>
                <w:i w:val="0"/>
                <w:iCs w:val="0"/>
                <w:color w:val="000000"/>
                <w:kern w:val="0"/>
                <w:sz w:val="21"/>
                <w:szCs w:val="21"/>
                <w:u w:val="none"/>
                <w:lang w:val="en-US" w:eastAsia="zh-CN" w:bidi="ar"/>
              </w:rPr>
              <w:t>2</w:t>
            </w:r>
          </w:p>
        </w:tc>
        <w:tc>
          <w:tcPr>
            <w:tcW w:w="1855" w:type="dxa"/>
            <w:vMerge w:val="restart"/>
            <w:shd w:val="clear" w:color="auto" w:fill="auto"/>
            <w:vAlign w:val="center"/>
          </w:tcPr>
          <w:p w14:paraId="41E70FD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10266</w:t>
            </w:r>
          </w:p>
        </w:tc>
        <w:tc>
          <w:tcPr>
            <w:tcW w:w="2072" w:type="dxa"/>
            <w:vMerge w:val="restart"/>
            <w:shd w:val="clear" w:color="auto" w:fill="auto"/>
            <w:vAlign w:val="center"/>
          </w:tcPr>
          <w:p w14:paraId="2BE6EE1E">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消控室值班</w:t>
            </w:r>
          </w:p>
        </w:tc>
      </w:tr>
      <w:tr w14:paraId="2ADB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5" w:hRule="atLeast"/>
          <w:jc w:val="center"/>
        </w:trPr>
        <w:tc>
          <w:tcPr>
            <w:tcW w:w="919" w:type="dxa"/>
            <w:vMerge w:val="continue"/>
            <w:shd w:val="clear" w:color="auto" w:fill="auto"/>
            <w:vAlign w:val="center"/>
          </w:tcPr>
          <w:p w14:paraId="26D53201">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2336" w:type="dxa"/>
            <w:shd w:val="clear" w:color="auto" w:fill="auto"/>
            <w:vAlign w:val="center"/>
          </w:tcPr>
          <w:p w14:paraId="4D57350A">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（持证）</w:t>
            </w:r>
          </w:p>
        </w:tc>
        <w:tc>
          <w:tcPr>
            <w:tcW w:w="1331" w:type="dxa"/>
            <w:vMerge w:val="continue"/>
            <w:shd w:val="clear" w:color="auto" w:fill="auto"/>
            <w:vAlign w:val="center"/>
          </w:tcPr>
          <w:p w14:paraId="6123CBF2">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val="0"/>
                <w:bCs w:val="0"/>
                <w:i w:val="0"/>
                <w:iCs w:val="0"/>
                <w:color w:val="000000"/>
                <w:kern w:val="0"/>
                <w:sz w:val="21"/>
                <w:szCs w:val="21"/>
                <w:u w:val="none"/>
                <w:lang w:val="en-US" w:eastAsia="zh-CN" w:bidi="ar"/>
              </w:rPr>
            </w:pPr>
          </w:p>
        </w:tc>
        <w:tc>
          <w:tcPr>
            <w:tcW w:w="1855" w:type="dxa"/>
            <w:vMerge w:val="continue"/>
            <w:shd w:val="clear" w:color="auto" w:fill="auto"/>
            <w:vAlign w:val="center"/>
          </w:tcPr>
          <w:p w14:paraId="6F7B628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2072" w:type="dxa"/>
            <w:vMerge w:val="continue"/>
            <w:shd w:val="clear" w:color="auto" w:fill="auto"/>
            <w:vAlign w:val="center"/>
          </w:tcPr>
          <w:p w14:paraId="7398A8DF">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r>
      <w:tr w14:paraId="0EFAC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9" w:hRule="atLeast"/>
          <w:jc w:val="center"/>
        </w:trPr>
        <w:tc>
          <w:tcPr>
            <w:tcW w:w="919" w:type="dxa"/>
            <w:shd w:val="clear" w:color="auto" w:fill="auto"/>
            <w:vAlign w:val="center"/>
          </w:tcPr>
          <w:p w14:paraId="7B7BE549">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2336" w:type="dxa"/>
            <w:shd w:val="clear" w:color="auto" w:fill="auto"/>
            <w:vAlign w:val="center"/>
          </w:tcPr>
          <w:p w14:paraId="4453F573">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轮岗</w:t>
            </w:r>
          </w:p>
        </w:tc>
        <w:tc>
          <w:tcPr>
            <w:tcW w:w="1331" w:type="dxa"/>
            <w:shd w:val="clear" w:color="auto" w:fill="auto"/>
            <w:vAlign w:val="center"/>
          </w:tcPr>
          <w:p w14:paraId="55E41A81">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val="0"/>
                <w:bCs w:val="0"/>
                <w:i w:val="0"/>
                <w:iCs w:val="0"/>
                <w:color w:val="000000"/>
                <w:kern w:val="0"/>
                <w:sz w:val="21"/>
                <w:szCs w:val="21"/>
                <w:u w:val="none"/>
                <w:lang w:val="en-US" w:eastAsia="zh-CN" w:bidi="ar"/>
              </w:rPr>
            </w:pPr>
            <w:r>
              <w:rPr>
                <w:rFonts w:hint="eastAsia" w:asciiTheme="minorEastAsia" w:hAnsiTheme="minorEastAsia" w:eastAsiaTheme="minorEastAsia" w:cstheme="minorEastAsia"/>
                <w:b w:val="0"/>
                <w:bCs w:val="0"/>
                <w:i w:val="0"/>
                <w:iCs w:val="0"/>
                <w:color w:val="000000"/>
                <w:kern w:val="0"/>
                <w:sz w:val="21"/>
                <w:szCs w:val="21"/>
                <w:u w:val="none"/>
                <w:lang w:val="en-US" w:eastAsia="zh-CN" w:bidi="ar"/>
              </w:rPr>
              <w:t>1</w:t>
            </w:r>
          </w:p>
        </w:tc>
        <w:tc>
          <w:tcPr>
            <w:tcW w:w="1855" w:type="dxa"/>
            <w:shd w:val="clear" w:color="auto" w:fill="auto"/>
            <w:vAlign w:val="center"/>
          </w:tcPr>
          <w:p w14:paraId="00F292D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4633</w:t>
            </w:r>
          </w:p>
        </w:tc>
        <w:tc>
          <w:tcPr>
            <w:tcW w:w="2072" w:type="dxa"/>
            <w:shd w:val="clear" w:color="auto" w:fill="auto"/>
            <w:vAlign w:val="center"/>
          </w:tcPr>
          <w:p w14:paraId="5D5E51BF">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轮岗</w:t>
            </w:r>
          </w:p>
        </w:tc>
      </w:tr>
      <w:tr w14:paraId="7F835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3255" w:type="dxa"/>
            <w:gridSpan w:val="2"/>
            <w:shd w:val="clear" w:color="auto" w:fill="auto"/>
            <w:vAlign w:val="center"/>
          </w:tcPr>
          <w:p w14:paraId="017FF94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小计</w:t>
            </w:r>
          </w:p>
        </w:tc>
        <w:tc>
          <w:tcPr>
            <w:tcW w:w="1331" w:type="dxa"/>
            <w:shd w:val="clear" w:color="auto" w:fill="auto"/>
            <w:vAlign w:val="center"/>
          </w:tcPr>
          <w:p w14:paraId="49C4DF78">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8</w:t>
            </w:r>
          </w:p>
        </w:tc>
        <w:tc>
          <w:tcPr>
            <w:tcW w:w="1855" w:type="dxa"/>
            <w:shd w:val="clear" w:color="auto" w:fill="auto"/>
            <w:vAlign w:val="center"/>
          </w:tcPr>
          <w:p w14:paraId="4E159BE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lang w:val="en-US"/>
              </w:rPr>
            </w:pPr>
            <w:r>
              <w:rPr>
                <w:rFonts w:hint="eastAsia" w:asciiTheme="minorEastAsia" w:hAnsiTheme="minorEastAsia" w:eastAsiaTheme="minorEastAsia" w:cstheme="minorEastAsia"/>
                <w:b/>
                <w:bCs/>
                <w:i w:val="0"/>
                <w:iCs w:val="0"/>
                <w:color w:val="000000"/>
                <w:kern w:val="0"/>
                <w:sz w:val="21"/>
                <w:szCs w:val="21"/>
                <w:u w:val="none"/>
                <w:lang w:val="en-US" w:eastAsia="zh-CN" w:bidi="ar"/>
              </w:rPr>
              <w:t>38064</w:t>
            </w:r>
          </w:p>
        </w:tc>
        <w:tc>
          <w:tcPr>
            <w:tcW w:w="2072" w:type="dxa"/>
            <w:shd w:val="clear" w:color="auto" w:fill="auto"/>
            <w:vAlign w:val="center"/>
          </w:tcPr>
          <w:p w14:paraId="6BA165B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w:t>
            </w:r>
          </w:p>
        </w:tc>
      </w:tr>
      <w:tr w14:paraId="5E99E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19" w:type="dxa"/>
            <w:vMerge w:val="restart"/>
            <w:shd w:val="clear" w:color="auto" w:fill="auto"/>
            <w:vAlign w:val="center"/>
          </w:tcPr>
          <w:p w14:paraId="1843B360">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2336" w:type="dxa"/>
            <w:vMerge w:val="restart"/>
            <w:shd w:val="clear" w:color="auto" w:fill="auto"/>
            <w:vAlign w:val="center"/>
          </w:tcPr>
          <w:p w14:paraId="476F70CA">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职位</w:t>
            </w:r>
          </w:p>
        </w:tc>
        <w:tc>
          <w:tcPr>
            <w:tcW w:w="1331" w:type="dxa"/>
            <w:vMerge w:val="restart"/>
            <w:shd w:val="clear" w:color="auto" w:fill="auto"/>
            <w:vAlign w:val="center"/>
          </w:tcPr>
          <w:p w14:paraId="75637E3B">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配置人数</w:t>
            </w:r>
          </w:p>
        </w:tc>
        <w:tc>
          <w:tcPr>
            <w:tcW w:w="1855" w:type="dxa"/>
            <w:vMerge w:val="restart"/>
            <w:shd w:val="clear" w:color="auto" w:fill="auto"/>
            <w:vAlign w:val="center"/>
          </w:tcPr>
          <w:p w14:paraId="3EF84C77">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月合计</w:t>
            </w:r>
          </w:p>
        </w:tc>
        <w:tc>
          <w:tcPr>
            <w:tcW w:w="2072" w:type="dxa"/>
            <w:vMerge w:val="restart"/>
            <w:shd w:val="clear" w:color="auto" w:fill="auto"/>
            <w:vAlign w:val="center"/>
          </w:tcPr>
          <w:p w14:paraId="26540740">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备注</w:t>
            </w:r>
          </w:p>
        </w:tc>
      </w:tr>
      <w:tr w14:paraId="6609A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19" w:type="dxa"/>
            <w:vMerge w:val="continue"/>
            <w:shd w:val="clear" w:color="auto" w:fill="auto"/>
            <w:vAlign w:val="center"/>
          </w:tcPr>
          <w:p w14:paraId="6ACAB6BA">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000000"/>
                <w:sz w:val="21"/>
                <w:szCs w:val="21"/>
                <w:u w:val="none"/>
              </w:rPr>
            </w:pPr>
          </w:p>
        </w:tc>
        <w:tc>
          <w:tcPr>
            <w:tcW w:w="2336" w:type="dxa"/>
            <w:vMerge w:val="continue"/>
            <w:shd w:val="clear" w:color="auto" w:fill="auto"/>
            <w:vAlign w:val="center"/>
          </w:tcPr>
          <w:p w14:paraId="4E3DE5CD">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000000"/>
                <w:sz w:val="21"/>
                <w:szCs w:val="21"/>
                <w:u w:val="none"/>
              </w:rPr>
            </w:pPr>
          </w:p>
        </w:tc>
        <w:tc>
          <w:tcPr>
            <w:tcW w:w="1331" w:type="dxa"/>
            <w:vMerge w:val="continue"/>
            <w:shd w:val="clear" w:color="auto" w:fill="auto"/>
            <w:vAlign w:val="center"/>
          </w:tcPr>
          <w:p w14:paraId="49B63D6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000000"/>
                <w:sz w:val="21"/>
                <w:szCs w:val="21"/>
                <w:u w:val="none"/>
              </w:rPr>
            </w:pPr>
          </w:p>
        </w:tc>
        <w:tc>
          <w:tcPr>
            <w:tcW w:w="1855" w:type="dxa"/>
            <w:vMerge w:val="continue"/>
            <w:shd w:val="clear" w:color="auto" w:fill="auto"/>
            <w:vAlign w:val="center"/>
          </w:tcPr>
          <w:p w14:paraId="4F714D2C">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000000"/>
                <w:sz w:val="21"/>
                <w:szCs w:val="21"/>
                <w:u w:val="none"/>
              </w:rPr>
            </w:pPr>
          </w:p>
        </w:tc>
        <w:tc>
          <w:tcPr>
            <w:tcW w:w="2072" w:type="dxa"/>
            <w:vMerge w:val="continue"/>
            <w:shd w:val="clear" w:color="auto" w:fill="auto"/>
            <w:vAlign w:val="center"/>
          </w:tcPr>
          <w:p w14:paraId="685C966A">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000000"/>
                <w:sz w:val="21"/>
                <w:szCs w:val="21"/>
                <w:u w:val="none"/>
              </w:rPr>
            </w:pPr>
          </w:p>
        </w:tc>
      </w:tr>
      <w:tr w14:paraId="2D71D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919" w:type="dxa"/>
            <w:shd w:val="clear" w:color="auto" w:fill="auto"/>
            <w:vAlign w:val="center"/>
          </w:tcPr>
          <w:p w14:paraId="5406EAE9">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2336" w:type="dxa"/>
            <w:shd w:val="clear" w:color="auto" w:fill="auto"/>
            <w:vAlign w:val="center"/>
          </w:tcPr>
          <w:p w14:paraId="473D207E">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A座楼栋保洁</w:t>
            </w:r>
          </w:p>
        </w:tc>
        <w:tc>
          <w:tcPr>
            <w:tcW w:w="1331" w:type="dxa"/>
            <w:shd w:val="clear" w:color="auto" w:fill="auto"/>
            <w:vAlign w:val="center"/>
          </w:tcPr>
          <w:p w14:paraId="7A9D22CA">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855" w:type="dxa"/>
            <w:shd w:val="clear" w:color="auto" w:fill="auto"/>
            <w:vAlign w:val="center"/>
          </w:tcPr>
          <w:p w14:paraId="0FCA405D">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16532</w:t>
            </w:r>
          </w:p>
        </w:tc>
        <w:tc>
          <w:tcPr>
            <w:tcW w:w="2072" w:type="dxa"/>
            <w:shd w:val="clear" w:color="auto" w:fill="auto"/>
            <w:vAlign w:val="center"/>
          </w:tcPr>
          <w:p w14:paraId="69FADE85">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主楼保洁</w:t>
            </w:r>
          </w:p>
        </w:tc>
      </w:tr>
      <w:tr w14:paraId="73C86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8" w:hRule="atLeast"/>
          <w:jc w:val="center"/>
        </w:trPr>
        <w:tc>
          <w:tcPr>
            <w:tcW w:w="919" w:type="dxa"/>
            <w:shd w:val="clear" w:color="auto" w:fill="auto"/>
            <w:vAlign w:val="center"/>
          </w:tcPr>
          <w:p w14:paraId="2EF979D6">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2336" w:type="dxa"/>
            <w:shd w:val="clear" w:color="auto" w:fill="auto"/>
            <w:vAlign w:val="center"/>
          </w:tcPr>
          <w:p w14:paraId="018F5062">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B座保洁</w:t>
            </w:r>
          </w:p>
        </w:tc>
        <w:tc>
          <w:tcPr>
            <w:tcW w:w="1331" w:type="dxa"/>
            <w:shd w:val="clear" w:color="auto" w:fill="auto"/>
            <w:vAlign w:val="center"/>
          </w:tcPr>
          <w:p w14:paraId="441DCFE2">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855" w:type="dxa"/>
            <w:shd w:val="clear" w:color="auto" w:fill="auto"/>
            <w:vAlign w:val="center"/>
          </w:tcPr>
          <w:p w14:paraId="2C6AC85B">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8266</w:t>
            </w:r>
          </w:p>
        </w:tc>
        <w:tc>
          <w:tcPr>
            <w:tcW w:w="2072" w:type="dxa"/>
            <w:shd w:val="clear" w:color="auto" w:fill="auto"/>
            <w:vAlign w:val="center"/>
          </w:tcPr>
          <w:p w14:paraId="354FEB42">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派出所保洁</w:t>
            </w:r>
          </w:p>
        </w:tc>
      </w:tr>
      <w:tr w14:paraId="04A1F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8" w:hRule="atLeast"/>
          <w:jc w:val="center"/>
        </w:trPr>
        <w:tc>
          <w:tcPr>
            <w:tcW w:w="919" w:type="dxa"/>
            <w:shd w:val="clear" w:color="auto" w:fill="auto"/>
            <w:vAlign w:val="center"/>
          </w:tcPr>
          <w:p w14:paraId="4B9C2437">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2336" w:type="dxa"/>
            <w:shd w:val="clear" w:color="auto" w:fill="auto"/>
            <w:vAlign w:val="center"/>
          </w:tcPr>
          <w:p w14:paraId="12B026B5">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公区保洁</w:t>
            </w:r>
          </w:p>
        </w:tc>
        <w:tc>
          <w:tcPr>
            <w:tcW w:w="1331" w:type="dxa"/>
            <w:shd w:val="clear" w:color="auto" w:fill="auto"/>
            <w:vAlign w:val="center"/>
          </w:tcPr>
          <w:p w14:paraId="70E26384">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855" w:type="dxa"/>
            <w:shd w:val="clear" w:color="auto" w:fill="auto"/>
            <w:vAlign w:val="center"/>
          </w:tcPr>
          <w:p w14:paraId="02BB98AC">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4133</w:t>
            </w:r>
          </w:p>
        </w:tc>
        <w:tc>
          <w:tcPr>
            <w:tcW w:w="2072" w:type="dxa"/>
            <w:shd w:val="clear" w:color="auto" w:fill="auto"/>
            <w:vAlign w:val="center"/>
          </w:tcPr>
          <w:p w14:paraId="2DB07F30">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公区地库</w:t>
            </w:r>
          </w:p>
        </w:tc>
      </w:tr>
      <w:tr w14:paraId="13C77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5" w:hRule="atLeast"/>
          <w:jc w:val="center"/>
        </w:trPr>
        <w:tc>
          <w:tcPr>
            <w:tcW w:w="919" w:type="dxa"/>
            <w:shd w:val="clear" w:color="auto" w:fill="auto"/>
            <w:vAlign w:val="center"/>
          </w:tcPr>
          <w:p w14:paraId="088CF856">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2336" w:type="dxa"/>
            <w:shd w:val="clear" w:color="auto" w:fill="auto"/>
            <w:vAlign w:val="center"/>
          </w:tcPr>
          <w:p w14:paraId="6097F37D">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垃圾清运</w:t>
            </w:r>
          </w:p>
        </w:tc>
        <w:tc>
          <w:tcPr>
            <w:tcW w:w="1331" w:type="dxa"/>
            <w:shd w:val="clear" w:color="auto" w:fill="auto"/>
            <w:vAlign w:val="center"/>
          </w:tcPr>
          <w:p w14:paraId="5842F764">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855" w:type="dxa"/>
            <w:shd w:val="clear" w:color="auto" w:fill="auto"/>
            <w:vAlign w:val="center"/>
          </w:tcPr>
          <w:p w14:paraId="6AC05FBF">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4333</w:t>
            </w:r>
          </w:p>
        </w:tc>
        <w:tc>
          <w:tcPr>
            <w:tcW w:w="2072" w:type="dxa"/>
            <w:shd w:val="clear" w:color="auto" w:fill="auto"/>
            <w:vAlign w:val="center"/>
          </w:tcPr>
          <w:p w14:paraId="3431DD2F">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垃圾转运</w:t>
            </w:r>
          </w:p>
        </w:tc>
      </w:tr>
      <w:tr w14:paraId="0777B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5" w:hRule="atLeast"/>
          <w:jc w:val="center"/>
        </w:trPr>
        <w:tc>
          <w:tcPr>
            <w:tcW w:w="3255" w:type="dxa"/>
            <w:gridSpan w:val="2"/>
            <w:shd w:val="clear" w:color="auto" w:fill="auto"/>
            <w:vAlign w:val="center"/>
          </w:tcPr>
          <w:p w14:paraId="1CDD7A8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小计</w:t>
            </w:r>
          </w:p>
        </w:tc>
        <w:tc>
          <w:tcPr>
            <w:tcW w:w="1331" w:type="dxa"/>
            <w:shd w:val="clear" w:color="auto" w:fill="auto"/>
            <w:vAlign w:val="center"/>
          </w:tcPr>
          <w:p w14:paraId="529251B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8</w:t>
            </w:r>
          </w:p>
        </w:tc>
        <w:tc>
          <w:tcPr>
            <w:tcW w:w="1855" w:type="dxa"/>
            <w:shd w:val="clear" w:color="auto" w:fill="auto"/>
            <w:vAlign w:val="center"/>
          </w:tcPr>
          <w:p w14:paraId="2A41EB2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33264</w:t>
            </w:r>
          </w:p>
        </w:tc>
        <w:tc>
          <w:tcPr>
            <w:tcW w:w="2072" w:type="dxa"/>
            <w:shd w:val="clear" w:color="auto" w:fill="auto"/>
            <w:vAlign w:val="center"/>
          </w:tcPr>
          <w:p w14:paraId="3208B82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w:t>
            </w:r>
          </w:p>
        </w:tc>
      </w:tr>
      <w:tr w14:paraId="30901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3255" w:type="dxa"/>
            <w:gridSpan w:val="2"/>
            <w:shd w:val="clear" w:color="auto" w:fill="auto"/>
            <w:vAlign w:val="center"/>
          </w:tcPr>
          <w:p w14:paraId="15B41D4A">
            <w:pPr>
              <w:keepNext w:val="0"/>
              <w:keepLines w:val="0"/>
              <w:widowControl/>
              <w:suppressLineNumbers w:val="0"/>
              <w:spacing w:before="0" w:beforeAutospacing="0" w:after="0" w:afterAutospacing="0"/>
              <w:ind w:left="0" w:right="0" w:firstLine="422" w:firstLineChars="200"/>
              <w:jc w:val="center"/>
              <w:textAlignment w:val="center"/>
              <w:rPr>
                <w:rFonts w:hint="eastAsia" w:asciiTheme="minorEastAsia" w:hAnsiTheme="minorEastAsia" w:eastAsiaTheme="minorEastAsia" w:cstheme="minorEastAsia"/>
                <w:b/>
                <w:bCs/>
                <w:i w:val="0"/>
                <w:iCs w:val="0"/>
                <w:color w:val="000000"/>
                <w:kern w:val="2"/>
                <w:sz w:val="21"/>
                <w:szCs w:val="21"/>
                <w:u w:val="none"/>
                <w:lang w:val="en-US" w:eastAsia="zh-CN" w:bidi="ar-SA"/>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合计年度采购费用</w:t>
            </w:r>
          </w:p>
        </w:tc>
        <w:tc>
          <w:tcPr>
            <w:tcW w:w="5258" w:type="dxa"/>
            <w:gridSpan w:val="3"/>
            <w:shd w:val="clear" w:color="auto" w:fill="auto"/>
            <w:vAlign w:val="center"/>
          </w:tcPr>
          <w:p w14:paraId="53A4059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77161元/月；925932元/年</w:t>
            </w:r>
          </w:p>
        </w:tc>
      </w:tr>
    </w:tbl>
    <w:p w14:paraId="2C0121D3">
      <w:pPr>
        <w:keepNext w:val="0"/>
        <w:keepLines w:val="0"/>
        <w:pageBreakBefore w:val="0"/>
        <w:kinsoku/>
        <w:wordWrap/>
        <w:overflowPunct/>
        <w:topLinePunct w:val="0"/>
        <w:autoSpaceDN/>
        <w:bidi w:val="0"/>
        <w:spacing w:line="520" w:lineRule="exact"/>
        <w:ind w:firstLine="422" w:firstLineChars="200"/>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eastAsia="zh-CN"/>
        </w:rPr>
        <w:t>注：供应商</w:t>
      </w:r>
      <w:r>
        <w:rPr>
          <w:rFonts w:hint="eastAsia" w:asciiTheme="minorEastAsia" w:hAnsiTheme="minorEastAsia" w:eastAsiaTheme="minorEastAsia" w:cstheme="minorEastAsia"/>
          <w:b/>
          <w:bCs/>
          <w:sz w:val="21"/>
          <w:szCs w:val="21"/>
        </w:rPr>
        <w:t>所配备人员须满足</w:t>
      </w:r>
      <w:r>
        <w:rPr>
          <w:rFonts w:hint="eastAsia" w:asciiTheme="minorEastAsia" w:hAnsiTheme="minorEastAsia" w:eastAsiaTheme="minorEastAsia" w:cstheme="minorEastAsia"/>
          <w:b/>
          <w:bCs/>
          <w:sz w:val="21"/>
          <w:szCs w:val="21"/>
          <w:lang w:eastAsia="zh-CN"/>
        </w:rPr>
        <w:t>甲方</w:t>
      </w:r>
      <w:r>
        <w:rPr>
          <w:rFonts w:hint="eastAsia" w:asciiTheme="minorEastAsia" w:hAnsiTheme="minorEastAsia" w:eastAsiaTheme="minorEastAsia" w:cstheme="minorEastAsia"/>
          <w:b/>
          <w:bCs/>
          <w:sz w:val="21"/>
          <w:szCs w:val="21"/>
        </w:rPr>
        <w:t>本需求内所明确的人员配置要求，</w:t>
      </w:r>
      <w:r>
        <w:rPr>
          <w:rFonts w:hint="eastAsia" w:asciiTheme="minorEastAsia" w:hAnsiTheme="minorEastAsia" w:eastAsiaTheme="minorEastAsia" w:cstheme="minorEastAsia"/>
          <w:b/>
          <w:bCs/>
          <w:sz w:val="21"/>
          <w:szCs w:val="21"/>
          <w:lang w:eastAsia="zh-CN"/>
        </w:rPr>
        <w:t>如出现缺编情况</w:t>
      </w:r>
      <w:r>
        <w:rPr>
          <w:rFonts w:hint="eastAsia" w:asciiTheme="minorEastAsia" w:hAnsiTheme="minorEastAsia" w:eastAsiaTheme="minorEastAsia" w:cstheme="minorEastAsia"/>
          <w:b/>
          <w:bCs/>
          <w:sz w:val="21"/>
          <w:szCs w:val="21"/>
          <w:lang w:val="en-US" w:eastAsia="zh-CN"/>
        </w:rPr>
        <w:t>其服务费用随人数需求递减，</w:t>
      </w:r>
      <w:r>
        <w:rPr>
          <w:rFonts w:hint="eastAsia" w:asciiTheme="minorEastAsia" w:hAnsiTheme="minorEastAsia" w:eastAsiaTheme="minorEastAsia" w:cstheme="minorEastAsia"/>
          <w:b/>
          <w:bCs/>
          <w:sz w:val="21"/>
          <w:szCs w:val="21"/>
          <w:highlight w:val="none"/>
          <w:lang w:val="en-US" w:eastAsia="zh-CN"/>
        </w:rPr>
        <w:t>核减标准参照分项价格表内单价。</w:t>
      </w:r>
    </w:p>
    <w:p w14:paraId="4786DB51">
      <w:pPr>
        <w:keepNext w:val="0"/>
        <w:keepLines w:val="0"/>
        <w:pageBreakBefore w:val="0"/>
        <w:kinsoku/>
        <w:wordWrap/>
        <w:overflowPunct/>
        <w:topLinePunct w:val="0"/>
        <w:autoSpaceDN/>
        <w:bidi w:val="0"/>
        <w:spacing w:line="520" w:lineRule="exact"/>
        <w:ind w:firstLine="422" w:firstLineChars="200"/>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lang w:val="en-US" w:eastAsia="zh-CN"/>
        </w:rPr>
        <w:t>7</w:t>
      </w:r>
      <w:r>
        <w:rPr>
          <w:rFonts w:hint="eastAsia" w:asciiTheme="minorEastAsia" w:hAnsiTheme="minorEastAsia" w:eastAsiaTheme="minorEastAsia" w:cstheme="minorEastAsia"/>
          <w:b/>
          <w:bCs/>
          <w:sz w:val="21"/>
          <w:szCs w:val="21"/>
        </w:rPr>
        <w:t>、其他要求</w:t>
      </w:r>
    </w:p>
    <w:p w14:paraId="6A69E4C7">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.1、成交供应商应保证对</w:t>
      </w:r>
      <w:r>
        <w:rPr>
          <w:rFonts w:hint="eastAsia" w:asciiTheme="minorEastAsia" w:hAnsiTheme="minorEastAsia" w:eastAsiaTheme="minorEastAsia" w:cstheme="minorEastAsia"/>
          <w:sz w:val="21"/>
          <w:szCs w:val="21"/>
          <w:lang w:eastAsia="zh-CN"/>
        </w:rPr>
        <w:t>保安、保洁</w:t>
      </w:r>
      <w:r>
        <w:rPr>
          <w:rFonts w:hint="eastAsia" w:asciiTheme="minorEastAsia" w:hAnsiTheme="minorEastAsia" w:eastAsiaTheme="minorEastAsia" w:cstheme="minorEastAsia"/>
          <w:sz w:val="21"/>
          <w:szCs w:val="21"/>
        </w:rPr>
        <w:t>人员进行职业道德、相关劳动政策及法律法规、安全服务的培训，使</w:t>
      </w:r>
      <w:r>
        <w:rPr>
          <w:rFonts w:hint="eastAsia" w:asciiTheme="minorEastAsia" w:hAnsiTheme="minorEastAsia" w:eastAsiaTheme="minorEastAsia" w:cstheme="minorEastAsia"/>
          <w:sz w:val="21"/>
          <w:szCs w:val="21"/>
          <w:lang w:eastAsia="zh-CN"/>
        </w:rPr>
        <w:t>保安、保洁</w:t>
      </w:r>
      <w:r>
        <w:rPr>
          <w:rFonts w:hint="eastAsia" w:asciiTheme="minorEastAsia" w:hAnsiTheme="minorEastAsia" w:eastAsiaTheme="minorEastAsia" w:cstheme="minorEastAsia"/>
          <w:sz w:val="21"/>
          <w:szCs w:val="21"/>
        </w:rPr>
        <w:t>人员能够顺利上岗；</w:t>
      </w:r>
    </w:p>
    <w:p w14:paraId="56778677">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成交供应商应确保及时、准确、妥善的处理员工（含新老员工）的档案管理、薪酬管理、社保办理及个税代扣代缴工作，代办员工有关证件、有关法律法规咨询等，确保和谐、稳妥的处理</w:t>
      </w:r>
      <w:r>
        <w:rPr>
          <w:rFonts w:hint="eastAsia" w:asciiTheme="minorEastAsia" w:hAnsiTheme="minorEastAsia" w:eastAsiaTheme="minorEastAsia" w:cstheme="minorEastAsia"/>
          <w:sz w:val="21"/>
          <w:szCs w:val="21"/>
          <w:lang w:eastAsia="zh-CN"/>
        </w:rPr>
        <w:t>保安、保洁</w:t>
      </w:r>
      <w:r>
        <w:rPr>
          <w:rFonts w:hint="eastAsia" w:asciiTheme="minorEastAsia" w:hAnsiTheme="minorEastAsia" w:eastAsiaTheme="minorEastAsia" w:cstheme="minorEastAsia"/>
          <w:sz w:val="21"/>
          <w:szCs w:val="21"/>
        </w:rPr>
        <w:t>员工的劳动纠纷、劳动诉讼及人事仲裁事件，避免妨碍采购人的正常工作或给采购人带来不利社会影响；</w:t>
      </w:r>
    </w:p>
    <w:p w14:paraId="3A957720">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.3、成交供应商应具备劳动法律咨询和企业人力资源管理咨询服务的能力；</w:t>
      </w:r>
    </w:p>
    <w:p w14:paraId="41F5AA76">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.4、在</w:t>
      </w:r>
      <w:r>
        <w:rPr>
          <w:rFonts w:hint="eastAsia" w:asciiTheme="minorEastAsia" w:hAnsiTheme="minorEastAsia" w:eastAsiaTheme="minorEastAsia" w:cstheme="minorEastAsia"/>
          <w:sz w:val="21"/>
          <w:szCs w:val="21"/>
          <w:lang w:eastAsia="zh-CN"/>
        </w:rPr>
        <w:t>保安、保洁</w:t>
      </w:r>
      <w:r>
        <w:rPr>
          <w:rFonts w:hint="eastAsia" w:asciiTheme="minorEastAsia" w:hAnsiTheme="minorEastAsia" w:eastAsiaTheme="minorEastAsia" w:cstheme="minorEastAsia"/>
          <w:sz w:val="21"/>
          <w:szCs w:val="21"/>
        </w:rPr>
        <w:t>人员正式上岗前，成交供应商负责对</w:t>
      </w:r>
      <w:r>
        <w:rPr>
          <w:rFonts w:hint="eastAsia" w:asciiTheme="minorEastAsia" w:hAnsiTheme="minorEastAsia" w:eastAsiaTheme="minorEastAsia" w:cstheme="minorEastAsia"/>
          <w:sz w:val="21"/>
          <w:szCs w:val="21"/>
          <w:lang w:eastAsia="zh-CN"/>
        </w:rPr>
        <w:t>保安、保洁</w:t>
      </w:r>
      <w:r>
        <w:rPr>
          <w:rFonts w:hint="eastAsia" w:asciiTheme="minorEastAsia" w:hAnsiTheme="minorEastAsia" w:eastAsiaTheme="minorEastAsia" w:cstheme="minorEastAsia"/>
          <w:sz w:val="21"/>
          <w:szCs w:val="21"/>
        </w:rPr>
        <w:t>人员实施岗前培训，培训内容主要有各项规章制度培训，在岗基本职业技能与素质的培训等内容</w:t>
      </w:r>
      <w:r>
        <w:rPr>
          <w:rFonts w:hint="eastAsia" w:asciiTheme="minorEastAsia" w:hAnsiTheme="minorEastAsia" w:eastAsiaTheme="minorEastAsia" w:cstheme="minorEastAsia"/>
          <w:sz w:val="21"/>
          <w:szCs w:val="21"/>
          <w:lang w:eastAsia="zh-CN"/>
        </w:rPr>
        <w:t>；</w:t>
      </w:r>
    </w:p>
    <w:p w14:paraId="78EAAC2F">
      <w:pPr>
        <w:keepNext w:val="0"/>
        <w:keepLines w:val="0"/>
        <w:pageBreakBefore w:val="0"/>
        <w:kinsoku/>
        <w:wordWrap/>
        <w:overflowPunct/>
        <w:topLinePunct w:val="0"/>
        <w:autoSpaceDN/>
        <w:bidi w:val="0"/>
        <w:spacing w:after="120" w:line="520" w:lineRule="exact"/>
        <w:ind w:firstLine="420" w:firstLineChars="200"/>
        <w:textAlignment w:val="auto"/>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lang w:val="en-US" w:eastAsia="zh-CN"/>
        </w:rPr>
        <w:t>所有保安保洁</w:t>
      </w:r>
      <w:r>
        <w:rPr>
          <w:rFonts w:hint="eastAsia" w:asciiTheme="minorEastAsia" w:hAnsiTheme="minorEastAsia" w:eastAsiaTheme="minorEastAsia" w:cstheme="minorEastAsia"/>
          <w:sz w:val="21"/>
          <w:szCs w:val="21"/>
        </w:rPr>
        <w:t>人员工作服，保安工具（对讲机、警棍等）、</w:t>
      </w:r>
      <w:r>
        <w:rPr>
          <w:rFonts w:hint="eastAsia" w:asciiTheme="minorEastAsia" w:hAnsiTheme="minorEastAsia" w:eastAsiaTheme="minorEastAsia" w:cstheme="minorEastAsia"/>
          <w:bCs/>
          <w:sz w:val="21"/>
          <w:szCs w:val="21"/>
        </w:rPr>
        <w:t>保洁工具（扫把、垃圾车</w:t>
      </w:r>
      <w:r>
        <w:rPr>
          <w:rFonts w:hint="eastAsia" w:asciiTheme="minorEastAsia" w:hAnsiTheme="minorEastAsia" w:eastAsiaTheme="minorEastAsia" w:cstheme="minorEastAsia"/>
          <w:bCs/>
          <w:sz w:val="21"/>
          <w:szCs w:val="21"/>
          <w:lang w:eastAsia="zh-CN"/>
        </w:rPr>
        <w:t>、各类垃圾桶</w:t>
      </w:r>
      <w:r>
        <w:rPr>
          <w:rFonts w:hint="eastAsia" w:asciiTheme="minorEastAsia" w:hAnsiTheme="minorEastAsia" w:eastAsiaTheme="minorEastAsia" w:cstheme="minorEastAsia"/>
          <w:bCs/>
          <w:sz w:val="21"/>
          <w:szCs w:val="21"/>
        </w:rPr>
        <w:t>等）</w:t>
      </w:r>
      <w:r>
        <w:rPr>
          <w:rFonts w:hint="eastAsia" w:asciiTheme="minorEastAsia" w:hAnsiTheme="minorEastAsia" w:eastAsiaTheme="minorEastAsia" w:cstheme="minorEastAsia"/>
          <w:bCs/>
          <w:sz w:val="21"/>
          <w:szCs w:val="21"/>
          <w:lang w:val="en-US" w:eastAsia="zh-CN"/>
        </w:rPr>
        <w:t>由供应商自行采购</w:t>
      </w:r>
      <w:r>
        <w:rPr>
          <w:rFonts w:hint="eastAsia" w:asciiTheme="minorEastAsia" w:hAnsiTheme="minorEastAsia" w:eastAsiaTheme="minorEastAsia" w:cstheme="minorEastAsia"/>
          <w:bCs/>
          <w:sz w:val="21"/>
          <w:szCs w:val="21"/>
          <w:lang w:eastAsia="zh-CN"/>
        </w:rPr>
        <w:t>；</w:t>
      </w:r>
    </w:p>
    <w:p w14:paraId="70B571D9">
      <w:pPr>
        <w:pStyle w:val="58"/>
        <w:keepNext w:val="0"/>
        <w:keepLines w:val="0"/>
        <w:pageBreakBefore w:val="0"/>
        <w:numPr>
          <w:ilvl w:val="0"/>
          <w:numId w:val="0"/>
        </w:numPr>
        <w:kinsoku/>
        <w:wordWrap/>
        <w:overflowPunct/>
        <w:topLinePunct w:val="0"/>
        <w:autoSpaceDN/>
        <w:bidi w:val="0"/>
        <w:spacing w:line="520" w:lineRule="exact"/>
        <w:ind w:firstLine="422" w:firstLineChars="200"/>
        <w:textAlignment w:val="auto"/>
        <w:rPr>
          <w:rFonts w:hint="eastAsia" w:asciiTheme="minorEastAsia" w:hAnsiTheme="minorEastAsia" w:eastAsiaTheme="minorEastAsia" w:cstheme="minorEastAsia"/>
          <w:b/>
          <w:bCs w:val="0"/>
          <w:sz w:val="21"/>
          <w:szCs w:val="21"/>
          <w:lang w:val="en-US" w:eastAsia="zh-CN"/>
        </w:rPr>
      </w:pPr>
      <w:r>
        <w:rPr>
          <w:rFonts w:hint="eastAsia" w:asciiTheme="minorEastAsia" w:hAnsiTheme="minorEastAsia" w:eastAsiaTheme="minorEastAsia" w:cstheme="minorEastAsia"/>
          <w:b/>
          <w:bCs w:val="0"/>
          <w:sz w:val="21"/>
          <w:szCs w:val="21"/>
          <w:lang w:val="en-US" w:eastAsia="zh-CN"/>
        </w:rPr>
        <w:t xml:space="preserve">7.6、成交供应商须在合同签订前或采购人第一次付款前一次性缴纳履约保证金（保证金缴纳标准为1个月度服务费），如在合同履行过程中其保证金产生扣罚情况，供应商须依照扣罚金额，在7日内补足履约保证金。在合同服务届满后2月内且双方均无人员及财产争议，由采购人无息退还。   </w:t>
      </w:r>
    </w:p>
    <w:p w14:paraId="00902614">
      <w:pPr>
        <w:pStyle w:val="58"/>
        <w:keepNext w:val="0"/>
        <w:keepLines w:val="0"/>
        <w:pageBreakBefore w:val="0"/>
        <w:numPr>
          <w:ilvl w:val="0"/>
          <w:numId w:val="0"/>
        </w:numPr>
        <w:kinsoku/>
        <w:wordWrap/>
        <w:overflowPunct/>
        <w:topLinePunct w:val="0"/>
        <w:autoSpaceDN/>
        <w:bidi w:val="0"/>
        <w:spacing w:line="520" w:lineRule="exact"/>
        <w:ind w:firstLine="422" w:firstLineChars="200"/>
        <w:textAlignment w:val="auto"/>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b/>
          <w:bCs w:val="0"/>
          <w:sz w:val="21"/>
          <w:szCs w:val="21"/>
          <w:lang w:val="en-US" w:eastAsia="zh-CN"/>
        </w:rPr>
        <w:t>7.7、该项目目前需求人数为17人，如后期因服务内容或服务范围有所转变采购人有权对需求人员进行相应核减，其服务费用随人数需求递减，</w:t>
      </w:r>
      <w:r>
        <w:rPr>
          <w:rFonts w:hint="eastAsia" w:asciiTheme="minorEastAsia" w:hAnsiTheme="minorEastAsia" w:eastAsiaTheme="minorEastAsia" w:cstheme="minorEastAsia"/>
          <w:b/>
          <w:bCs w:val="0"/>
          <w:sz w:val="21"/>
          <w:szCs w:val="21"/>
          <w:highlight w:val="none"/>
          <w:lang w:val="en-US" w:eastAsia="zh-CN"/>
        </w:rPr>
        <w:t xml:space="preserve">核减标准参照分项价格表内单价。 </w:t>
      </w:r>
      <w:r>
        <w:rPr>
          <w:rFonts w:hint="eastAsia" w:asciiTheme="minorEastAsia" w:hAnsiTheme="minorEastAsia" w:eastAsiaTheme="minorEastAsia" w:cstheme="minorEastAsia"/>
          <w:b w:val="0"/>
          <w:bCs/>
          <w:sz w:val="21"/>
          <w:szCs w:val="21"/>
          <w:lang w:val="en-US" w:eastAsia="zh-CN"/>
        </w:rPr>
        <w:t xml:space="preserve">   </w:t>
      </w:r>
      <w:r>
        <w:rPr>
          <w:rFonts w:hint="eastAsia" w:asciiTheme="minorEastAsia" w:hAnsiTheme="minorEastAsia" w:eastAsiaTheme="minorEastAsia" w:cstheme="minorEastAsia"/>
          <w:bCs/>
          <w:sz w:val="21"/>
          <w:szCs w:val="21"/>
          <w:lang w:val="en-US" w:eastAsia="zh-CN"/>
        </w:rPr>
        <w:t xml:space="preserve">                                                                                                                                                                                                                                                                                                                                                                                                                                                                                                                                                                                                                                                                                                                                                                                                      </w:t>
      </w:r>
    </w:p>
    <w:p w14:paraId="3011A0AF">
      <w:pPr>
        <w:keepNext w:val="0"/>
        <w:keepLines w:val="0"/>
        <w:pageBreakBefore w:val="0"/>
        <w:widowControl/>
        <w:kinsoku/>
        <w:wordWrap/>
        <w:overflowPunct/>
        <w:topLinePunct w:val="0"/>
        <w:autoSpaceDE w:val="0"/>
        <w:autoSpaceDN/>
        <w:bidi w:val="0"/>
        <w:spacing w:line="520" w:lineRule="exact"/>
        <w:jc w:val="left"/>
        <w:textAlignment w:val="auto"/>
        <w:rPr>
          <w:rFonts w:hint="eastAsia" w:asciiTheme="minorEastAsia" w:hAnsiTheme="minorEastAsia" w:eastAsiaTheme="minorEastAsia" w:cstheme="minorEastAsia"/>
          <w:b/>
          <w:bCs/>
          <w:kern w:val="0"/>
          <w:sz w:val="21"/>
          <w:szCs w:val="21"/>
        </w:rPr>
      </w:pPr>
      <w:bookmarkStart w:id="1" w:name="_Toc7599"/>
      <w:bookmarkStart w:id="2" w:name="_Toc502832910"/>
      <w:bookmarkStart w:id="3" w:name="_Toc408599854"/>
      <w:bookmarkStart w:id="4" w:name="_Toc396655455"/>
      <w:bookmarkStart w:id="5" w:name="_Toc408599273"/>
      <w:bookmarkStart w:id="6" w:name="_Toc408429337"/>
      <w:bookmarkStart w:id="7" w:name="_Toc396655080"/>
      <w:bookmarkStart w:id="8" w:name="_Toc396655165"/>
      <w:r>
        <w:rPr>
          <w:rFonts w:hint="eastAsia" w:asciiTheme="minorEastAsia" w:hAnsiTheme="minorEastAsia" w:eastAsiaTheme="minorEastAsia" w:cstheme="minorEastAsia"/>
          <w:b/>
          <w:bCs/>
          <w:kern w:val="0"/>
          <w:sz w:val="21"/>
          <w:szCs w:val="21"/>
        </w:rPr>
        <w:t>四、 服务的内容、标准及承诺</w:t>
      </w:r>
      <w:bookmarkEnd w:id="1"/>
      <w:bookmarkEnd w:id="2"/>
    </w:p>
    <w:bookmarkEnd w:id="3"/>
    <w:bookmarkEnd w:id="4"/>
    <w:bookmarkEnd w:id="5"/>
    <w:bookmarkEnd w:id="6"/>
    <w:bookmarkEnd w:id="7"/>
    <w:bookmarkEnd w:id="8"/>
    <w:p w14:paraId="07757898">
      <w:pPr>
        <w:keepNext w:val="0"/>
        <w:keepLines w:val="0"/>
        <w:pageBreakBefore w:val="0"/>
        <w:kinsoku/>
        <w:wordWrap/>
        <w:overflowPunct/>
        <w:topLinePunct w:val="0"/>
        <w:autoSpaceDN/>
        <w:bidi w:val="0"/>
        <w:adjustRightInd w:val="0"/>
        <w:snapToGrid w:val="0"/>
        <w:spacing w:line="520" w:lineRule="exact"/>
        <w:ind w:firstLine="422" w:firstLineChars="200"/>
        <w:textAlignment w:val="auto"/>
        <w:rPr>
          <w:rFonts w:hint="eastAsia" w:asciiTheme="minorEastAsia" w:hAnsiTheme="minorEastAsia" w:eastAsiaTheme="minorEastAsia" w:cstheme="minorEastAsia"/>
          <w:b/>
          <w:sz w:val="21"/>
          <w:szCs w:val="21"/>
        </w:rPr>
      </w:pPr>
      <w:bookmarkStart w:id="9" w:name="_Toc408599855"/>
      <w:bookmarkStart w:id="10" w:name="_Toc408429338"/>
      <w:bookmarkStart w:id="11" w:name="_Toc408599274"/>
      <w:r>
        <w:rPr>
          <w:rFonts w:hint="eastAsia" w:asciiTheme="minorEastAsia" w:hAnsiTheme="minorEastAsia" w:eastAsiaTheme="minorEastAsia" w:cstheme="minorEastAsia"/>
          <w:b/>
          <w:sz w:val="21"/>
          <w:szCs w:val="21"/>
        </w:rPr>
        <w:t>1、事项及范围</w:t>
      </w:r>
    </w:p>
    <w:p w14:paraId="06497A94">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总范围：长沙市开福区</w:t>
      </w:r>
      <w:r>
        <w:rPr>
          <w:rFonts w:hint="eastAsia" w:asciiTheme="minorEastAsia" w:hAnsiTheme="minorEastAsia" w:eastAsiaTheme="minorEastAsia" w:cstheme="minorEastAsia"/>
          <w:sz w:val="21"/>
          <w:szCs w:val="21"/>
          <w:lang w:val="en-US" w:eastAsia="zh-CN"/>
        </w:rPr>
        <w:t>新河大厦</w:t>
      </w:r>
      <w:r>
        <w:rPr>
          <w:rFonts w:hint="eastAsia" w:asciiTheme="minorEastAsia" w:hAnsiTheme="minorEastAsia" w:eastAsiaTheme="minorEastAsia" w:cstheme="minorEastAsia"/>
          <w:sz w:val="21"/>
          <w:szCs w:val="21"/>
        </w:rPr>
        <w:t>范围内的区域。</w:t>
      </w:r>
    </w:p>
    <w:p w14:paraId="42D4288E">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1.1、所派遣保洁员将负责公共环境卫生和小区道路的清扫保洁，包括道路、地下车库、楼道等所有公共区域地面、墙面的清洁卫生，垃圾的收集、倾倒（不含外运费用）</w:t>
      </w:r>
      <w:r>
        <w:rPr>
          <w:rFonts w:hint="eastAsia" w:asciiTheme="minorEastAsia" w:hAnsiTheme="minorEastAsia" w:eastAsiaTheme="minorEastAsia" w:cstheme="minorEastAsia"/>
          <w:sz w:val="21"/>
          <w:szCs w:val="21"/>
          <w:lang w:eastAsia="zh-CN"/>
        </w:rPr>
        <w:t>；</w:t>
      </w:r>
    </w:p>
    <w:p w14:paraId="472DF6E8">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1.2、所派遣保安将负责小区内的秩序维护工作。包括：小区内全方位全日制安全与消防的监控和巡查；“四防”安全管理；交通与道路管理；消防系统与安全监控系统的管理；区域范围之配套设施监控管理工作等。</w:t>
      </w:r>
    </w:p>
    <w:p w14:paraId="2418890A">
      <w:pPr>
        <w:keepNext w:val="0"/>
        <w:keepLines w:val="0"/>
        <w:pageBreakBefore w:val="0"/>
        <w:kinsoku/>
        <w:wordWrap/>
        <w:overflowPunct/>
        <w:topLinePunct w:val="0"/>
        <w:autoSpaceDN/>
        <w:bidi w:val="0"/>
        <w:adjustRightInd w:val="0"/>
        <w:snapToGrid w:val="0"/>
        <w:spacing w:line="520" w:lineRule="exact"/>
        <w:ind w:firstLine="422" w:firstLineChars="200"/>
        <w:textAlignment w:val="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2、具体服务内容及标准</w:t>
      </w:r>
    </w:p>
    <w:p w14:paraId="58C60B0C">
      <w:pPr>
        <w:keepNext w:val="0"/>
        <w:keepLines w:val="0"/>
        <w:pageBreakBefore w:val="0"/>
        <w:kinsoku/>
        <w:wordWrap/>
        <w:overflowPunct/>
        <w:topLinePunct w:val="0"/>
        <w:autoSpaceDN/>
        <w:bidi w:val="0"/>
        <w:adjustRightInd w:val="0"/>
        <w:snapToGrid w:val="0"/>
        <w:spacing w:line="520" w:lineRule="exact"/>
        <w:ind w:firstLine="422" w:firstLineChars="200"/>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2.1卫生保洁服务内容及服务标准</w:t>
      </w:r>
    </w:p>
    <w:p w14:paraId="5528A6E0">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rPr>
        <w:t>2.1.1、每天对辖区范围内纳入清扫保洁范围的背街小巷、</w:t>
      </w:r>
      <w:r>
        <w:rPr>
          <w:rFonts w:hint="eastAsia" w:asciiTheme="minorEastAsia" w:hAnsiTheme="minorEastAsia" w:eastAsiaTheme="minorEastAsia" w:cstheme="minorEastAsia"/>
          <w:sz w:val="21"/>
          <w:szCs w:val="21"/>
        </w:rPr>
        <w:t>地面设施、建筑物周边、</w:t>
      </w:r>
      <w:r>
        <w:rPr>
          <w:rFonts w:hint="eastAsia" w:asciiTheme="minorEastAsia" w:hAnsiTheme="minorEastAsia" w:eastAsiaTheme="minorEastAsia" w:cstheme="minorEastAsia"/>
          <w:bCs/>
          <w:sz w:val="21"/>
          <w:szCs w:val="21"/>
        </w:rPr>
        <w:t>楼栋间地坪、绿化带进行清扫保洁，并实现常态化保洁。清扫保洁范围内时刻有人保洁，</w:t>
      </w:r>
      <w:r>
        <w:rPr>
          <w:rFonts w:hint="eastAsia" w:asciiTheme="minorEastAsia" w:hAnsiTheme="minorEastAsia" w:eastAsiaTheme="minorEastAsia" w:cstheme="minorEastAsia"/>
          <w:sz w:val="21"/>
          <w:szCs w:val="21"/>
        </w:rPr>
        <w:t>各区域卫生根据所产生垃圾情况不间断维护，</w:t>
      </w:r>
      <w:r>
        <w:rPr>
          <w:rFonts w:hint="eastAsia" w:asciiTheme="minorEastAsia" w:hAnsiTheme="minorEastAsia" w:eastAsiaTheme="minorEastAsia" w:cstheme="minorEastAsia"/>
          <w:bCs/>
          <w:sz w:val="21"/>
          <w:szCs w:val="21"/>
        </w:rPr>
        <w:t>确保无垃圾、白色垃圾、堆物（堆物不含进不了垃圾站的大件垃圾及装修垃圾）、积水和油污等（油污不含早晚夜市区域及墙面）</w:t>
      </w:r>
      <w:r>
        <w:rPr>
          <w:rFonts w:hint="eastAsia" w:asciiTheme="minorEastAsia" w:hAnsiTheme="minorEastAsia" w:eastAsiaTheme="minorEastAsia" w:cstheme="minorEastAsia"/>
          <w:bCs/>
          <w:sz w:val="21"/>
          <w:szCs w:val="21"/>
          <w:lang w:eastAsia="zh-CN"/>
        </w:rPr>
        <w:t>；</w:t>
      </w:r>
    </w:p>
    <w:p w14:paraId="2EC0FEBB">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rPr>
        <w:t>2.1.2、每天对辖区范围内纳入清扫保洁范围的分类垃圾桶进行清掏每周进行清洗，保证清理及时无垃圾外溢，并保持分类垃圾桶外部清洁卫生，</w:t>
      </w:r>
      <w:r>
        <w:rPr>
          <w:rFonts w:hint="eastAsia" w:asciiTheme="minorEastAsia" w:hAnsiTheme="minorEastAsia" w:eastAsiaTheme="minorEastAsia" w:cstheme="minorEastAsia"/>
          <w:sz w:val="21"/>
          <w:szCs w:val="21"/>
        </w:rPr>
        <w:t>清理后的垃圾桶无异味，保证无过夜垃圾</w:t>
      </w:r>
      <w:r>
        <w:rPr>
          <w:rFonts w:hint="eastAsia" w:asciiTheme="minorEastAsia" w:hAnsiTheme="minorEastAsia" w:eastAsiaTheme="minorEastAsia" w:cstheme="minorEastAsia"/>
          <w:sz w:val="21"/>
          <w:szCs w:val="21"/>
          <w:lang w:eastAsia="zh-CN"/>
        </w:rPr>
        <w:t>；</w:t>
      </w:r>
    </w:p>
    <w:p w14:paraId="1B2933ED">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rPr>
        <w:t>2.1.3、对辖区范围内纳入清扫保洁范围的公共照明灯杆、宣传栏、消防设施及其他公共设施每周擦拭2次，确保目视无明显灰尘，无污渍（2米以上部位每半月擦拭、除尘1次）</w:t>
      </w:r>
      <w:r>
        <w:rPr>
          <w:rFonts w:hint="eastAsia" w:asciiTheme="minorEastAsia" w:hAnsiTheme="minorEastAsia" w:eastAsiaTheme="minorEastAsia" w:cstheme="minorEastAsia"/>
          <w:bCs/>
          <w:sz w:val="21"/>
          <w:szCs w:val="21"/>
          <w:lang w:eastAsia="zh-CN"/>
        </w:rPr>
        <w:t>；</w:t>
      </w:r>
    </w:p>
    <w:p w14:paraId="0AB3C401">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2.1.4、对辖区范围内纳入清扫保洁范围的</w:t>
      </w:r>
      <w:r>
        <w:rPr>
          <w:rFonts w:hint="eastAsia" w:asciiTheme="minorEastAsia" w:hAnsiTheme="minorEastAsia" w:eastAsiaTheme="minorEastAsia" w:cstheme="minorEastAsia"/>
          <w:sz w:val="21"/>
          <w:szCs w:val="21"/>
        </w:rPr>
        <w:t>房屋及公共部位无乱贴、乱画现象，对小区楼栋</w:t>
      </w:r>
      <w:r>
        <w:rPr>
          <w:rFonts w:hint="eastAsia" w:asciiTheme="minorEastAsia" w:hAnsiTheme="minorEastAsia" w:eastAsiaTheme="minorEastAsia" w:cstheme="minorEastAsia"/>
          <w:bCs/>
          <w:sz w:val="21"/>
          <w:szCs w:val="21"/>
        </w:rPr>
        <w:t>含一层以下“牛皮廯”进行清除；定时定期对绿化带进行清扫，确保无枯枝、落叶、白色垃圾等；</w:t>
      </w:r>
    </w:p>
    <w:p w14:paraId="2CCBEDBE">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rPr>
        <w:t>2.1.5、每天对辖区范围内纳入清扫保洁范围的城管数字化案卷反映的问题（清扫保洁业务范围内）要按时按质处理到位</w:t>
      </w:r>
      <w:r>
        <w:rPr>
          <w:rFonts w:hint="eastAsia" w:asciiTheme="minorEastAsia" w:hAnsiTheme="minorEastAsia" w:eastAsiaTheme="minorEastAsia" w:cstheme="minorEastAsia"/>
          <w:bCs/>
          <w:sz w:val="21"/>
          <w:szCs w:val="21"/>
          <w:lang w:eastAsia="zh-CN"/>
        </w:rPr>
        <w:t>；</w:t>
      </w:r>
    </w:p>
    <w:p w14:paraId="3F7A1C00">
      <w:pPr>
        <w:keepNext w:val="0"/>
        <w:keepLines w:val="0"/>
        <w:pageBreakBefore w:val="0"/>
        <w:kinsoku/>
        <w:wordWrap/>
        <w:overflowPunct/>
        <w:topLinePunct w:val="0"/>
        <w:autoSpaceDN/>
        <w:bidi w:val="0"/>
        <w:spacing w:after="120" w:line="520" w:lineRule="exact"/>
        <w:ind w:firstLine="420" w:firstLineChars="200"/>
        <w:textAlignment w:val="auto"/>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rPr>
        <w:t>2.1.6、每天早、中、晚3次对辖区范围内纳入清扫保洁范围的垃圾清理干净，并</w:t>
      </w:r>
      <w:r>
        <w:rPr>
          <w:rFonts w:hint="eastAsia" w:asciiTheme="minorEastAsia" w:hAnsiTheme="minorEastAsia" w:eastAsiaTheme="minorEastAsia" w:cstheme="minorEastAsia"/>
          <w:sz w:val="21"/>
          <w:szCs w:val="21"/>
          <w:lang w:val="zh-CN"/>
        </w:rPr>
        <w:t>按规范要求</w:t>
      </w:r>
      <w:r>
        <w:rPr>
          <w:rFonts w:hint="eastAsia" w:asciiTheme="minorEastAsia" w:hAnsiTheme="minorEastAsia" w:eastAsiaTheme="minorEastAsia" w:cstheme="minorEastAsia"/>
          <w:bCs/>
          <w:sz w:val="21"/>
          <w:szCs w:val="21"/>
        </w:rPr>
        <w:t>做好</w:t>
      </w:r>
      <w:r>
        <w:rPr>
          <w:rFonts w:hint="eastAsia" w:asciiTheme="minorEastAsia" w:hAnsiTheme="minorEastAsia" w:eastAsiaTheme="minorEastAsia" w:cstheme="minorEastAsia"/>
          <w:sz w:val="21"/>
          <w:szCs w:val="21"/>
        </w:rPr>
        <w:t>垃圾分类收集</w:t>
      </w:r>
      <w:r>
        <w:rPr>
          <w:rFonts w:hint="eastAsia" w:asciiTheme="minorEastAsia" w:hAnsiTheme="minorEastAsia" w:eastAsiaTheme="minorEastAsia" w:cstheme="minorEastAsia"/>
          <w:sz w:val="21"/>
          <w:szCs w:val="21"/>
          <w:lang w:val="zh-CN"/>
        </w:rPr>
        <w:t>、包装、储存、运输</w:t>
      </w:r>
      <w:r>
        <w:rPr>
          <w:rFonts w:hint="eastAsia" w:asciiTheme="minorEastAsia" w:hAnsiTheme="minorEastAsia" w:eastAsiaTheme="minorEastAsia" w:cstheme="minorEastAsia"/>
          <w:sz w:val="21"/>
          <w:szCs w:val="21"/>
        </w:rPr>
        <w:t>，垃圾做到日产日清，所有分类收集的垃圾集中堆放在堆放点、四周无散放垃圾等</w:t>
      </w:r>
      <w:r>
        <w:rPr>
          <w:rFonts w:hint="eastAsia" w:asciiTheme="minorEastAsia" w:hAnsiTheme="minorEastAsia" w:eastAsiaTheme="minorEastAsia" w:cstheme="minorEastAsia"/>
          <w:sz w:val="21"/>
          <w:szCs w:val="21"/>
          <w:lang w:eastAsia="zh-CN"/>
        </w:rPr>
        <w:t>；</w:t>
      </w:r>
    </w:p>
    <w:p w14:paraId="5A6CAC3F">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bCs/>
          <w:sz w:val="21"/>
          <w:szCs w:val="21"/>
          <w:lang w:eastAsia="zh-CN"/>
        </w:rPr>
      </w:pPr>
      <w:r>
        <w:rPr>
          <w:rFonts w:hint="eastAsia" w:asciiTheme="minorEastAsia" w:hAnsiTheme="minorEastAsia" w:eastAsiaTheme="minorEastAsia" w:cstheme="minorEastAsia"/>
          <w:bCs/>
          <w:sz w:val="21"/>
          <w:szCs w:val="21"/>
        </w:rPr>
        <w:t>2.1.7、每天对辖区范围内纳入清扫保洁范围的公共设施进行检查，发现问题及时向采购人汇报</w:t>
      </w:r>
      <w:r>
        <w:rPr>
          <w:rFonts w:hint="eastAsia" w:asciiTheme="minorEastAsia" w:hAnsiTheme="minorEastAsia" w:eastAsiaTheme="minorEastAsia" w:cstheme="minorEastAsia"/>
          <w:bCs/>
          <w:sz w:val="21"/>
          <w:szCs w:val="21"/>
          <w:lang w:eastAsia="zh-CN"/>
        </w:rPr>
        <w:t>；</w:t>
      </w:r>
    </w:p>
    <w:p w14:paraId="7D333C10">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2.1.8、每月定期一次卫生大扫除，除常规卫生清理外，重点清洁各区域卫生死角</w:t>
      </w:r>
      <w:r>
        <w:rPr>
          <w:rFonts w:hint="eastAsia" w:asciiTheme="minorEastAsia" w:hAnsiTheme="minorEastAsia" w:eastAsiaTheme="minorEastAsia" w:cstheme="minorEastAsia"/>
          <w:sz w:val="21"/>
          <w:szCs w:val="21"/>
          <w:lang w:eastAsia="zh-CN"/>
        </w:rPr>
        <w:t>；</w:t>
      </w:r>
    </w:p>
    <w:p w14:paraId="051042E9">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2.1.9、每2-3个月（根据季节调整），集中进行消杀工作，灭鼠、蟑螂，达到无蝇、少蚊、少虫</w:t>
      </w:r>
      <w:r>
        <w:rPr>
          <w:rFonts w:hint="eastAsia" w:asciiTheme="minorEastAsia" w:hAnsiTheme="minorEastAsia" w:eastAsiaTheme="minorEastAsia" w:cstheme="minorEastAsia"/>
          <w:sz w:val="21"/>
          <w:szCs w:val="21"/>
          <w:lang w:eastAsia="zh-CN"/>
        </w:rPr>
        <w:t>；</w:t>
      </w:r>
    </w:p>
    <w:p w14:paraId="5BB369C4">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2.1.10、公共卫生间由专人管理，地面无积水、无污渍，纸篓垃圾及时收集，无蚊蝇，空气清新无异味，洁具表面清洁干净，洗手台面无积水，无污渍</w:t>
      </w:r>
      <w:r>
        <w:rPr>
          <w:rFonts w:hint="eastAsia" w:asciiTheme="minorEastAsia" w:hAnsiTheme="minorEastAsia" w:eastAsiaTheme="minorEastAsia" w:cstheme="minorEastAsia"/>
          <w:sz w:val="21"/>
          <w:szCs w:val="21"/>
          <w:lang w:eastAsia="zh-CN"/>
        </w:rPr>
        <w:t>；</w:t>
      </w:r>
    </w:p>
    <w:p w14:paraId="462005EC">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2.1.11、</w:t>
      </w:r>
      <w:r>
        <w:rPr>
          <w:rFonts w:hint="eastAsia" w:asciiTheme="minorEastAsia" w:hAnsiTheme="minorEastAsia" w:eastAsiaTheme="minorEastAsia" w:cstheme="minorEastAsia"/>
          <w:bCs/>
          <w:sz w:val="21"/>
          <w:szCs w:val="21"/>
        </w:rPr>
        <w:t>对辖区范围内</w:t>
      </w:r>
      <w:r>
        <w:rPr>
          <w:rFonts w:hint="eastAsia" w:asciiTheme="minorEastAsia" w:hAnsiTheme="minorEastAsia" w:eastAsiaTheme="minorEastAsia" w:cstheme="minorEastAsia"/>
          <w:sz w:val="21"/>
          <w:szCs w:val="21"/>
        </w:rPr>
        <w:t>树木、花草、绿地等进行浇水等日常维护、及时清除散落枯枝及垃圾，无破坏、践踏及随意占用绿地现象</w:t>
      </w:r>
      <w:r>
        <w:rPr>
          <w:rFonts w:hint="eastAsia" w:asciiTheme="minorEastAsia" w:hAnsiTheme="minorEastAsia" w:eastAsiaTheme="minorEastAsia" w:cstheme="minorEastAsia"/>
          <w:sz w:val="21"/>
          <w:szCs w:val="21"/>
          <w:lang w:eastAsia="zh-CN"/>
        </w:rPr>
        <w:t>；</w:t>
      </w:r>
    </w:p>
    <w:p w14:paraId="3D8CBFDA">
      <w:pPr>
        <w:keepNext w:val="0"/>
        <w:keepLines w:val="0"/>
        <w:pageBreakBefore w:val="0"/>
        <w:kinsoku/>
        <w:wordWrap/>
        <w:overflowPunct/>
        <w:topLinePunct w:val="0"/>
        <w:autoSpaceDN/>
        <w:bidi w:val="0"/>
        <w:spacing w:after="120" w:line="52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2.1.12、如有重要接待任务、检查活动</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要派专人在现场随时清洁；</w:t>
      </w:r>
      <w:r>
        <w:rPr>
          <w:rFonts w:hint="eastAsia" w:asciiTheme="minorEastAsia" w:hAnsiTheme="minorEastAsia" w:eastAsiaTheme="minorEastAsia" w:cstheme="minorEastAsia"/>
          <w:sz w:val="21"/>
          <w:szCs w:val="21"/>
          <w:lang w:eastAsia="zh-CN"/>
        </w:rPr>
        <w:t>如采购人要求加派人员成交供应商须即刻根据采购人要求迅速加派相关服务人员到岗履职</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eastAsia="zh-CN"/>
        </w:rPr>
        <w:t>加派人员</w:t>
      </w:r>
      <w:r>
        <w:rPr>
          <w:rFonts w:hint="eastAsia" w:asciiTheme="minorEastAsia" w:hAnsiTheme="minorEastAsia" w:eastAsiaTheme="minorEastAsia" w:cstheme="minorEastAsia"/>
          <w:sz w:val="21"/>
          <w:szCs w:val="21"/>
        </w:rPr>
        <w:t>费用由采购人承担；且要随时保持街道地面无烟头、纸屑等杂物。</w:t>
      </w:r>
    </w:p>
    <w:p w14:paraId="5FBCB895">
      <w:pPr>
        <w:keepNext w:val="0"/>
        <w:keepLines w:val="0"/>
        <w:pageBreakBefore w:val="0"/>
        <w:kinsoku/>
        <w:wordWrap/>
        <w:overflowPunct/>
        <w:topLinePunct w:val="0"/>
        <w:autoSpaceDN/>
        <w:bidi w:val="0"/>
        <w:adjustRightInd w:val="0"/>
        <w:snapToGrid w:val="0"/>
        <w:spacing w:line="520" w:lineRule="exact"/>
        <w:ind w:firstLine="422" w:firstLineChars="200"/>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2.2保安及消防管理服务内容及服务标准</w:t>
      </w:r>
    </w:p>
    <w:p w14:paraId="18D79A57">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2.2.1、所派遣保安将负责小区内的秩序维护工作。包括：小区内全方位全日制安全与消防的监控和巡查；“四防”安全管理；交通与道路管理；消防系统与安全监控系统的管理；区域范围之配套设施监控管理工作等</w:t>
      </w:r>
      <w:r>
        <w:rPr>
          <w:rFonts w:hint="eastAsia" w:asciiTheme="minorEastAsia" w:hAnsiTheme="minorEastAsia" w:eastAsiaTheme="minorEastAsia" w:cstheme="minorEastAsia"/>
          <w:sz w:val="21"/>
          <w:szCs w:val="21"/>
          <w:lang w:eastAsia="zh-CN"/>
        </w:rPr>
        <w:t>；</w:t>
      </w:r>
    </w:p>
    <w:p w14:paraId="79756B4F">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2.2.2职责范围：在岗值守、定时巡逻、维护区域内治安秩序、有效预防偷盗案件发生，做好重点部位的防范工作、消灭事故隐患</w:t>
      </w:r>
      <w:r>
        <w:rPr>
          <w:rFonts w:hint="eastAsia" w:asciiTheme="minorEastAsia" w:hAnsiTheme="minorEastAsia" w:eastAsiaTheme="minorEastAsia" w:cstheme="minorEastAsia"/>
          <w:sz w:val="21"/>
          <w:szCs w:val="21"/>
          <w:lang w:eastAsia="zh-CN"/>
        </w:rPr>
        <w:t>；</w:t>
      </w:r>
    </w:p>
    <w:p w14:paraId="58A9D75B">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2.2.3、消防及安保监控系统的运用和管理</w:t>
      </w:r>
      <w:r>
        <w:rPr>
          <w:rFonts w:hint="eastAsia" w:asciiTheme="minorEastAsia" w:hAnsiTheme="minorEastAsia" w:eastAsiaTheme="minorEastAsia" w:cstheme="minorEastAsia"/>
          <w:sz w:val="21"/>
          <w:szCs w:val="21"/>
          <w:lang w:eastAsia="zh-CN"/>
        </w:rPr>
        <w:t>；</w:t>
      </w:r>
    </w:p>
    <w:p w14:paraId="39E4707D">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2.2.4、做好安全防范和巡视工作，区域内发生突发事件及时上报，并协助处理</w:t>
      </w:r>
      <w:r>
        <w:rPr>
          <w:rFonts w:hint="eastAsia" w:asciiTheme="minorEastAsia" w:hAnsiTheme="minorEastAsia" w:eastAsiaTheme="minorEastAsia" w:cstheme="minorEastAsia"/>
          <w:sz w:val="21"/>
          <w:szCs w:val="21"/>
          <w:lang w:eastAsia="zh-CN"/>
        </w:rPr>
        <w:t>；</w:t>
      </w:r>
    </w:p>
    <w:p w14:paraId="58AFE73F">
      <w:pPr>
        <w:keepNext w:val="0"/>
        <w:keepLines w:val="0"/>
        <w:pageBreakBefore w:val="0"/>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2.2.5、参与区域内消防安全预防和处置工作</w:t>
      </w:r>
      <w:r>
        <w:rPr>
          <w:rFonts w:hint="eastAsia" w:asciiTheme="minorEastAsia" w:hAnsiTheme="minorEastAsia" w:eastAsiaTheme="minorEastAsia" w:cstheme="minorEastAsia"/>
          <w:sz w:val="21"/>
          <w:szCs w:val="21"/>
          <w:lang w:eastAsia="zh-CN"/>
        </w:rPr>
        <w:t>；</w:t>
      </w:r>
    </w:p>
    <w:p w14:paraId="08F889E0">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2.2.6、上班时间必须按要求统一着装，保持制服整洁、穿戴整齐；工作状态好；上班期间不得会友、不得谈工作以外的事情；不得抽烟、吃零食（包括口香糖、槟榔等）；不得与服务对象发生口角、打架等不文明的行为</w:t>
      </w:r>
      <w:r>
        <w:rPr>
          <w:rFonts w:hint="eastAsia" w:asciiTheme="minorEastAsia" w:hAnsiTheme="minorEastAsia" w:eastAsiaTheme="minorEastAsia" w:cstheme="minorEastAsia"/>
          <w:sz w:val="21"/>
          <w:szCs w:val="21"/>
          <w:lang w:eastAsia="zh-CN"/>
        </w:rPr>
        <w:t>；</w:t>
      </w:r>
    </w:p>
    <w:p w14:paraId="54444EFE">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2.2.7、24小时安排人员对公共区域及重点部位进行巡逻、检查，做到巡查到位，有记录，避免偷盗、破坏的事件发生；巡逻记录登记全面详细</w:t>
      </w:r>
      <w:r>
        <w:rPr>
          <w:rFonts w:hint="eastAsia" w:asciiTheme="minorEastAsia" w:hAnsiTheme="minorEastAsia" w:eastAsiaTheme="minorEastAsia" w:cstheme="minorEastAsia"/>
          <w:sz w:val="21"/>
          <w:szCs w:val="21"/>
          <w:lang w:eastAsia="zh-CN"/>
        </w:rPr>
        <w:t>；</w:t>
      </w:r>
    </w:p>
    <w:p w14:paraId="45B2AA8B">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2.2.8、白班巡逻必须保证每半小时一次，工作重点为维持商业街/门面治安秩序，禁止乱贴乱挂广告牌及散发宣传单行为，预防商铺出现偷盗行为及业主、租户违反物业管理规定的行为</w:t>
      </w:r>
      <w:r>
        <w:rPr>
          <w:rFonts w:hint="eastAsia" w:asciiTheme="minorEastAsia" w:hAnsiTheme="minorEastAsia" w:eastAsiaTheme="minorEastAsia" w:cstheme="minorEastAsia"/>
          <w:sz w:val="21"/>
          <w:szCs w:val="21"/>
          <w:lang w:eastAsia="zh-CN"/>
        </w:rPr>
        <w:t>；</w:t>
      </w:r>
    </w:p>
    <w:p w14:paraId="775A0C8C">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2.2.9、建立消防组织机构，保证消防设施设备到位完好，坚持日常巡查，发现隐患及时排除，确保无火灾事故发生</w:t>
      </w:r>
      <w:r>
        <w:rPr>
          <w:rFonts w:hint="eastAsia" w:asciiTheme="minorEastAsia" w:hAnsiTheme="minorEastAsia" w:eastAsiaTheme="minorEastAsia" w:cstheme="minorEastAsia"/>
          <w:sz w:val="21"/>
          <w:szCs w:val="21"/>
          <w:lang w:eastAsia="zh-CN"/>
        </w:rPr>
        <w:t>；</w:t>
      </w:r>
    </w:p>
    <w:p w14:paraId="0ED771AB">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2.2.10、能够及时上报和处置区域内的治安、刑事、交通等突发事件，有应急处置预案和培训演练记录</w:t>
      </w:r>
      <w:r>
        <w:rPr>
          <w:rFonts w:hint="eastAsia" w:asciiTheme="minorEastAsia" w:hAnsiTheme="minorEastAsia" w:eastAsiaTheme="minorEastAsia" w:cstheme="minorEastAsia"/>
          <w:sz w:val="21"/>
          <w:szCs w:val="21"/>
          <w:lang w:eastAsia="zh-CN"/>
        </w:rPr>
        <w:t>；</w:t>
      </w:r>
    </w:p>
    <w:bookmarkEnd w:id="9"/>
    <w:bookmarkEnd w:id="10"/>
    <w:bookmarkEnd w:id="11"/>
    <w:p w14:paraId="6F408A30">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2.2.11、对小区公共区域安全防火的要求：因成交供应商管理不善，或工作人员失误造成的安全消防事故损失，全部由成交供应商承担</w:t>
      </w:r>
      <w:r>
        <w:rPr>
          <w:rFonts w:hint="eastAsia" w:asciiTheme="minorEastAsia" w:hAnsiTheme="minorEastAsia" w:eastAsiaTheme="minorEastAsia" w:cstheme="minorEastAsia"/>
          <w:sz w:val="21"/>
          <w:szCs w:val="21"/>
          <w:lang w:eastAsia="zh-CN"/>
        </w:rPr>
        <w:t>；</w:t>
      </w:r>
    </w:p>
    <w:p w14:paraId="048DC241">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2.2.12、成交供应商应制定严格的保密措施，防止泄密事故发生。</w:t>
      </w:r>
    </w:p>
    <w:p w14:paraId="21303E54">
      <w:pPr>
        <w:keepNext w:val="0"/>
        <w:keepLines w:val="0"/>
        <w:pageBreakBefore w:val="0"/>
        <w:widowControl/>
        <w:kinsoku/>
        <w:wordWrap/>
        <w:overflowPunct/>
        <w:topLinePunct w:val="0"/>
        <w:autoSpaceDE w:val="0"/>
        <w:autoSpaceDN/>
        <w:bidi w:val="0"/>
        <w:spacing w:line="520" w:lineRule="exact"/>
        <w:jc w:val="left"/>
        <w:textAlignment w:val="auto"/>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五、考核标准和考评方法</w:t>
      </w:r>
    </w:p>
    <w:p w14:paraId="582D8003">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考核评分满分为100分。</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详见附表</w:t>
      </w:r>
      <w:r>
        <w:rPr>
          <w:rFonts w:hint="eastAsia" w:asciiTheme="minorEastAsia" w:hAnsiTheme="minorEastAsia" w:eastAsiaTheme="minorEastAsia" w:cstheme="minorEastAsia"/>
          <w:sz w:val="21"/>
          <w:szCs w:val="21"/>
          <w:lang w:eastAsia="zh-CN"/>
        </w:rPr>
        <w:t>）</w:t>
      </w:r>
    </w:p>
    <w:p w14:paraId="453CBF70">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lang w:val="en-US" w:eastAsia="zh-CN"/>
        </w:rPr>
        <w:t>2、95分（含）以上为优秀全额支付月度服务费，70</w:t>
      </w:r>
      <w:r>
        <w:rPr>
          <w:rFonts w:hint="eastAsia" w:asciiTheme="minorEastAsia" w:hAnsiTheme="minorEastAsia" w:eastAsiaTheme="minorEastAsia" w:cstheme="minorEastAsia"/>
          <w:b w:val="0"/>
          <w:bCs w:val="0"/>
          <w:sz w:val="21"/>
          <w:szCs w:val="21"/>
        </w:rPr>
        <w:t>分</w:t>
      </w:r>
      <w:r>
        <w:rPr>
          <w:rFonts w:hint="eastAsia" w:asciiTheme="minorEastAsia" w:hAnsiTheme="minorEastAsia" w:eastAsiaTheme="minorEastAsia" w:cstheme="minorEastAsia"/>
          <w:b w:val="0"/>
          <w:bCs w:val="0"/>
          <w:sz w:val="21"/>
          <w:szCs w:val="21"/>
          <w:lang w:eastAsia="zh-CN"/>
        </w:rPr>
        <w:t>（不含）</w:t>
      </w:r>
      <w:r>
        <w:rPr>
          <w:rFonts w:hint="eastAsia" w:asciiTheme="minorEastAsia" w:hAnsiTheme="minorEastAsia" w:eastAsiaTheme="minorEastAsia" w:cstheme="minorEastAsia"/>
          <w:b w:val="0"/>
          <w:bCs w:val="0"/>
          <w:sz w:val="21"/>
          <w:szCs w:val="21"/>
        </w:rPr>
        <w:t>以上为合格，按考核表内累积</w:t>
      </w:r>
      <w:r>
        <w:rPr>
          <w:rFonts w:hint="eastAsia" w:asciiTheme="minorEastAsia" w:hAnsiTheme="minorEastAsia" w:eastAsiaTheme="minorEastAsia" w:cstheme="minorEastAsia"/>
          <w:b w:val="0"/>
          <w:bCs w:val="0"/>
          <w:sz w:val="21"/>
          <w:szCs w:val="21"/>
          <w:lang w:val="en-US" w:eastAsia="zh-CN"/>
        </w:rPr>
        <w:t>扣分每分对应扣款100元标准进行扣罚月度服务费</w:t>
      </w:r>
      <w:r>
        <w:rPr>
          <w:rFonts w:hint="eastAsia" w:asciiTheme="minorEastAsia" w:hAnsiTheme="minorEastAsia" w:eastAsiaTheme="minorEastAsia" w:cstheme="minorEastAsia"/>
          <w:b w:val="0"/>
          <w:bCs w:val="0"/>
          <w:sz w:val="21"/>
          <w:szCs w:val="21"/>
        </w:rPr>
        <w:t>；</w:t>
      </w:r>
      <w:r>
        <w:rPr>
          <w:rFonts w:hint="eastAsia" w:asciiTheme="minorEastAsia" w:hAnsiTheme="minorEastAsia" w:eastAsiaTheme="minorEastAsia" w:cstheme="minorEastAsia"/>
          <w:b w:val="0"/>
          <w:bCs w:val="0"/>
          <w:sz w:val="21"/>
          <w:szCs w:val="21"/>
          <w:lang w:val="en-US" w:eastAsia="zh-CN"/>
        </w:rPr>
        <w:t>70</w:t>
      </w:r>
      <w:r>
        <w:rPr>
          <w:rFonts w:hint="eastAsia" w:asciiTheme="minorEastAsia" w:hAnsiTheme="minorEastAsia" w:eastAsiaTheme="minorEastAsia" w:cstheme="minorEastAsia"/>
          <w:b w:val="0"/>
          <w:bCs w:val="0"/>
          <w:sz w:val="21"/>
          <w:szCs w:val="21"/>
        </w:rPr>
        <w:t>分（含）以下为基本合格，扣除10%月度服务费，</w:t>
      </w:r>
      <w:r>
        <w:rPr>
          <w:rFonts w:hint="eastAsia" w:asciiTheme="minorEastAsia" w:hAnsiTheme="minorEastAsia" w:eastAsiaTheme="minorEastAsia" w:cstheme="minorEastAsia"/>
          <w:b w:val="0"/>
          <w:bCs w:val="0"/>
          <w:sz w:val="21"/>
          <w:szCs w:val="21"/>
          <w:lang w:val="en-US" w:eastAsia="zh-CN"/>
        </w:rPr>
        <w:t>59</w:t>
      </w:r>
      <w:r>
        <w:rPr>
          <w:rFonts w:hint="eastAsia" w:asciiTheme="minorEastAsia" w:hAnsiTheme="minorEastAsia" w:eastAsiaTheme="minorEastAsia" w:cstheme="minorEastAsia"/>
          <w:b w:val="0"/>
          <w:bCs w:val="0"/>
          <w:sz w:val="21"/>
          <w:szCs w:val="21"/>
        </w:rPr>
        <w:t>（含）分以下为不合格，扣除月度服务费50%，</w:t>
      </w:r>
      <w:r>
        <w:rPr>
          <w:rFonts w:hint="eastAsia" w:asciiTheme="minorEastAsia" w:hAnsiTheme="minorEastAsia" w:eastAsiaTheme="minorEastAsia" w:cstheme="minorEastAsia"/>
          <w:b w:val="0"/>
          <w:bCs w:val="0"/>
          <w:sz w:val="21"/>
          <w:szCs w:val="21"/>
          <w:lang w:eastAsia="zh-CN"/>
        </w:rPr>
        <w:t>扣除履约保证</w:t>
      </w:r>
      <w:r>
        <w:rPr>
          <w:rFonts w:hint="eastAsia" w:asciiTheme="minorEastAsia" w:hAnsiTheme="minorEastAsia" w:eastAsiaTheme="minorEastAsia" w:cstheme="minorEastAsia"/>
          <w:b w:val="0"/>
          <w:bCs w:val="0"/>
          <w:sz w:val="21"/>
          <w:szCs w:val="21"/>
          <w:lang w:val="en-US" w:eastAsia="zh-CN"/>
        </w:rPr>
        <w:t>10000元/次，</w:t>
      </w:r>
      <w:r>
        <w:rPr>
          <w:rFonts w:hint="eastAsia" w:asciiTheme="minorEastAsia" w:hAnsiTheme="minorEastAsia" w:eastAsiaTheme="minorEastAsia" w:cstheme="minorEastAsia"/>
          <w:b w:val="0"/>
          <w:bCs w:val="0"/>
          <w:sz w:val="21"/>
          <w:szCs w:val="21"/>
        </w:rPr>
        <w:t>并由甲方进行约谈处理，如连续两个月60分以下则</w:t>
      </w:r>
      <w:r>
        <w:rPr>
          <w:rFonts w:hint="eastAsia" w:asciiTheme="minorEastAsia" w:hAnsiTheme="minorEastAsia" w:eastAsiaTheme="minorEastAsia" w:cstheme="minorEastAsia"/>
          <w:b w:val="0"/>
          <w:bCs w:val="0"/>
          <w:sz w:val="21"/>
          <w:szCs w:val="21"/>
          <w:lang w:eastAsia="zh-CN"/>
        </w:rPr>
        <w:t>采购人</w:t>
      </w:r>
      <w:r>
        <w:rPr>
          <w:rFonts w:hint="eastAsia" w:asciiTheme="minorEastAsia" w:hAnsiTheme="minorEastAsia" w:eastAsiaTheme="minorEastAsia" w:cstheme="minorEastAsia"/>
          <w:b w:val="0"/>
          <w:bCs w:val="0"/>
          <w:sz w:val="21"/>
          <w:szCs w:val="21"/>
        </w:rPr>
        <w:t>有权当即解除服务合同</w:t>
      </w:r>
      <w:r>
        <w:rPr>
          <w:rFonts w:hint="eastAsia" w:asciiTheme="minorEastAsia" w:hAnsiTheme="minorEastAsia" w:eastAsiaTheme="minorEastAsia" w:cstheme="minorEastAsia"/>
          <w:b w:val="0"/>
          <w:bCs w:val="0"/>
          <w:sz w:val="21"/>
          <w:szCs w:val="21"/>
          <w:lang w:eastAsia="zh-CN"/>
        </w:rPr>
        <w:t>，履约保证金不予以退还</w:t>
      </w:r>
      <w:r>
        <w:rPr>
          <w:rFonts w:hint="eastAsia" w:asciiTheme="minorEastAsia" w:hAnsiTheme="minorEastAsia" w:eastAsiaTheme="minorEastAsia" w:cstheme="minorEastAsia"/>
          <w:b w:val="0"/>
          <w:bCs w:val="0"/>
          <w:sz w:val="21"/>
          <w:szCs w:val="21"/>
        </w:rPr>
        <w:t>。</w:t>
      </w:r>
    </w:p>
    <w:p w14:paraId="1CAFEFCE">
      <w:pPr>
        <w:keepNext w:val="0"/>
        <w:keepLines w:val="0"/>
        <w:pageBreakBefore w:val="0"/>
        <w:kinsoku/>
        <w:wordWrap/>
        <w:overflowPunct/>
        <w:topLinePunct w:val="0"/>
        <w:autoSpaceDN/>
        <w:bidi w:val="0"/>
        <w:adjustRightInd w:val="0"/>
        <w:snapToGrid w:val="0"/>
        <w:spacing w:line="520" w:lineRule="exact"/>
        <w:ind w:firstLine="422" w:firstLineChars="200"/>
        <w:textAlignment w:val="auto"/>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3、专项考核</w:t>
      </w:r>
    </w:p>
    <w:p w14:paraId="7CB46141">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3.1、人员服务：供应商所派遣人数必须满足合同约定，如发生人员缺编情况则扣除缺编人员费用，后另行扣除履约保证金1000元/人/次；</w:t>
      </w:r>
    </w:p>
    <w:p w14:paraId="2722FA25">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3.2、如因供应商服务原因对甲方造成重大负面舆情影响，当月考核评定为基本合格，并额外扣除当月服务费5%，且扣除履约保证金10000元/次；</w:t>
      </w:r>
    </w:p>
    <w:p w14:paraId="14FDBD24">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3.3、如因供应商原因导致发生安全生产相关安全责任事故，当月考核评定为基本合格，根据安全事故等级划分标准，一般事故扣除保证金50000元，较大及以上事故则全额扣除其履约保证金，并由供应商自行承担相关责任，如造成损失均由供应商自行承担或履行相关赔偿义务；</w:t>
      </w:r>
    </w:p>
    <w:p w14:paraId="639F796D">
      <w:pPr>
        <w:keepNext w:val="0"/>
        <w:keepLines w:val="0"/>
        <w:pageBreakBefore w:val="0"/>
        <w:kinsoku/>
        <w:wordWrap/>
        <w:overflowPunct/>
        <w:topLinePunct w:val="0"/>
        <w:autoSpaceDN/>
        <w:bidi w:val="0"/>
        <w:adjustRightInd w:val="0"/>
        <w:snapToGrid w:val="0"/>
        <w:spacing w:line="520" w:lineRule="exact"/>
        <w:ind w:firstLine="420" w:firstLineChars="200"/>
        <w:textAlignment w:val="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3.4、消防监控室值班人员必须持证上岗，且人证相符，如出现人证不符情况则扣除当月服务费2000元/次。</w:t>
      </w:r>
    </w:p>
    <w:p w14:paraId="6AD92DF2">
      <w:pPr>
        <w:pStyle w:val="58"/>
        <w:keepNext w:val="0"/>
        <w:keepLines w:val="0"/>
        <w:pageBreakBefore w:val="0"/>
        <w:numPr>
          <w:ilvl w:val="0"/>
          <w:numId w:val="0"/>
        </w:numPr>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4、本考核最终解释权在采购人。</w:t>
      </w:r>
    </w:p>
    <w:p w14:paraId="6E951B06">
      <w:pPr>
        <w:keepNext w:val="0"/>
        <w:keepLines w:val="0"/>
        <w:pageBreakBefore w:val="0"/>
        <w:widowControl/>
        <w:kinsoku/>
        <w:wordWrap/>
        <w:overflowPunct/>
        <w:topLinePunct w:val="0"/>
        <w:autoSpaceDE w:val="0"/>
        <w:autoSpaceDN/>
        <w:bidi w:val="0"/>
        <w:spacing w:line="520" w:lineRule="exact"/>
        <w:jc w:val="left"/>
        <w:textAlignment w:val="auto"/>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rPr>
        <w:t>六、项目其他要求及说明</w:t>
      </w:r>
    </w:p>
    <w:p w14:paraId="2A5C4FD9">
      <w:pPr>
        <w:keepNext w:val="0"/>
        <w:keepLines w:val="0"/>
        <w:pageBreakBefore w:val="0"/>
        <w:tabs>
          <w:tab w:val="left" w:pos="5"/>
        </w:tabs>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1.实施时间：自合同签订之日起</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年。</w:t>
      </w:r>
    </w:p>
    <w:p w14:paraId="24637CA0">
      <w:pPr>
        <w:keepNext w:val="0"/>
        <w:keepLines w:val="0"/>
        <w:pageBreakBefore w:val="0"/>
        <w:kinsoku/>
        <w:wordWrap/>
        <w:overflowPunct/>
        <w:topLinePunct w:val="0"/>
        <w:autoSpaceDN/>
        <w:bidi w:val="0"/>
        <w:spacing w:line="520" w:lineRule="exact"/>
        <w:ind w:firstLine="630" w:firstLineChars="3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实施地点：长沙市北鑫物业管理有限公司指定地点。</w:t>
      </w:r>
    </w:p>
    <w:p w14:paraId="51D5B756">
      <w:pPr>
        <w:keepNext w:val="0"/>
        <w:keepLines w:val="0"/>
        <w:pageBreakBefore w:val="0"/>
        <w:tabs>
          <w:tab w:val="left" w:pos="5"/>
        </w:tabs>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2.结算方法：</w:t>
      </w:r>
    </w:p>
    <w:p w14:paraId="5DB3FFA7">
      <w:pPr>
        <w:keepNext w:val="0"/>
        <w:keepLines w:val="0"/>
        <w:pageBreakBefore w:val="0"/>
        <w:tabs>
          <w:tab w:val="left" w:pos="5"/>
        </w:tabs>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u w:val="single"/>
          <w:lang w:eastAsia="zh-CN"/>
        </w:rPr>
      </w:pPr>
      <w:r>
        <w:rPr>
          <w:rFonts w:hint="eastAsia" w:asciiTheme="minorEastAsia" w:hAnsiTheme="minorEastAsia" w:eastAsiaTheme="minorEastAsia" w:cstheme="minorEastAsia"/>
          <w:sz w:val="21"/>
          <w:szCs w:val="21"/>
        </w:rPr>
        <w:t>2.1</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付款人：长沙市北鑫物业管理有限公司（单位自行支付）</w:t>
      </w:r>
      <w:r>
        <w:rPr>
          <w:rFonts w:hint="eastAsia" w:asciiTheme="minorEastAsia" w:hAnsiTheme="minorEastAsia" w:eastAsiaTheme="minorEastAsia" w:cstheme="minorEastAsia"/>
          <w:sz w:val="21"/>
          <w:szCs w:val="21"/>
          <w:lang w:eastAsia="zh-CN"/>
        </w:rPr>
        <w:t>；</w:t>
      </w:r>
    </w:p>
    <w:p w14:paraId="3A241AA3">
      <w:pPr>
        <w:keepNext w:val="0"/>
        <w:keepLines w:val="0"/>
        <w:pageBreakBefore w:val="0"/>
        <w:tabs>
          <w:tab w:val="left" w:pos="5"/>
        </w:tabs>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color w:val="666666"/>
          <w:sz w:val="21"/>
          <w:szCs w:val="21"/>
          <w:lang w:eastAsia="zh-CN"/>
        </w:rPr>
      </w:pPr>
      <w:r>
        <w:rPr>
          <w:rFonts w:hint="eastAsia" w:asciiTheme="minorEastAsia" w:hAnsiTheme="minorEastAsia" w:eastAsiaTheme="minorEastAsia" w:cstheme="minorEastAsia"/>
          <w:sz w:val="21"/>
          <w:szCs w:val="21"/>
        </w:rPr>
        <w:t>2.2</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付款方式：按月度支付，每月度工作完成后经采购人考核确认后付款</w:t>
      </w:r>
      <w:r>
        <w:rPr>
          <w:rFonts w:hint="eastAsia" w:asciiTheme="minorEastAsia" w:hAnsiTheme="minorEastAsia" w:eastAsiaTheme="minorEastAsia" w:cstheme="minorEastAsia"/>
          <w:sz w:val="21"/>
          <w:szCs w:val="21"/>
          <w:lang w:eastAsia="zh-CN"/>
        </w:rPr>
        <w:t>；</w:t>
      </w:r>
    </w:p>
    <w:p w14:paraId="1C4981E5">
      <w:pPr>
        <w:keepNext w:val="0"/>
        <w:keepLines w:val="0"/>
        <w:pageBreakBefore w:val="0"/>
        <w:tabs>
          <w:tab w:val="left" w:pos="5"/>
        </w:tabs>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b/>
          <w:bCs/>
          <w:sz w:val="21"/>
          <w:szCs w:val="21"/>
          <w:highlight w:val="yellow"/>
          <w:u w:val="single"/>
          <w:lang w:eastAsia="zh-CN"/>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本项目由采购人自行组织验收。若项目验收国家有强制性规定的，按国家规定执行，验收费用由成交供应商承担，验收报告作为申请付款的凭证之一</w:t>
      </w:r>
      <w:r>
        <w:rPr>
          <w:rFonts w:hint="eastAsia" w:asciiTheme="minorEastAsia" w:hAnsiTheme="minorEastAsia" w:eastAsiaTheme="minorEastAsia" w:cstheme="minorEastAsia"/>
          <w:sz w:val="21"/>
          <w:szCs w:val="21"/>
          <w:lang w:eastAsia="zh-CN"/>
        </w:rPr>
        <w:t>；</w:t>
      </w:r>
    </w:p>
    <w:p w14:paraId="33351948">
      <w:pPr>
        <w:keepNext w:val="0"/>
        <w:keepLines w:val="0"/>
        <w:pageBreakBefore w:val="0"/>
        <w:tabs>
          <w:tab w:val="left" w:pos="5"/>
        </w:tabs>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供应商或成交供应商在参与本项目的全部过程中，应负责其派出的所有工作人员的人身意外保险以及承担人身意外事故引发的责任、损失和所有费用。采购人不承担供应商或成交供应商工作人员因意外（包括但不限于：在驻场工作中发生的意外以及抵达驻场途中及返程中发生的意外）所致的任何责任</w:t>
      </w:r>
      <w:r>
        <w:rPr>
          <w:rFonts w:hint="eastAsia" w:asciiTheme="minorEastAsia" w:hAnsiTheme="minorEastAsia" w:eastAsiaTheme="minorEastAsia" w:cstheme="minorEastAsia"/>
          <w:sz w:val="21"/>
          <w:szCs w:val="21"/>
          <w:lang w:eastAsia="zh-CN"/>
        </w:rPr>
        <w:t>；</w:t>
      </w:r>
    </w:p>
    <w:p w14:paraId="4C7393AB">
      <w:pPr>
        <w:keepNext w:val="0"/>
        <w:keepLines w:val="0"/>
        <w:pageBreakBefore w:val="0"/>
        <w:tabs>
          <w:tab w:val="left" w:pos="5"/>
        </w:tabs>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本项目费用按总价包干方式，供应商应根据项目要求、人员工资不能低于长沙市当前最低工资标准（并考虑人工工资上调、物价上涨等风险因素），按照要求给服务人员购买对应的五险，详细列明服务所需的服装、工具、设备及材料购置费（供应商负责配置），以及培训、管理费、税费、合理利润等完成项目所需的其他所有费用，如一旦成交，在项目实施中出现任何遗漏，均由成交供应商负责，采购人不再支付任何费用</w:t>
      </w:r>
      <w:r>
        <w:rPr>
          <w:rFonts w:hint="eastAsia" w:asciiTheme="minorEastAsia" w:hAnsiTheme="minorEastAsia" w:eastAsiaTheme="minorEastAsia" w:cstheme="minorEastAsia"/>
          <w:sz w:val="21"/>
          <w:szCs w:val="21"/>
          <w:lang w:eastAsia="zh-CN"/>
        </w:rPr>
        <w:t>；</w:t>
      </w:r>
    </w:p>
    <w:p w14:paraId="13A8C331">
      <w:pPr>
        <w:keepNext w:val="0"/>
        <w:keepLines w:val="0"/>
        <w:pageBreakBefore w:val="0"/>
        <w:tabs>
          <w:tab w:val="left" w:pos="5"/>
        </w:tabs>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供应商如须踏勘现场，有关费用自理，踏勘期间发生的意外自负</w:t>
      </w:r>
      <w:r>
        <w:rPr>
          <w:rFonts w:hint="eastAsia" w:asciiTheme="minorEastAsia" w:hAnsiTheme="minorEastAsia" w:eastAsiaTheme="minorEastAsia" w:cstheme="minorEastAsia"/>
          <w:sz w:val="21"/>
          <w:szCs w:val="21"/>
          <w:lang w:eastAsia="zh-CN"/>
        </w:rPr>
        <w:t>；</w:t>
      </w:r>
    </w:p>
    <w:p w14:paraId="70BB5280">
      <w:pPr>
        <w:keepNext w:val="0"/>
        <w:keepLines w:val="0"/>
        <w:pageBreakBefore w:val="0"/>
        <w:tabs>
          <w:tab w:val="left" w:pos="5"/>
        </w:tabs>
        <w:kinsoku/>
        <w:wordWrap/>
        <w:overflowPunct/>
        <w:topLinePunct w:val="0"/>
        <w:autoSpaceDN/>
        <w:bidi w:val="0"/>
        <w:spacing w:line="52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lang w:val="en-US" w:eastAsia="zh-CN"/>
        </w:rPr>
        <w:t>、</w:t>
      </w:r>
      <w:r>
        <w:rPr>
          <w:rFonts w:hint="eastAsia" w:asciiTheme="minorEastAsia" w:hAnsiTheme="minorEastAsia" w:eastAsiaTheme="minorEastAsia" w:cstheme="minorEastAsia"/>
          <w:sz w:val="21"/>
          <w:szCs w:val="21"/>
        </w:rPr>
        <w:t>对于上述项目要求，供应商应在响应文件中进行回应，作出承诺及说明。</w:t>
      </w:r>
    </w:p>
    <w:p w14:paraId="596B0694">
      <w:pPr>
        <w:pStyle w:val="58"/>
        <w:keepNext w:val="0"/>
        <w:keepLines w:val="0"/>
        <w:pageBreakBefore w:val="0"/>
        <w:kinsoku/>
        <w:wordWrap/>
        <w:overflowPunct/>
        <w:topLinePunct w:val="0"/>
        <w:autoSpaceDN/>
        <w:bidi w:val="0"/>
        <w:spacing w:line="520" w:lineRule="exact"/>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3.本采购需求最终解释权在采购人。</w:t>
      </w:r>
    </w:p>
    <w:p w14:paraId="6A5A7133">
      <w:pPr>
        <w:pStyle w:val="58"/>
        <w:keepNext w:val="0"/>
        <w:keepLines w:val="0"/>
        <w:pageBreakBefore w:val="0"/>
        <w:widowControl w:val="0"/>
        <w:numPr>
          <w:ilvl w:val="0"/>
          <w:numId w:val="0"/>
        </w:numPr>
        <w:kinsoku/>
        <w:wordWrap/>
        <w:overflowPunct/>
        <w:topLinePunct w:val="0"/>
        <w:autoSpaceDN/>
        <w:bidi w:val="0"/>
        <w:spacing w:beforeLines="50" w:afterLines="50" w:line="520" w:lineRule="exact"/>
        <w:jc w:val="both"/>
        <w:textAlignment w:val="auto"/>
        <w:rPr>
          <w:rFonts w:hint="eastAsia" w:asciiTheme="minorEastAsia" w:hAnsiTheme="minorEastAsia" w:eastAsiaTheme="minorEastAsia" w:cstheme="minorEastAsia"/>
          <w:b/>
          <w:bCs/>
          <w:sz w:val="21"/>
          <w:szCs w:val="21"/>
          <w:lang w:val="en-US" w:eastAsia="zh-CN"/>
        </w:rPr>
        <w:sectPr>
          <w:footerReference r:id="rId13" w:type="default"/>
          <w:pgSz w:w="11906" w:h="16838"/>
          <w:pgMar w:top="1440" w:right="1800" w:bottom="1440" w:left="1800" w:header="851" w:footer="992" w:gutter="0"/>
          <w:cols w:space="720" w:num="1"/>
          <w:docGrid w:type="lines" w:linePitch="312" w:charSpace="0"/>
        </w:sectPr>
      </w:pPr>
    </w:p>
    <w:tbl>
      <w:tblPr>
        <w:tblStyle w:val="43"/>
        <w:tblW w:w="15714" w:type="dxa"/>
        <w:tblInd w:w="0" w:type="dxa"/>
        <w:tblLayout w:type="autofit"/>
        <w:tblCellMar>
          <w:top w:w="0" w:type="dxa"/>
          <w:left w:w="0" w:type="dxa"/>
          <w:bottom w:w="0" w:type="dxa"/>
          <w:right w:w="0" w:type="dxa"/>
        </w:tblCellMar>
      </w:tblPr>
      <w:tblGrid>
        <w:gridCol w:w="750"/>
        <w:gridCol w:w="124"/>
        <w:gridCol w:w="1840"/>
        <w:gridCol w:w="1328"/>
        <w:gridCol w:w="1047"/>
        <w:gridCol w:w="973"/>
        <w:gridCol w:w="1029"/>
        <w:gridCol w:w="4751"/>
        <w:gridCol w:w="2674"/>
        <w:gridCol w:w="1198"/>
      </w:tblGrid>
      <w:tr w14:paraId="00BD624F">
        <w:tblPrEx>
          <w:tblCellMar>
            <w:top w:w="0" w:type="dxa"/>
            <w:left w:w="0" w:type="dxa"/>
            <w:bottom w:w="0" w:type="dxa"/>
            <w:right w:w="0" w:type="dxa"/>
          </w:tblCellMar>
        </w:tblPrEx>
        <w:trPr>
          <w:trHeight w:val="780" w:hRule="atLeast"/>
        </w:trPr>
        <w:tc>
          <w:tcPr>
            <w:tcW w:w="15714" w:type="dxa"/>
            <w:gridSpan w:val="10"/>
            <w:tcBorders>
              <w:top w:val="nil"/>
              <w:left w:val="nil"/>
              <w:bottom w:val="nil"/>
              <w:right w:val="nil"/>
            </w:tcBorders>
            <w:noWrap w:val="0"/>
            <w:tcMar>
              <w:top w:w="15" w:type="dxa"/>
              <w:left w:w="15" w:type="dxa"/>
              <w:right w:w="15" w:type="dxa"/>
            </w:tcMar>
            <w:vAlign w:val="center"/>
          </w:tcPr>
          <w:p w14:paraId="169ADF2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kern w:val="0"/>
                <w:sz w:val="21"/>
                <w:szCs w:val="21"/>
                <w:lang w:eastAsia="zh-CN" w:bidi="ar"/>
              </w:rPr>
              <w:t>保安、保洁</w:t>
            </w:r>
            <w:r>
              <w:rPr>
                <w:rFonts w:hint="eastAsia" w:asciiTheme="minorEastAsia" w:hAnsiTheme="minorEastAsia" w:eastAsiaTheme="minorEastAsia" w:cstheme="minorEastAsia"/>
                <w:b/>
                <w:color w:val="000000"/>
                <w:kern w:val="0"/>
                <w:sz w:val="21"/>
                <w:szCs w:val="21"/>
                <w:lang w:bidi="ar"/>
              </w:rPr>
              <w:t>月度考核表</w:t>
            </w:r>
          </w:p>
        </w:tc>
      </w:tr>
      <w:tr w14:paraId="605459E4">
        <w:tblPrEx>
          <w:tblCellMar>
            <w:top w:w="0" w:type="dxa"/>
            <w:left w:w="0" w:type="dxa"/>
            <w:bottom w:w="0" w:type="dxa"/>
            <w:right w:w="0" w:type="dxa"/>
          </w:tblCellMar>
        </w:tblPrEx>
        <w:trPr>
          <w:trHeight w:val="920" w:hRule="atLeast"/>
        </w:trPr>
        <w:tc>
          <w:tcPr>
            <w:tcW w:w="15714" w:type="dxa"/>
            <w:gridSpan w:val="10"/>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C5447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left"/>
              <w:textAlignment w:val="center"/>
              <w:rPr>
                <w:rFonts w:hint="eastAsia" w:asciiTheme="minorEastAsia" w:hAnsiTheme="minorEastAsia" w:eastAsiaTheme="minorEastAsia" w:cstheme="minorEastAsia"/>
                <w:b/>
                <w:color w:val="000000"/>
                <w:sz w:val="21"/>
                <w:szCs w:val="21"/>
                <w:lang w:eastAsia="zh-CN"/>
              </w:rPr>
            </w:pPr>
            <w:r>
              <w:rPr>
                <w:rFonts w:hint="eastAsia" w:asciiTheme="minorEastAsia" w:hAnsiTheme="minorEastAsia" w:eastAsiaTheme="minorEastAsia" w:cstheme="minorEastAsia"/>
                <w:b/>
                <w:color w:val="000000"/>
                <w:kern w:val="0"/>
                <w:sz w:val="21"/>
                <w:szCs w:val="21"/>
                <w:lang w:bidi="ar"/>
              </w:rPr>
              <w:t>一、保安月度考核</w:t>
            </w:r>
          </w:p>
        </w:tc>
      </w:tr>
      <w:tr w14:paraId="255A19E7">
        <w:tblPrEx>
          <w:tblCellMar>
            <w:top w:w="0" w:type="dxa"/>
            <w:left w:w="0" w:type="dxa"/>
            <w:bottom w:w="0" w:type="dxa"/>
            <w:right w:w="0" w:type="dxa"/>
          </w:tblCellMar>
        </w:tblPrEx>
        <w:trPr>
          <w:trHeight w:val="740" w:hRule="atLeast"/>
        </w:trPr>
        <w:tc>
          <w:tcPr>
            <w:tcW w:w="7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681744">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bidi="ar"/>
              </w:rPr>
              <w:t>考核项</w:t>
            </w: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EA7E5A">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bidi="ar"/>
              </w:rPr>
              <w:t>保安服务品质标准</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1E1373">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bidi="ar"/>
              </w:rPr>
              <w:t>考评标准</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C197DF">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bidi="ar"/>
              </w:rPr>
              <w:t>处罚标准（按次累积扣分/扣费）</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5B6479">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bidi="ar"/>
              </w:rPr>
              <w:t>累积扣分</w:t>
            </w:r>
          </w:p>
        </w:tc>
      </w:tr>
      <w:tr w14:paraId="53EC58E8">
        <w:tblPrEx>
          <w:tblCellMar>
            <w:top w:w="0" w:type="dxa"/>
            <w:left w:w="0" w:type="dxa"/>
            <w:bottom w:w="0" w:type="dxa"/>
            <w:right w:w="0" w:type="dxa"/>
          </w:tblCellMar>
        </w:tblPrEx>
        <w:trPr>
          <w:trHeight w:val="780" w:hRule="atLeast"/>
        </w:trPr>
        <w:tc>
          <w:tcPr>
            <w:tcW w:w="75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F05D36">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服务</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形象</w:t>
            </w: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FE597D">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按统一规定着装、</w:t>
            </w:r>
            <w:r>
              <w:rPr>
                <w:rFonts w:hint="eastAsia" w:ascii="宋体" w:hAnsi="宋体" w:eastAsia="宋体" w:cs="宋体"/>
                <w:color w:val="auto"/>
                <w:sz w:val="21"/>
                <w:szCs w:val="21"/>
                <w:highlight w:val="none"/>
                <w:lang w:val="en-US" w:eastAsia="zh-CN" w:bidi="ar"/>
              </w:rPr>
              <w:t>佩戴</w:t>
            </w:r>
            <w:r>
              <w:rPr>
                <w:rFonts w:hint="eastAsia" w:ascii="宋体" w:hAnsi="宋体" w:eastAsia="宋体" w:cs="宋体"/>
                <w:color w:val="auto"/>
                <w:sz w:val="21"/>
                <w:szCs w:val="21"/>
                <w:highlight w:val="none"/>
                <w:lang w:bidi="ar"/>
              </w:rPr>
              <w:t>胸牌、装备</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ADFB3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班前形象检查，未穿统一保安制服，未佩戴工牌的</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9C0EC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w:t>
            </w:r>
            <w:r>
              <w:rPr>
                <w:rFonts w:hint="eastAsia" w:asciiTheme="minorEastAsia" w:hAnsiTheme="minorEastAsia" w:eastAsiaTheme="minorEastAsia" w:cstheme="minorEastAsia"/>
                <w:color w:val="000000"/>
                <w:kern w:val="0"/>
                <w:sz w:val="21"/>
                <w:szCs w:val="21"/>
                <w:lang w:bidi="ar"/>
              </w:rPr>
              <w:t>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31190E5">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0C17F1B1">
        <w:tblPrEx>
          <w:tblCellMar>
            <w:top w:w="0" w:type="dxa"/>
            <w:left w:w="0" w:type="dxa"/>
            <w:bottom w:w="0" w:type="dxa"/>
            <w:right w:w="0" w:type="dxa"/>
          </w:tblCellMar>
        </w:tblPrEx>
        <w:trPr>
          <w:trHeight w:val="96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2ECA69">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10E627">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内</w:t>
            </w:r>
            <w:r>
              <w:rPr>
                <w:rFonts w:hint="eastAsia" w:ascii="宋体" w:hAnsi="宋体" w:eastAsia="宋体" w:cs="宋体"/>
                <w:color w:val="auto"/>
                <w:sz w:val="21"/>
                <w:szCs w:val="21"/>
                <w:highlight w:val="none"/>
                <w:lang w:val="en-US" w:eastAsia="zh-CN" w:bidi="ar"/>
              </w:rPr>
              <w:t>控</w:t>
            </w:r>
            <w:r>
              <w:rPr>
                <w:rFonts w:hint="eastAsia" w:ascii="宋体" w:hAnsi="宋体" w:eastAsia="宋体" w:cs="宋体"/>
                <w:color w:val="auto"/>
                <w:sz w:val="21"/>
                <w:szCs w:val="21"/>
                <w:highlight w:val="none"/>
                <w:lang w:bidi="ar"/>
              </w:rPr>
              <w:t>管理</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EA913F">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sz w:val="21"/>
                <w:szCs w:val="21"/>
                <w:lang w:val="en-US" w:eastAsia="zh-CN"/>
              </w:rPr>
              <w:t>保安亭/监控室</w:t>
            </w:r>
            <w:r>
              <w:rPr>
                <w:rFonts w:hint="eastAsia" w:asciiTheme="minorEastAsia" w:hAnsiTheme="minorEastAsia" w:eastAsiaTheme="minorEastAsia" w:cstheme="minorEastAsia"/>
                <w:sz w:val="21"/>
                <w:szCs w:val="21"/>
              </w:rPr>
              <w:t>须保持干净、整洁、无异味，不得使用大功率电器，不得出</w:t>
            </w:r>
            <w:r>
              <w:rPr>
                <w:rFonts w:hint="eastAsia" w:asciiTheme="minorEastAsia" w:hAnsiTheme="minorEastAsia" w:eastAsiaTheme="minorEastAsia" w:cstheme="minorEastAsia"/>
                <w:color w:val="000000"/>
                <w:kern w:val="0"/>
                <w:sz w:val="21"/>
                <w:szCs w:val="21"/>
                <w:lang w:bidi="ar"/>
              </w:rPr>
              <w:t>现私拉乱接现象</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9CCD0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kern w:val="2"/>
                <w:sz w:val="21"/>
                <w:szCs w:val="21"/>
                <w:lang w:val="en-US" w:eastAsia="zh-CN" w:bidi="ar-SA"/>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F0C9EE2">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402E5AE9">
        <w:tblPrEx>
          <w:tblCellMar>
            <w:top w:w="0" w:type="dxa"/>
            <w:left w:w="0" w:type="dxa"/>
            <w:bottom w:w="0" w:type="dxa"/>
            <w:right w:w="0" w:type="dxa"/>
          </w:tblCellMar>
        </w:tblPrEx>
        <w:trPr>
          <w:trHeight w:val="96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AD104B">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667C77">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负责本小区建筑垃圾清运车辆登记、拍照</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77034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记录清晰、工整，完整</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413A32">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575C2B2E">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11DFE56F">
        <w:tblPrEx>
          <w:tblCellMar>
            <w:top w:w="0" w:type="dxa"/>
            <w:left w:w="0" w:type="dxa"/>
            <w:bottom w:w="0" w:type="dxa"/>
            <w:right w:w="0" w:type="dxa"/>
          </w:tblCellMar>
        </w:tblPrEx>
        <w:trPr>
          <w:trHeight w:val="96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D4975D">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63A211">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着装整齐，服装清洁、笔挺，仪表仪容端庄、整洁。</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20976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着装不整齐、不干净，仪表不整洁，姿态不规范。</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C1303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F5EB587">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0FD16A89">
        <w:tblPrEx>
          <w:tblCellMar>
            <w:top w:w="0" w:type="dxa"/>
            <w:left w:w="0" w:type="dxa"/>
            <w:bottom w:w="0" w:type="dxa"/>
            <w:right w:w="0" w:type="dxa"/>
          </w:tblCellMar>
        </w:tblPrEx>
        <w:trPr>
          <w:trHeight w:val="900" w:hRule="atLeast"/>
        </w:trPr>
        <w:tc>
          <w:tcPr>
            <w:tcW w:w="75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9921FC">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培训</w:t>
            </w: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80A83F">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员工素质培训</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89BA50">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做好员工礼节礼仪培训，做到文明用语，不能出现打架斗殴行为</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6F3CE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w:t>
            </w:r>
            <w:r>
              <w:rPr>
                <w:rFonts w:hint="eastAsia" w:asciiTheme="minorEastAsia" w:hAnsiTheme="minorEastAsia" w:eastAsiaTheme="minorEastAsia" w:cstheme="minorEastAsia"/>
                <w:color w:val="000000"/>
                <w:kern w:val="0"/>
                <w:sz w:val="21"/>
                <w:szCs w:val="21"/>
                <w:lang w:bidi="ar"/>
              </w:rPr>
              <w:t>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05D58F2D">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73FEC8BA">
        <w:tblPrEx>
          <w:tblCellMar>
            <w:top w:w="0" w:type="dxa"/>
            <w:left w:w="0" w:type="dxa"/>
            <w:bottom w:w="0" w:type="dxa"/>
            <w:right w:w="0" w:type="dxa"/>
          </w:tblCellMar>
        </w:tblPrEx>
        <w:trPr>
          <w:trHeight w:val="635"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013CE3">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E730B5">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员工岗位培训</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C227B2">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做好员工作业培训，立岗姿势或巡逻走姿规范、正确，值岗或交接岗位时语言、动作规范、认真。</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8D0E9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DECF7F5">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4D7975AB">
        <w:tblPrEx>
          <w:tblCellMar>
            <w:top w:w="0" w:type="dxa"/>
            <w:left w:w="0" w:type="dxa"/>
            <w:bottom w:w="0" w:type="dxa"/>
            <w:right w:w="0" w:type="dxa"/>
          </w:tblCellMar>
        </w:tblPrEx>
        <w:trPr>
          <w:trHeight w:val="870" w:hRule="atLeast"/>
        </w:trPr>
        <w:tc>
          <w:tcPr>
            <w:tcW w:w="75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42F268">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岗位</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服务</w:t>
            </w: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ABD17B">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按岗位要求配置等级人员，保持通讯畅通</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824C7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未按合同规定配置相应级别的保安人员，无法与当班现场负责任人取得联系的</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B370B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A5000D1">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23F823D1">
        <w:tblPrEx>
          <w:tblCellMar>
            <w:top w:w="0" w:type="dxa"/>
            <w:left w:w="0" w:type="dxa"/>
            <w:bottom w:w="0" w:type="dxa"/>
            <w:right w:w="0" w:type="dxa"/>
          </w:tblCellMar>
        </w:tblPrEx>
        <w:trPr>
          <w:trHeight w:val="93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ED92D9">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197BE7">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保安员应严格遵守岗位职责、纪律</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41D6EA">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当班期间不抽烟、喝酒、玩手机、闲聊、看书报、听广播、大声喧哗或做与工作岗位无关的事，不应散布谣言，避免影响内部团结稳定或造成不良影响</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A5E02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3864F55">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6C98EF8C">
        <w:tblPrEx>
          <w:tblCellMar>
            <w:top w:w="0" w:type="dxa"/>
            <w:left w:w="0" w:type="dxa"/>
            <w:bottom w:w="0" w:type="dxa"/>
            <w:right w:w="0" w:type="dxa"/>
          </w:tblCellMar>
        </w:tblPrEx>
        <w:trPr>
          <w:trHeight w:val="8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EA4E64">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4C2D86">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对待工作应认真负责</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3ABC21">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当班期间不离岗、不脱岗、不睡岗；不应串岗、聚岗；要确保巡逻到位，不能漏更</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0E5E1F">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扣10分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6839500">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3E0ADFC2">
        <w:tblPrEx>
          <w:tblCellMar>
            <w:top w:w="0" w:type="dxa"/>
            <w:left w:w="0" w:type="dxa"/>
            <w:bottom w:w="0" w:type="dxa"/>
            <w:right w:w="0" w:type="dxa"/>
          </w:tblCellMar>
        </w:tblPrEx>
        <w:trPr>
          <w:trHeight w:val="112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F29145">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F6780D">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如实、规范填写各项值班、交接班、巡逻签到记录，按规定检查各设施设备，并主动交回管理处存档</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2F0A7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未按相关工作质量的要求填写工作记录，交接班不认真，责任不清晰，值班岗位脏乱差，质量记录填写不正确、不规范，工作记录保管失当</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2AEC72">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55AFCB3C">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7DDD917F">
        <w:tblPrEx>
          <w:tblCellMar>
            <w:top w:w="0" w:type="dxa"/>
            <w:left w:w="0" w:type="dxa"/>
            <w:bottom w:w="0" w:type="dxa"/>
            <w:right w:w="0" w:type="dxa"/>
          </w:tblCellMar>
        </w:tblPrEx>
        <w:trPr>
          <w:trHeight w:val="126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6051E2">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4DEB07">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按规定严格管控外来人员、车辆出入及物品放行，有效引导园区车辆停放，主动为业户提供帮助和服务</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3D784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未按规定做好来访登记，未按规定放行出入车辆，未劝阻制止拾荒、张贴广告、收废品人员进入项目</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701F1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213A9CA">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504999DF">
        <w:tblPrEx>
          <w:tblCellMar>
            <w:top w:w="0" w:type="dxa"/>
            <w:left w:w="0" w:type="dxa"/>
            <w:bottom w:w="0" w:type="dxa"/>
            <w:right w:w="0" w:type="dxa"/>
          </w:tblCellMar>
        </w:tblPrEx>
        <w:trPr>
          <w:trHeight w:val="1060" w:hRule="atLeast"/>
        </w:trPr>
        <w:tc>
          <w:tcPr>
            <w:tcW w:w="7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7E31E6">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配合度</w:t>
            </w: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71832C">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服从管理处工作安排，配合项目工作开展，如实上传工作状态图片。</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2DA3A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不服从管理，有违纪现象，工作状态图片不真实</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464DC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3AF9567">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7F67AC38">
        <w:tblPrEx>
          <w:tblCellMar>
            <w:top w:w="0" w:type="dxa"/>
            <w:left w:w="0" w:type="dxa"/>
            <w:bottom w:w="0" w:type="dxa"/>
            <w:right w:w="0" w:type="dxa"/>
          </w:tblCellMar>
        </w:tblPrEx>
        <w:trPr>
          <w:trHeight w:val="1000" w:hRule="atLeast"/>
        </w:trPr>
        <w:tc>
          <w:tcPr>
            <w:tcW w:w="75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2DDA9A">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p w14:paraId="4C013C7B">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p w14:paraId="73CAD21B">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一般</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投诉</w:t>
            </w: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A88290">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及时处理业主有效投诉</w:t>
            </w:r>
          </w:p>
          <w:p w14:paraId="3D83AE25">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（处理时限：2小时内）</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624F0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未及时处理或上报业主有效投诉</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B973A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125C769">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7FD5A897">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0656CE">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0395F1">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文明用语</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565DB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服务过程中未使用文明用语，导致投诉且属实</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22233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C31E930">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48A9990D">
        <w:tblPrEx>
          <w:tblCellMar>
            <w:top w:w="0" w:type="dxa"/>
            <w:left w:w="0" w:type="dxa"/>
            <w:bottom w:w="0" w:type="dxa"/>
            <w:right w:w="0" w:type="dxa"/>
          </w:tblCellMar>
        </w:tblPrEx>
        <w:trPr>
          <w:trHeight w:val="1000" w:hRule="atLeast"/>
        </w:trPr>
        <w:tc>
          <w:tcPr>
            <w:tcW w:w="7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FD9CE7">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其他</w:t>
            </w:r>
          </w:p>
        </w:tc>
        <w:tc>
          <w:tcPr>
            <w:tcW w:w="4339"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37B62C">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突发事件处理能力</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6EA47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影响安全服务质量的突发事件未及时汇报、反馈</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37733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F9C560E">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7D5520F1">
        <w:tblPrEx>
          <w:tblCellMar>
            <w:top w:w="0" w:type="dxa"/>
            <w:left w:w="0" w:type="dxa"/>
            <w:bottom w:w="0" w:type="dxa"/>
            <w:right w:w="0" w:type="dxa"/>
          </w:tblCellMar>
        </w:tblPrEx>
        <w:trPr>
          <w:trHeight w:val="880" w:hRule="atLeast"/>
        </w:trPr>
        <w:tc>
          <w:tcPr>
            <w:tcW w:w="15714" w:type="dxa"/>
            <w:gridSpan w:val="10"/>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F6B4BA">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left"/>
              <w:textAlignment w:val="center"/>
              <w:rPr>
                <w:rFonts w:hint="eastAsia" w:asciiTheme="minorEastAsia" w:hAnsiTheme="minorEastAsia" w:eastAsiaTheme="minorEastAsia" w:cstheme="minorEastAsia"/>
                <w:b/>
                <w:color w:val="000000"/>
                <w:sz w:val="21"/>
                <w:szCs w:val="21"/>
                <w:lang w:eastAsia="zh-CN"/>
              </w:rPr>
            </w:pPr>
            <w:r>
              <w:rPr>
                <w:rFonts w:hint="eastAsia" w:asciiTheme="minorEastAsia" w:hAnsiTheme="minorEastAsia" w:eastAsiaTheme="minorEastAsia" w:cstheme="minorEastAsia"/>
                <w:b/>
                <w:color w:val="000000"/>
                <w:kern w:val="0"/>
                <w:sz w:val="21"/>
                <w:szCs w:val="21"/>
                <w:lang w:bidi="ar"/>
              </w:rPr>
              <w:t>二、保洁月度考核</w:t>
            </w:r>
          </w:p>
        </w:tc>
      </w:tr>
      <w:tr w14:paraId="41A9B116">
        <w:tblPrEx>
          <w:tblCellMar>
            <w:top w:w="0" w:type="dxa"/>
            <w:left w:w="0" w:type="dxa"/>
            <w:bottom w:w="0" w:type="dxa"/>
            <w:right w:w="0" w:type="dxa"/>
          </w:tblCellMar>
        </w:tblPrEx>
        <w:trPr>
          <w:trHeight w:val="1000" w:hRule="atLeast"/>
        </w:trPr>
        <w:tc>
          <w:tcPr>
            <w:tcW w:w="15714" w:type="dxa"/>
            <w:gridSpan w:val="10"/>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1A812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left"/>
              <w:textAlignment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kern w:val="0"/>
                <w:sz w:val="21"/>
                <w:szCs w:val="21"/>
                <w:lang w:bidi="ar"/>
              </w:rPr>
              <w:t>1、保洁人员管理</w:t>
            </w:r>
          </w:p>
        </w:tc>
      </w:tr>
      <w:tr w14:paraId="06DBA91F">
        <w:tblPrEx>
          <w:tblCellMar>
            <w:top w:w="0" w:type="dxa"/>
            <w:left w:w="0" w:type="dxa"/>
            <w:bottom w:w="0" w:type="dxa"/>
            <w:right w:w="0" w:type="dxa"/>
          </w:tblCellMar>
        </w:tblPrEx>
        <w:trPr>
          <w:trHeight w:val="880" w:hRule="atLeast"/>
        </w:trPr>
        <w:tc>
          <w:tcPr>
            <w:tcW w:w="2714"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CAD5B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kern w:val="0"/>
                <w:sz w:val="21"/>
                <w:szCs w:val="21"/>
                <w:lang w:bidi="ar"/>
              </w:rPr>
              <w:t>项目</w:t>
            </w:r>
          </w:p>
        </w:tc>
        <w:tc>
          <w:tcPr>
            <w:tcW w:w="4377"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B3B67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kern w:val="0"/>
                <w:sz w:val="21"/>
                <w:szCs w:val="21"/>
                <w:lang w:bidi="ar"/>
              </w:rPr>
              <w:t>质量标准</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0E8A0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kern w:val="0"/>
                <w:sz w:val="21"/>
                <w:szCs w:val="21"/>
                <w:lang w:bidi="ar"/>
              </w:rPr>
              <w:t>考评标准</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C7CCB2">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bidi="ar"/>
              </w:rPr>
              <w:t>处罚标准（按次累积扣分/扣费）</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0828F4">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bidi="ar"/>
              </w:rPr>
              <w:t>累积扣分</w:t>
            </w:r>
          </w:p>
        </w:tc>
      </w:tr>
      <w:tr w14:paraId="148E7517">
        <w:tblPrEx>
          <w:tblCellMar>
            <w:top w:w="0" w:type="dxa"/>
            <w:left w:w="0" w:type="dxa"/>
            <w:bottom w:w="0" w:type="dxa"/>
            <w:right w:w="0" w:type="dxa"/>
          </w:tblCellMar>
        </w:tblPrEx>
        <w:trPr>
          <w:trHeight w:val="1000" w:hRule="atLeast"/>
        </w:trPr>
        <w:tc>
          <w:tcPr>
            <w:tcW w:w="75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3F283E">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基</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本</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情</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况</w:t>
            </w:r>
            <w:r>
              <w:rPr>
                <w:rFonts w:hint="eastAsia" w:ascii="宋体" w:hAnsi="宋体" w:eastAsia="宋体" w:cs="宋体"/>
                <w:color w:val="auto"/>
                <w:sz w:val="21"/>
                <w:szCs w:val="21"/>
                <w:highlight w:val="none"/>
                <w:lang w:bidi="ar"/>
              </w:rPr>
              <w:br w:type="textWrapping"/>
            </w: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56E1EE">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现场服务人员</w:t>
            </w:r>
          </w:p>
        </w:tc>
        <w:tc>
          <w:tcPr>
            <w:tcW w:w="4377"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4A2F1B">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选派素质良好，身体健康的专业人员，服从甲方的监督和指导。保洁公司派遣人员必须保质保量的完成甲方物业项目优质环境清洁运作</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E3AF61">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员工超龄现象，身体素质不适合保洁工作，不配合管理处工作，不能保质保量完成保洁工作</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565ED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5597931D">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648091C1">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035604">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6DA75F">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仪表规范</w:t>
            </w:r>
          </w:p>
        </w:tc>
        <w:tc>
          <w:tcPr>
            <w:tcW w:w="4377"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2382AD">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工作日必须统一着工作服、佩戴工作证，衣着整齐，合体，头发干净，梳理好</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08986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未穿统一工作服或工作服不干净，未佩戴工牌，仪容仪表不整洁</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FB7D2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641A63B">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711F8F1C">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8FD3A6">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CE88A9">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礼貌礼仪</w:t>
            </w:r>
          </w:p>
        </w:tc>
        <w:tc>
          <w:tcPr>
            <w:tcW w:w="4377"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0B7C84">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遵守甲方的各项规章制度，做到文明礼貌，热情服务</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2DF2A2">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不服从管理，与业主、管理处工作人员冲突的</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470B2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5F4214CA">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52C2B079">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FB3899">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9B194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劳动纪律</w:t>
            </w:r>
          </w:p>
        </w:tc>
        <w:tc>
          <w:tcPr>
            <w:tcW w:w="4377"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4287CA">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工作时间脱岗离岗或从事第二职业的</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2BFA8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随意离岗、聊天、玩手机、无故休息等做与岗位工作无关的事</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82F86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扣10分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50FDE006">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3127F8F1">
        <w:tblPrEx>
          <w:tblCellMar>
            <w:top w:w="0" w:type="dxa"/>
            <w:left w:w="0" w:type="dxa"/>
            <w:bottom w:w="0" w:type="dxa"/>
            <w:right w:w="0" w:type="dxa"/>
          </w:tblCellMar>
        </w:tblPrEx>
        <w:trPr>
          <w:trHeight w:val="122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2A4ACF">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B04A5C">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377"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99267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物业临时性清洁工作</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56E60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当甲方物业发生问题，临时急需清洁人员时，保洁公司保证在接到通知后半小时内到达现场进行清洁处理，其人数应保证在甲方要求时间内完成工作</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7EB29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0CD6BF6A">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641CF7D0">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988638">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4A26F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职业道德</w:t>
            </w:r>
          </w:p>
        </w:tc>
        <w:tc>
          <w:tcPr>
            <w:tcW w:w="4377"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8D56B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讲究职业道德，拾金不昧，杜绝挑拨离间，在公共场合注意形象</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07297A">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无业主有效投诉，拿用业主物品，未执行客户优先的规定，与客户发生争吵的</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2A100A">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06585475">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22D2E394">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5CE9CE">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FB9F91">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工具维护</w:t>
            </w:r>
          </w:p>
        </w:tc>
        <w:tc>
          <w:tcPr>
            <w:tcW w:w="4377"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21952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规范摆放在保洁工具指定地点</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C025A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保洁工具摆放整齐，不随便堆放</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DACFE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042DBF20">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4DE04AF0">
        <w:tblPrEx>
          <w:tblCellMar>
            <w:top w:w="0" w:type="dxa"/>
            <w:left w:w="0" w:type="dxa"/>
            <w:bottom w:w="0" w:type="dxa"/>
            <w:right w:w="0" w:type="dxa"/>
          </w:tblCellMar>
        </w:tblPrEx>
        <w:trPr>
          <w:trHeight w:val="1000" w:hRule="atLeast"/>
        </w:trPr>
        <w:tc>
          <w:tcPr>
            <w:tcW w:w="15714" w:type="dxa"/>
            <w:gridSpan w:val="10"/>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5FC34C">
            <w:pPr>
              <w:keepNext w:val="0"/>
              <w:keepLines w:val="0"/>
              <w:pageBreakBefore w:val="0"/>
              <w:widowControl/>
              <w:suppressLineNumbers w:val="0"/>
              <w:kinsoku/>
              <w:wordWrap/>
              <w:overflowPunct/>
              <w:topLinePunct w:val="0"/>
              <w:bidi w:val="0"/>
              <w:spacing w:before="0" w:beforeAutospacing="0" w:after="0" w:afterAutospacing="0" w:line="560" w:lineRule="exact"/>
              <w:ind w:left="0" w:right="4229" w:rightChars="2014"/>
              <w:jc w:val="left"/>
              <w:textAlignment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kern w:val="0"/>
                <w:sz w:val="21"/>
                <w:szCs w:val="21"/>
                <w:lang w:bidi="ar"/>
              </w:rPr>
              <w:t>2、保洁作业管理</w:t>
            </w:r>
          </w:p>
        </w:tc>
      </w:tr>
      <w:tr w14:paraId="59307507">
        <w:tblPrEx>
          <w:tblCellMar>
            <w:top w:w="0" w:type="dxa"/>
            <w:left w:w="0" w:type="dxa"/>
            <w:bottom w:w="0" w:type="dxa"/>
            <w:right w:w="0" w:type="dxa"/>
          </w:tblCellMar>
        </w:tblPrEx>
        <w:trPr>
          <w:trHeight w:val="620" w:hRule="atLeast"/>
        </w:trPr>
        <w:tc>
          <w:tcPr>
            <w:tcW w:w="2714" w:type="dxa"/>
            <w:gridSpan w:val="3"/>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DD823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kern w:val="0"/>
                <w:sz w:val="21"/>
                <w:szCs w:val="21"/>
                <w:lang w:bidi="ar"/>
              </w:rPr>
              <w:t>项目</w:t>
            </w:r>
          </w:p>
        </w:tc>
        <w:tc>
          <w:tcPr>
            <w:tcW w:w="132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7243A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kern w:val="0"/>
                <w:sz w:val="21"/>
                <w:szCs w:val="21"/>
                <w:lang w:bidi="ar"/>
              </w:rPr>
              <w:t>日常作业/每天</w:t>
            </w:r>
          </w:p>
        </w:tc>
        <w:tc>
          <w:tcPr>
            <w:tcW w:w="3049"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551B3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kern w:val="0"/>
                <w:sz w:val="21"/>
                <w:szCs w:val="21"/>
                <w:lang w:bidi="ar"/>
              </w:rPr>
              <w:t>定期作业</w:t>
            </w:r>
          </w:p>
        </w:tc>
        <w:tc>
          <w:tcPr>
            <w:tcW w:w="475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31B86A">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kern w:val="0"/>
                <w:sz w:val="21"/>
                <w:szCs w:val="21"/>
                <w:lang w:bidi="ar"/>
              </w:rPr>
              <w:t>清洁标准</w:t>
            </w:r>
          </w:p>
        </w:tc>
        <w:tc>
          <w:tcPr>
            <w:tcW w:w="267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FD59CA">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bidi="ar"/>
              </w:rPr>
              <w:t>处罚标准</w:t>
            </w:r>
          </w:p>
        </w:tc>
        <w:tc>
          <w:tcPr>
            <w:tcW w:w="119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F690BC">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bidi="ar"/>
              </w:rPr>
              <w:t>累积扣分</w:t>
            </w:r>
          </w:p>
        </w:tc>
      </w:tr>
      <w:tr w14:paraId="26C77927">
        <w:tblPrEx>
          <w:tblCellMar>
            <w:top w:w="0" w:type="dxa"/>
            <w:left w:w="0" w:type="dxa"/>
            <w:bottom w:w="0" w:type="dxa"/>
            <w:right w:w="0" w:type="dxa"/>
          </w:tblCellMar>
        </w:tblPrEx>
        <w:trPr>
          <w:trHeight w:val="620" w:hRule="atLeast"/>
        </w:trPr>
        <w:tc>
          <w:tcPr>
            <w:tcW w:w="2714" w:type="dxa"/>
            <w:gridSpan w:val="3"/>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D02F93">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b/>
                <w:color w:val="000000"/>
                <w:sz w:val="21"/>
                <w:szCs w:val="21"/>
              </w:rPr>
            </w:pPr>
          </w:p>
        </w:tc>
        <w:tc>
          <w:tcPr>
            <w:tcW w:w="132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98861C">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b/>
                <w:color w:val="000000"/>
                <w:sz w:val="21"/>
                <w:szCs w:val="21"/>
              </w:rPr>
            </w:pP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2AE99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kern w:val="0"/>
                <w:sz w:val="21"/>
                <w:szCs w:val="21"/>
                <w:lang w:bidi="ar"/>
              </w:rPr>
              <w:t>每周</w:t>
            </w: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595E9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kern w:val="0"/>
                <w:sz w:val="21"/>
                <w:szCs w:val="21"/>
                <w:lang w:bidi="ar"/>
              </w:rPr>
              <w:t>每月</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323F7A">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kern w:val="0"/>
                <w:sz w:val="21"/>
                <w:szCs w:val="21"/>
                <w:lang w:bidi="ar"/>
              </w:rPr>
              <w:t>每季</w:t>
            </w:r>
          </w:p>
        </w:tc>
        <w:tc>
          <w:tcPr>
            <w:tcW w:w="475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B1AC55">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b/>
                <w:color w:val="000000"/>
                <w:sz w:val="21"/>
                <w:szCs w:val="21"/>
              </w:rPr>
            </w:pPr>
          </w:p>
        </w:tc>
        <w:tc>
          <w:tcPr>
            <w:tcW w:w="267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60A9FD">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b/>
                <w:color w:val="000000"/>
                <w:sz w:val="21"/>
                <w:szCs w:val="21"/>
              </w:rPr>
            </w:pPr>
          </w:p>
        </w:tc>
        <w:tc>
          <w:tcPr>
            <w:tcW w:w="119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72E5F1">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b/>
                <w:color w:val="000000"/>
                <w:sz w:val="21"/>
                <w:szCs w:val="21"/>
              </w:rPr>
            </w:pPr>
          </w:p>
        </w:tc>
      </w:tr>
      <w:tr w14:paraId="6609C2F4">
        <w:tblPrEx>
          <w:tblCellMar>
            <w:top w:w="0" w:type="dxa"/>
            <w:left w:w="0" w:type="dxa"/>
            <w:bottom w:w="0" w:type="dxa"/>
            <w:right w:w="0" w:type="dxa"/>
          </w:tblCellMar>
        </w:tblPrEx>
        <w:trPr>
          <w:trHeight w:val="1000" w:hRule="atLeast"/>
        </w:trPr>
        <w:tc>
          <w:tcPr>
            <w:tcW w:w="75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4084BD">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p w14:paraId="7E66D979">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p w14:paraId="2E217763">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p w14:paraId="3102707B">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p w14:paraId="0521F5ED">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电</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梯</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内</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部</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分</w:t>
            </w:r>
            <w:r>
              <w:rPr>
                <w:rFonts w:hint="eastAsia" w:ascii="宋体" w:hAnsi="宋体" w:eastAsia="宋体" w:cs="宋体"/>
                <w:color w:val="auto"/>
                <w:sz w:val="21"/>
                <w:szCs w:val="21"/>
                <w:highlight w:val="none"/>
                <w:lang w:bidi="ar"/>
              </w:rPr>
              <w:br w:type="textWrapping"/>
            </w: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C8F01C">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不锈钢壁面、按钮部分</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17211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擦抹1次</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0B5AD0">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1EC5A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电梯油保养1次</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C1E43A">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9BC91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无灰尘、无手印、无污渍、无牛皮癣，保持不锈钢表面亮丽的金属光泽</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C64D1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BDD08E5">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34941AC5">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32C2BA">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8434C4">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地面</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E0D0F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拖地2次，并随时清除杂物、口痰等</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F3519F">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B9A523">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7E6A1D">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B64291">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保持干净、地面无杂物、无污渍</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4729B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B8EEF98">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5049AA90">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C2AB4D">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5F2B0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天花、灯饰及风口</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369A4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除尘、除蛛网1次</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A85E0E">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34E57F">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AD59FB">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4F5B7A">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无尘、无蛛网、无污渍</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B61A6A">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51267AFE">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56D5E989">
        <w:tblPrEx>
          <w:tblCellMar>
            <w:top w:w="0" w:type="dxa"/>
            <w:left w:w="0" w:type="dxa"/>
            <w:bottom w:w="0" w:type="dxa"/>
            <w:right w:w="0" w:type="dxa"/>
          </w:tblCellMar>
        </w:tblPrEx>
        <w:trPr>
          <w:trHeight w:val="1000" w:hRule="atLeast"/>
        </w:trPr>
        <w:tc>
          <w:tcPr>
            <w:tcW w:w="75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9CEB9F">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公共区域</w:t>
            </w: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109B70">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墙面</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4F66A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保洁</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9A3722">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FCA29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清抹灰尘、蛛网</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2F0EF9">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269F3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保持干净，无污渍、无蛛网、无牛皮癣</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254358">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24ED731">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2B9981F4">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6E34EB">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0868EE">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楼道地面</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B2669F">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日清扫一次</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C4AB38">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180BD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拖洗一次</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041583">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57385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保持干净，无污渍。</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DA8EA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633CB9E">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52DD76D8">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414D7C">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9E5DA5">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楼道扶手</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C6DE76">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96231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清抹1次</w:t>
            </w: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9E6E54">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15BA7A">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11176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保持干净，无污渍。</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F584F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6F32BDC">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21D68C49">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663DCD">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CA24A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门、灯具、开关</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1495B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保洁，清抹门把手1次</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B32C4B">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052A38">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清抹1次，特别地脚一带注意保洁</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03EBF9">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1EB0C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保持干净，无明显积尘、污渍、蜘蛛网</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D419D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A76CC44">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2338F55D">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759091">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A8774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消防门</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BD25B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保洁</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E8F90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清抹1次</w:t>
            </w: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16D9CF">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7E41C0">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78284A">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无尘、无污渍，无牛皮癣</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86EB30">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399C449">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36EE5EF0">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B41FCB">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25AA6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消防栓、报警器开关、铝窗等、灭火器</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4F7607">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2EE45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清抹1次</w:t>
            </w: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81049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玻璃清洗1次</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F49DF3">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5129B8">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无尘、无污渍，无牛皮癣</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8D036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6646283">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11CCC384">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55A785">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0007D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垃圾桶</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AE1C7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随时保洁，清抹、清捯垃圾2次</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AD0C29">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414CE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清洗垃圾桶1次</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578EE1">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CE8C7F">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无溢出、无污渍、无杂物，及时清除口痰、烟蒂等杂物，无严重异味</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4A8D80">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扣1分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1EDAC62">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1F3AE932">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AA644B">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1F1538">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外围广场地面</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28D97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每天保洁</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7EA148">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冲洗1次</w:t>
            </w: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D4635B">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C88268">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EB5BF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无明显烟头、纸屑，无落叶等杂物</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F0336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2A35D65">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1C74A714">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DB4C66">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DEE928">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散水坡和排水沟</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D7AD4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每天不定期保洁</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AAEAC7">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04134D">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A8DB0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每季清掏1次</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55FF5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无明显垃圾、污垢、泥沙，无杂物堵塞</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18658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FF4D53C">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47594280">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DABEB4">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DC106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建筑垃圾池</w:t>
            </w:r>
            <w:r>
              <w:rPr>
                <w:rFonts w:hint="eastAsia" w:asciiTheme="minorEastAsia" w:hAnsiTheme="minorEastAsia" w:eastAsiaTheme="minorEastAsia" w:cstheme="minorEastAsia"/>
                <w:color w:val="000000"/>
                <w:kern w:val="0"/>
                <w:sz w:val="21"/>
                <w:szCs w:val="21"/>
                <w:lang w:bidi="ar"/>
              </w:rPr>
              <w:br w:type="textWrapping"/>
            </w:r>
            <w:r>
              <w:rPr>
                <w:rFonts w:hint="eastAsia" w:asciiTheme="minorEastAsia" w:hAnsiTheme="minorEastAsia" w:eastAsiaTheme="minorEastAsia" w:cstheme="minorEastAsia"/>
                <w:color w:val="000000"/>
                <w:kern w:val="0"/>
                <w:sz w:val="21"/>
                <w:szCs w:val="21"/>
                <w:lang w:bidi="ar"/>
              </w:rPr>
              <w:t>大件垃圾池</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E0DE3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A8F9B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w:t>
            </w: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28634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每月清洗1次</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2F3F78">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EB3F4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无建筑垃圾、生活垃圾、大件垃圾混乱堆放，无垃圾外溢。</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182D2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E1DB2E2">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2FD68EBD">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F3B16E">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A03E1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生活垃圾站</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BF604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日清理1次</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4B3689">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A4FDF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每月清洗1次</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BFB08E">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78C30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及时清理保持干净、无严重异味、无污渍</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0C46F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155A6C4">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589AB0F5">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44CB3F">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B40F0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污水井、沙井</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84413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保洁</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796C4F">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DBE2E7">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A65A5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每季清掏1次</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802D92">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沙井内无纸屑、烟头，盖上无污垢</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6CA03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EB9CB2B">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45061E38">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21ABFE">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750EAF">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玻璃雨棚</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13C7D6">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EE7CBF">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146C8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清洗1次</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06F146">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40833F">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保持干净、无污渍、无牛皮癣</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6D7F2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0DBDEDB">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7CA97877">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3AF3E0">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E87FAA">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宣传栏、雕饰</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D1297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每日擦抹1次</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AB15B9">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05EF8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每月清洗保养1次</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AAF90E">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66B1D0">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保持干净，无污迹，无明显积尘，无牛皮癣</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E41DD2">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AEBA8ED">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51A15937">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3E269F">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842ED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标识牌、射灯</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E36EF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每日擦抹1次</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CE7858">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B943AD">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E48AA0">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灯具每季清理一次</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D520D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保持干净，无污迹，无明显积尘，无牛皮癣</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A5682F">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E5FE7F3">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37C54998">
        <w:tblPrEx>
          <w:tblCellMar>
            <w:top w:w="0" w:type="dxa"/>
            <w:left w:w="0" w:type="dxa"/>
            <w:bottom w:w="0" w:type="dxa"/>
            <w:right w:w="0" w:type="dxa"/>
          </w:tblCellMar>
        </w:tblPrEx>
        <w:trPr>
          <w:trHeight w:val="1000" w:hRule="atLeast"/>
        </w:trPr>
        <w:tc>
          <w:tcPr>
            <w:tcW w:w="75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0D6334">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地下车库</w:t>
            </w:r>
            <w:r>
              <w:rPr>
                <w:rFonts w:hint="eastAsia" w:ascii="宋体" w:hAnsi="宋体" w:eastAsia="宋体" w:cs="宋体"/>
                <w:color w:val="auto"/>
                <w:sz w:val="21"/>
                <w:szCs w:val="21"/>
                <w:highlight w:val="none"/>
                <w:lang w:bidi="ar"/>
              </w:rPr>
              <w:br w:type="textWrapping"/>
            </w: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4A6923">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地面</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7AE1A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每天保洁</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608161">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9E0E6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每月冲洗1次</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C904AD">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75A8F1">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无明显泥沙、石子，无污垢纸屑，无蛛网，无垃圾及杂物堆放</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5E432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09F6364">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7A0E4B67">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F9503E">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94252C">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停车位</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350C1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每天保洁</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9A7DAD">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F5A1D7">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3106FE">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EA569F">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无明显泥沙、石子，无污垢纸屑，无蛛网，无垃圾及杂物堆放</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1129D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E362871">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52ED7256">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0F2F37">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097065">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下水道和排水沟</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5332E8">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每天保洁</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8769F1">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ED8364">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36A8A8">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每季清掏1次</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CF8972">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无污渍，无烟头等明显杂物、无积水，无泥沙</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9E9CC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2DBB5E1">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57C4E480">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8C2074">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3E58D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停车场出入口地面</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DA48AA">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每天清洁</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E7DE97">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A1FA01">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4263C0">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88CD6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无明显泥沙、石子，无污垢纸屑，无垃圾及杂物堆放，无车辆停放</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EB12A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B4B62D5">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4465E6FD">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39048E">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439BA1">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停车场出入口的栏杆、墙面</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AC57F1">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794B5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擦抹1次</w:t>
            </w: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26F76E">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16310A">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197CE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光洁明亮，无尘、无蛛网，无牛皮癣</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2359D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7813AD4">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0B8D4FA6">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F678D8">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C5F45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垃圾桶和垃圾箱</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D7E56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每日清运次并保持清洁</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BFD8B2">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每周清洗1次</w:t>
            </w: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6D1176">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05DEE8">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DCDF88">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及时清理，无溢出，无灰尘，无明显污渍，无严重异味</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E030A2">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07A43DA0">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7B0DF617">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5906CD">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E3B5FF">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天井绿化带</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46A948">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清理1次</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D836C0">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5A4B53">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596A72">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FBDD3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保持干净，无明显烟头、纸屑，无落叶等杂物</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4D084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9F0B944">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34AFC2E9">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617F05">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5B0A9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消火栓、反光镜等设施</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5A2A9D">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8AC7E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擦+抹1次</w:t>
            </w: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3467FA">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F69F6C">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51BA0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保持干净、无尘、无污渍，无牛皮癣</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DE84F0">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09AF6A5">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359D8651">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96CC65">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15829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污、雨水井和沙井</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BC419F">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每天保洁</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20064F">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03002A">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9BB861">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每季清掏1次</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BF91C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沙井内无纸屑、烟头，盖上无污垢</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F7B03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50733C09">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1130D614">
        <w:tblPrEx>
          <w:tblCellMar>
            <w:top w:w="0" w:type="dxa"/>
            <w:left w:w="0" w:type="dxa"/>
            <w:bottom w:w="0" w:type="dxa"/>
            <w:right w:w="0" w:type="dxa"/>
          </w:tblCellMar>
        </w:tblPrEx>
        <w:trPr>
          <w:trHeight w:val="1000" w:hRule="atLeast"/>
        </w:trPr>
        <w:tc>
          <w:tcPr>
            <w:tcW w:w="75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580BB2">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大堂</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部分，各层电梯门厅</w:t>
            </w:r>
            <w:r>
              <w:rPr>
                <w:rFonts w:hint="eastAsia" w:ascii="宋体" w:hAnsi="宋体" w:eastAsia="宋体" w:cs="宋体"/>
                <w:color w:val="auto"/>
                <w:sz w:val="21"/>
                <w:szCs w:val="21"/>
                <w:highlight w:val="none"/>
                <w:lang w:bidi="ar"/>
              </w:rPr>
              <w:br w:type="textWrapping"/>
            </w: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12D125">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地面</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08360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拖洗2次</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BB5A50">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26F97F">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9061A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保养1次</w:t>
            </w: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802C3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保持干净、光亮，无痰渍、无污渍，无杂物</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044630">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扣2分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4B9EA01">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48FF5DE6">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209757">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2EBD35">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墙面</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DDA9A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保洁</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313DCF">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0E40C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擦抹1次</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2B6334">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FADE9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保持干净、无尘、无蛛网，无牛皮癣</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5B8FE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8C9F607">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432BDB79">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E3FF66">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860B17">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进户玻璃门</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C721A1">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擦抹2次</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034B46">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用清洁剂清洗1次</w:t>
            </w: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EBE22C">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5A47CB">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D40D5F">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保持干净、明亮，无明显污渍，无牛皮癣</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9CAB9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8DE1908">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655E5F9E">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927187">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C17E9A">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幕墙玻璃</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B9262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保洁</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96D209">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0BE40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用清洁剂清洗1次</w:t>
            </w: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80C86D">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B3B16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保持干净、明亮，无明显污渍，无牛皮癣</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2FF2E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ED2A1FE">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5BEE3E01">
        <w:tblPrEx>
          <w:tblCellMar>
            <w:top w:w="0" w:type="dxa"/>
            <w:left w:w="0" w:type="dxa"/>
            <w:bottom w:w="0" w:type="dxa"/>
            <w:right w:w="0" w:type="dxa"/>
          </w:tblCellMar>
        </w:tblPrEx>
        <w:trPr>
          <w:trHeight w:val="1000" w:hRule="atLeast"/>
        </w:trPr>
        <w:tc>
          <w:tcPr>
            <w:tcW w:w="7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672AB1">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86EA94">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信报箱、消火栓、门禁、开关等设施</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ED3A5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擦抹1次</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46F9CE">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9BF449">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2BBF8E">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74D3C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保持干净、无尘、无污渍，无牛皮癣</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DDF631">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D99046C">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676A80B4">
        <w:tblPrEx>
          <w:tblCellMar>
            <w:top w:w="0" w:type="dxa"/>
            <w:left w:w="0" w:type="dxa"/>
            <w:bottom w:w="0" w:type="dxa"/>
            <w:right w:w="0" w:type="dxa"/>
          </w:tblCellMar>
        </w:tblPrEx>
        <w:trPr>
          <w:trHeight w:val="1000" w:hRule="atLeast"/>
        </w:trPr>
        <w:tc>
          <w:tcPr>
            <w:tcW w:w="750"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3DE48F0F">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垃圾分类</w:t>
            </w:r>
            <w:r>
              <w:rPr>
                <w:rFonts w:hint="eastAsia" w:ascii="宋体" w:hAnsi="宋体" w:eastAsia="宋体" w:cs="宋体"/>
                <w:color w:val="auto"/>
                <w:sz w:val="21"/>
                <w:szCs w:val="21"/>
                <w:highlight w:val="none"/>
                <w:lang w:bidi="ar"/>
              </w:rPr>
              <w:br w:type="textWrapping"/>
            </w: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ED0000">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湿垃圾收集</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4AB13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日收集</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FF3E18">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246C5E">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715E68">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5C0F83">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按要求进行湿垃圾收集并达到社区要求重量，形成湿垃圾台账。</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F44532">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扣4分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6733A70">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43B8ED3B">
        <w:tblPrEx>
          <w:tblCellMar>
            <w:top w:w="0" w:type="dxa"/>
            <w:left w:w="0" w:type="dxa"/>
            <w:bottom w:w="0" w:type="dxa"/>
            <w:right w:w="0" w:type="dxa"/>
          </w:tblCellMar>
        </w:tblPrEx>
        <w:trPr>
          <w:trHeight w:val="1000" w:hRule="atLeast"/>
        </w:trPr>
        <w:tc>
          <w:tcPr>
            <w:tcW w:w="750" w:type="dxa"/>
            <w:vMerge w:val="continue"/>
            <w:tcBorders>
              <w:left w:val="single" w:color="000000" w:sz="4" w:space="0"/>
              <w:right w:val="single" w:color="000000" w:sz="4" w:space="0"/>
            </w:tcBorders>
            <w:noWrap w:val="0"/>
            <w:tcMar>
              <w:top w:w="15" w:type="dxa"/>
              <w:left w:w="15" w:type="dxa"/>
              <w:right w:w="15" w:type="dxa"/>
            </w:tcMar>
            <w:vAlign w:val="center"/>
          </w:tcPr>
          <w:p w14:paraId="7DD80417">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7250E9">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垃圾分类督导员</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91654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每日按时段值班</w:t>
            </w: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4918AC">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832340">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EEBDB0">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FD238F">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每日上午7:00-9:00；下午17:00-19:00</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0E05D1">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一次不合格</w:t>
            </w:r>
            <w:r>
              <w:rPr>
                <w:rFonts w:hint="eastAsia" w:asciiTheme="minorEastAsia" w:hAnsiTheme="minorEastAsia" w:eastAsiaTheme="minorEastAsia" w:cstheme="minorEastAsia"/>
                <w:color w:val="000000"/>
                <w:kern w:val="0"/>
                <w:sz w:val="21"/>
                <w:szCs w:val="21"/>
                <w:lang w:val="en-US" w:eastAsia="zh-CN" w:bidi="ar"/>
              </w:rPr>
              <w:t>扣4分</w:t>
            </w:r>
            <w:r>
              <w:rPr>
                <w:rFonts w:hint="eastAsia" w:asciiTheme="minorEastAsia" w:hAnsiTheme="minorEastAsia" w:eastAsiaTheme="minorEastAsia" w:cstheme="minorEastAsia"/>
                <w:color w:val="000000"/>
                <w:kern w:val="0"/>
                <w:sz w:val="21"/>
                <w:szCs w:val="21"/>
                <w:lang w:bidi="ar"/>
              </w:rPr>
              <w:t>，按次计分。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CDE0956">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2FD0F9CE">
        <w:tblPrEx>
          <w:tblCellMar>
            <w:top w:w="0" w:type="dxa"/>
            <w:left w:w="0" w:type="dxa"/>
            <w:bottom w:w="0" w:type="dxa"/>
            <w:right w:w="0" w:type="dxa"/>
          </w:tblCellMar>
        </w:tblPrEx>
        <w:trPr>
          <w:trHeight w:val="1000" w:hRule="atLeast"/>
        </w:trPr>
        <w:tc>
          <w:tcPr>
            <w:tcW w:w="750" w:type="dxa"/>
            <w:vMerge w:val="continue"/>
            <w:tcBorders>
              <w:left w:val="single" w:color="000000" w:sz="4" w:space="0"/>
              <w:right w:val="single" w:color="000000" w:sz="4" w:space="0"/>
            </w:tcBorders>
            <w:noWrap w:val="0"/>
            <w:tcMar>
              <w:top w:w="15" w:type="dxa"/>
              <w:left w:w="15" w:type="dxa"/>
              <w:right w:w="15" w:type="dxa"/>
            </w:tcMar>
            <w:vAlign w:val="center"/>
          </w:tcPr>
          <w:p w14:paraId="7B6FCAEF">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CF2BFF">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分类垃圾桶清洗</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AAADA1">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E7A69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每周清洗垃圾桶一次</w:t>
            </w: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3AABB6">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1DF3B6">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A5D4B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kern w:val="0"/>
                <w:sz w:val="21"/>
                <w:szCs w:val="21"/>
                <w:lang w:bidi="ar"/>
              </w:rPr>
              <w:t>分类垃圾桶要求内外干净，无明显污渍，无异味。</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B0020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kern w:val="0"/>
                <w:sz w:val="21"/>
                <w:szCs w:val="21"/>
                <w:lang w:eastAsia="zh-CN" w:bidi="ar"/>
              </w:rPr>
              <w:t>一次不合格扣1分，按次计分。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2645C1F">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08E2B40A">
        <w:tblPrEx>
          <w:tblCellMar>
            <w:top w:w="0" w:type="dxa"/>
            <w:left w:w="0" w:type="dxa"/>
            <w:bottom w:w="0" w:type="dxa"/>
            <w:right w:w="0" w:type="dxa"/>
          </w:tblCellMar>
        </w:tblPrEx>
        <w:trPr>
          <w:trHeight w:val="595" w:hRule="atLeast"/>
        </w:trPr>
        <w:tc>
          <w:tcPr>
            <w:tcW w:w="750"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5ED2B0E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kern w:val="0"/>
                <w:sz w:val="21"/>
                <w:szCs w:val="21"/>
                <w:lang w:bidi="ar"/>
              </w:rPr>
            </w:pPr>
          </w:p>
        </w:tc>
        <w:tc>
          <w:tcPr>
            <w:tcW w:w="196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A66FE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综合考评</w:t>
            </w:r>
          </w:p>
        </w:tc>
        <w:tc>
          <w:tcPr>
            <w:tcW w:w="132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90C5C3">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4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9B940B">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97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469EC4">
            <w:pPr>
              <w:keepNext w:val="0"/>
              <w:keepLines w:val="0"/>
              <w:pageBreakBefore w:val="0"/>
              <w:suppressLineNumbers w:val="0"/>
              <w:kinsoku/>
              <w:wordWrap/>
              <w:overflowPunct/>
              <w:topLinePunct w:val="0"/>
              <w:bidi w:val="0"/>
              <w:spacing w:before="0" w:beforeAutospacing="0" w:after="0" w:afterAutospacing="0" w:line="560" w:lineRule="exact"/>
              <w:ind w:left="0" w:right="0"/>
              <w:jc w:val="center"/>
              <w:rPr>
                <w:rFonts w:hint="eastAsia" w:asciiTheme="minorEastAsia" w:hAnsiTheme="minorEastAsia" w:eastAsiaTheme="minorEastAsia" w:cstheme="minorEastAsia"/>
                <w:color w:val="000000"/>
                <w:sz w:val="21"/>
                <w:szCs w:val="21"/>
              </w:rPr>
            </w:pPr>
          </w:p>
        </w:tc>
        <w:tc>
          <w:tcPr>
            <w:tcW w:w="102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689FD9">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kern w:val="0"/>
                <w:sz w:val="21"/>
                <w:szCs w:val="21"/>
                <w:lang w:bidi="ar"/>
              </w:rPr>
            </w:pPr>
          </w:p>
        </w:tc>
        <w:tc>
          <w:tcPr>
            <w:tcW w:w="47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97C85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垃圾分类工作须严格遵照相关指导部门及采购人要求执行。</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4733C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垃圾分类工作不达指导部门及采购人要求，本项不得分，实际扣款5000元</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07ECCA00">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p>
        </w:tc>
      </w:tr>
      <w:tr w14:paraId="3C65831F">
        <w:tblPrEx>
          <w:tblCellMar>
            <w:top w:w="0" w:type="dxa"/>
            <w:left w:w="0" w:type="dxa"/>
            <w:bottom w:w="0" w:type="dxa"/>
            <w:right w:w="0" w:type="dxa"/>
          </w:tblCellMar>
        </w:tblPrEx>
        <w:trPr>
          <w:trHeight w:val="980" w:hRule="atLeast"/>
        </w:trPr>
        <w:tc>
          <w:tcPr>
            <w:tcW w:w="15714" w:type="dxa"/>
            <w:gridSpan w:val="10"/>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41A5F8">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kern w:val="0"/>
                <w:sz w:val="21"/>
                <w:szCs w:val="21"/>
                <w:lang w:val="en-US" w:eastAsia="zh-CN"/>
              </w:rPr>
              <w:t>三、项目主管/会务接待</w:t>
            </w:r>
          </w:p>
        </w:tc>
      </w:tr>
      <w:tr w14:paraId="6BA29840">
        <w:tblPrEx>
          <w:tblCellMar>
            <w:top w:w="0" w:type="dxa"/>
            <w:left w:w="0" w:type="dxa"/>
            <w:bottom w:w="0" w:type="dxa"/>
            <w:right w:w="0" w:type="dxa"/>
          </w:tblCellMar>
        </w:tblPrEx>
        <w:trPr>
          <w:trHeight w:val="830" w:hRule="atLeast"/>
        </w:trPr>
        <w:tc>
          <w:tcPr>
            <w:tcW w:w="87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7E8530">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考核项</w:t>
            </w:r>
          </w:p>
        </w:tc>
        <w:tc>
          <w:tcPr>
            <w:tcW w:w="421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28DC71">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服务</w:t>
            </w:r>
            <w:r>
              <w:rPr>
                <w:rFonts w:hint="eastAsia" w:ascii="宋体" w:hAnsi="宋体" w:eastAsia="宋体" w:cs="宋体"/>
                <w:color w:val="auto"/>
                <w:sz w:val="21"/>
                <w:szCs w:val="21"/>
                <w:highlight w:val="none"/>
                <w:lang w:val="en-US" w:eastAsia="zh-CN" w:bidi="ar"/>
              </w:rPr>
              <w:t>考核内容</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015612">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kern w:val="0"/>
                <w:sz w:val="21"/>
                <w:szCs w:val="21"/>
                <w:lang w:bidi="ar"/>
              </w:rPr>
              <w:t>考评标准</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83A6A6">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bidi="ar"/>
              </w:rPr>
              <w:t>处罚标准（按次累积扣分/扣费）</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69B995">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textAlignment w:val="auto"/>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bidi="ar"/>
              </w:rPr>
              <w:t>累积扣分/扣费</w:t>
            </w:r>
          </w:p>
        </w:tc>
      </w:tr>
      <w:tr w14:paraId="08915B10">
        <w:tblPrEx>
          <w:tblCellMar>
            <w:top w:w="0" w:type="dxa"/>
            <w:left w:w="0" w:type="dxa"/>
            <w:bottom w:w="0" w:type="dxa"/>
            <w:right w:w="0" w:type="dxa"/>
          </w:tblCellMar>
        </w:tblPrEx>
        <w:trPr>
          <w:trHeight w:val="910" w:hRule="atLeast"/>
        </w:trPr>
        <w:tc>
          <w:tcPr>
            <w:tcW w:w="874"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A69222">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服务形象</w:t>
            </w:r>
          </w:p>
        </w:tc>
        <w:tc>
          <w:tcPr>
            <w:tcW w:w="421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BA172D">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按统一规定着装、佩戴胸牌、装备</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CF1EE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bidi="ar"/>
              </w:rPr>
              <w:t>班前形象检查，未穿统一保安制服，未佩戴工牌的</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DAF010">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bidi="ar"/>
              </w:rPr>
              <w:t>一次不合格，拟扣</w:t>
            </w:r>
            <w:r>
              <w:rPr>
                <w:rFonts w:hint="eastAsia" w:asciiTheme="minorEastAsia" w:hAnsiTheme="minorEastAsia" w:eastAsiaTheme="minorEastAsia" w:cstheme="minorEastAsia"/>
                <w:color w:val="000000"/>
                <w:kern w:val="0"/>
                <w:sz w:val="21"/>
                <w:szCs w:val="21"/>
                <w:lang w:eastAsia="zh-CN" w:bidi="ar"/>
              </w:rPr>
              <w:t>200元</w:t>
            </w:r>
            <w:r>
              <w:rPr>
                <w:rFonts w:hint="eastAsia" w:asciiTheme="minorEastAsia" w:hAnsiTheme="minorEastAsia" w:eastAsiaTheme="minorEastAsia" w:cstheme="minorEastAsia"/>
                <w:color w:val="000000"/>
                <w:kern w:val="0"/>
                <w:sz w:val="21"/>
                <w:szCs w:val="21"/>
                <w:lang w:val="en-US" w:eastAsia="zh-CN" w:bidi="ar"/>
              </w:rPr>
              <w:t>1</w:t>
            </w:r>
            <w:r>
              <w:rPr>
                <w:rFonts w:hint="eastAsia" w:asciiTheme="minorEastAsia" w:hAnsiTheme="minorEastAsia" w:eastAsiaTheme="minorEastAsia" w:cstheme="minorEastAsia"/>
                <w:color w:val="000000"/>
                <w:kern w:val="0"/>
                <w:sz w:val="21"/>
                <w:szCs w:val="21"/>
                <w:lang w:bidi="ar"/>
              </w:rPr>
              <w:t>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366D25B6">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sz w:val="21"/>
                <w:szCs w:val="21"/>
              </w:rPr>
            </w:pPr>
          </w:p>
        </w:tc>
      </w:tr>
      <w:tr w14:paraId="4B02AF5D">
        <w:tblPrEx>
          <w:tblCellMar>
            <w:top w:w="0" w:type="dxa"/>
            <w:left w:w="0" w:type="dxa"/>
            <w:bottom w:w="0" w:type="dxa"/>
            <w:right w:w="0" w:type="dxa"/>
          </w:tblCellMar>
        </w:tblPrEx>
        <w:trPr>
          <w:trHeight w:val="910" w:hRule="atLeast"/>
        </w:trPr>
        <w:tc>
          <w:tcPr>
            <w:tcW w:w="874"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B50BD0">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421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60A1E6">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内务管理</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FCDD1E">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办公区域</w:t>
            </w:r>
            <w:r>
              <w:rPr>
                <w:rFonts w:hint="eastAsia" w:asciiTheme="minorEastAsia" w:hAnsiTheme="minorEastAsia" w:eastAsiaTheme="minorEastAsia" w:cstheme="minorEastAsia"/>
                <w:sz w:val="21"/>
                <w:szCs w:val="21"/>
              </w:rPr>
              <w:t>须保持干净、整洁、无异味，</w:t>
            </w:r>
            <w:r>
              <w:rPr>
                <w:rFonts w:hint="eastAsia" w:asciiTheme="minorEastAsia" w:hAnsiTheme="minorEastAsia" w:eastAsiaTheme="minorEastAsia" w:cstheme="minorEastAsia"/>
                <w:sz w:val="21"/>
                <w:szCs w:val="21"/>
                <w:lang w:val="en-US" w:eastAsia="zh-CN"/>
              </w:rPr>
              <w:t>室</w:t>
            </w:r>
            <w:r>
              <w:rPr>
                <w:rFonts w:hint="eastAsia" w:asciiTheme="minorEastAsia" w:hAnsiTheme="minorEastAsia" w:eastAsiaTheme="minorEastAsia" w:cstheme="minorEastAsia"/>
                <w:sz w:val="21"/>
                <w:szCs w:val="21"/>
              </w:rPr>
              <w:t>内不得使用大功率电器，不得出</w:t>
            </w:r>
            <w:r>
              <w:rPr>
                <w:rFonts w:hint="eastAsia" w:asciiTheme="minorEastAsia" w:hAnsiTheme="minorEastAsia" w:eastAsiaTheme="minorEastAsia" w:cstheme="minorEastAsia"/>
                <w:color w:val="000000"/>
                <w:kern w:val="0"/>
                <w:sz w:val="21"/>
                <w:szCs w:val="21"/>
                <w:lang w:bidi="ar"/>
              </w:rPr>
              <w:t>现私拉乱接现象</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8DC525">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bidi="ar"/>
              </w:rPr>
              <w:t>一次不合格，拟扣</w:t>
            </w:r>
            <w:r>
              <w:rPr>
                <w:rFonts w:hint="eastAsia" w:asciiTheme="minorEastAsia" w:hAnsiTheme="minorEastAsia" w:eastAsiaTheme="minorEastAsia" w:cstheme="minorEastAsia"/>
                <w:color w:val="000000"/>
                <w:kern w:val="0"/>
                <w:sz w:val="21"/>
                <w:szCs w:val="21"/>
                <w:lang w:eastAsia="zh-CN" w:bidi="ar"/>
              </w:rPr>
              <w:t>200元</w:t>
            </w:r>
            <w:r>
              <w:rPr>
                <w:rFonts w:hint="eastAsia" w:asciiTheme="minorEastAsia" w:hAnsiTheme="minorEastAsia" w:eastAsiaTheme="minorEastAsia" w:cstheme="minorEastAsia"/>
                <w:color w:val="000000"/>
                <w:kern w:val="0"/>
                <w:sz w:val="21"/>
                <w:szCs w:val="21"/>
                <w:lang w:val="en-US" w:eastAsia="zh-CN" w:bidi="ar"/>
              </w:rPr>
              <w:t>1</w:t>
            </w:r>
            <w:r>
              <w:rPr>
                <w:rFonts w:hint="eastAsia" w:asciiTheme="minorEastAsia" w:hAnsiTheme="minorEastAsia" w:eastAsiaTheme="minorEastAsia" w:cstheme="minorEastAsia"/>
                <w:color w:val="000000"/>
                <w:kern w:val="0"/>
                <w:sz w:val="21"/>
                <w:szCs w:val="21"/>
                <w:lang w:bidi="ar"/>
              </w:rPr>
              <w:t>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A1EC139">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sz w:val="21"/>
                <w:szCs w:val="21"/>
              </w:rPr>
            </w:pPr>
          </w:p>
        </w:tc>
      </w:tr>
      <w:tr w14:paraId="5FC48FA9">
        <w:tblPrEx>
          <w:tblCellMar>
            <w:top w:w="0" w:type="dxa"/>
            <w:left w:w="0" w:type="dxa"/>
            <w:bottom w:w="0" w:type="dxa"/>
            <w:right w:w="0" w:type="dxa"/>
          </w:tblCellMar>
        </w:tblPrEx>
        <w:trPr>
          <w:trHeight w:val="910" w:hRule="atLeast"/>
        </w:trPr>
        <w:tc>
          <w:tcPr>
            <w:tcW w:w="874"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BA8DD5">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421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05E218">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着装整齐，服装清洁、笔挺，仪表仪容端庄、整洁。</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0A41B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bidi="ar"/>
              </w:rPr>
              <w:t>着装不整齐、不干净，仪表不整洁，姿态不规范。</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8C46B2">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bidi="ar"/>
              </w:rPr>
              <w:t>一次不合格，拟扣</w:t>
            </w:r>
            <w:r>
              <w:rPr>
                <w:rFonts w:hint="eastAsia" w:asciiTheme="minorEastAsia" w:hAnsiTheme="minorEastAsia" w:eastAsiaTheme="minorEastAsia" w:cstheme="minorEastAsia"/>
                <w:color w:val="000000"/>
                <w:kern w:val="0"/>
                <w:sz w:val="21"/>
                <w:szCs w:val="21"/>
                <w:lang w:eastAsia="zh-CN" w:bidi="ar"/>
              </w:rPr>
              <w:t>200元</w:t>
            </w:r>
            <w:r>
              <w:rPr>
                <w:rFonts w:hint="eastAsia" w:asciiTheme="minorEastAsia" w:hAnsiTheme="minorEastAsia" w:eastAsiaTheme="minorEastAsia" w:cstheme="minorEastAsia"/>
                <w:color w:val="000000"/>
                <w:kern w:val="0"/>
                <w:sz w:val="21"/>
                <w:szCs w:val="21"/>
                <w:lang w:val="en-US" w:eastAsia="zh-CN" w:bidi="ar"/>
              </w:rPr>
              <w:t>1</w:t>
            </w:r>
            <w:r>
              <w:rPr>
                <w:rFonts w:hint="eastAsia" w:asciiTheme="minorEastAsia" w:hAnsiTheme="minorEastAsia" w:eastAsiaTheme="minorEastAsia" w:cstheme="minorEastAsia"/>
                <w:color w:val="000000"/>
                <w:kern w:val="0"/>
                <w:sz w:val="21"/>
                <w:szCs w:val="21"/>
                <w:lang w:bidi="ar"/>
              </w:rPr>
              <w:t>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D5C7267">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sz w:val="21"/>
                <w:szCs w:val="21"/>
              </w:rPr>
            </w:pPr>
          </w:p>
        </w:tc>
      </w:tr>
      <w:tr w14:paraId="1EDE00C8">
        <w:tblPrEx>
          <w:tblCellMar>
            <w:top w:w="0" w:type="dxa"/>
            <w:left w:w="0" w:type="dxa"/>
            <w:bottom w:w="0" w:type="dxa"/>
            <w:right w:w="0" w:type="dxa"/>
          </w:tblCellMar>
        </w:tblPrEx>
        <w:trPr>
          <w:trHeight w:val="910" w:hRule="atLeast"/>
        </w:trPr>
        <w:tc>
          <w:tcPr>
            <w:tcW w:w="874"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F0F7CE">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岗位服务</w:t>
            </w:r>
          </w:p>
        </w:tc>
        <w:tc>
          <w:tcPr>
            <w:tcW w:w="421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CBF5DE">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按岗位要求配置等级人员，保持通讯畅通</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1156BB">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bidi="ar"/>
              </w:rPr>
              <w:t>未按合同规定配置相应级别的人员</w:t>
            </w:r>
            <w:r>
              <w:rPr>
                <w:rFonts w:hint="eastAsia" w:asciiTheme="minorEastAsia" w:hAnsiTheme="minorEastAsia" w:eastAsiaTheme="minorEastAsia" w:cstheme="minorEastAsia"/>
                <w:color w:val="000000"/>
                <w:kern w:val="0"/>
                <w:sz w:val="21"/>
                <w:szCs w:val="21"/>
                <w:lang w:eastAsia="zh-CN" w:bidi="ar"/>
              </w:rPr>
              <w:t>；</w:t>
            </w:r>
            <w:r>
              <w:rPr>
                <w:rFonts w:hint="eastAsia" w:asciiTheme="minorEastAsia" w:hAnsiTheme="minorEastAsia" w:eastAsiaTheme="minorEastAsia" w:cstheme="minorEastAsia"/>
                <w:color w:val="000000"/>
                <w:kern w:val="0"/>
                <w:sz w:val="21"/>
                <w:szCs w:val="21"/>
                <w:lang w:bidi="ar"/>
              </w:rPr>
              <w:t>无法与当班现场责任人取得联系的</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4C52F0">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bidi="ar"/>
              </w:rPr>
              <w:t>一次不合格，拟扣</w:t>
            </w:r>
            <w:r>
              <w:rPr>
                <w:rFonts w:hint="eastAsia" w:asciiTheme="minorEastAsia" w:hAnsiTheme="minorEastAsia" w:eastAsiaTheme="minorEastAsia" w:cstheme="minorEastAsia"/>
                <w:color w:val="000000"/>
                <w:kern w:val="0"/>
                <w:sz w:val="21"/>
                <w:szCs w:val="21"/>
                <w:lang w:val="en-US" w:eastAsia="zh-CN" w:bidi="ar"/>
              </w:rPr>
              <w:t>20</w:t>
            </w:r>
            <w:r>
              <w:rPr>
                <w:rFonts w:hint="eastAsia" w:asciiTheme="minorEastAsia" w:hAnsiTheme="minorEastAsia" w:eastAsiaTheme="minorEastAsia" w:cstheme="minorEastAsia"/>
                <w:color w:val="000000"/>
                <w:kern w:val="0"/>
                <w:sz w:val="21"/>
                <w:szCs w:val="21"/>
                <w:lang w:eastAsia="zh-CN" w:bidi="ar"/>
              </w:rPr>
              <w:t>0元</w:t>
            </w:r>
            <w:r>
              <w:rPr>
                <w:rFonts w:hint="eastAsia" w:asciiTheme="minorEastAsia" w:hAnsiTheme="minorEastAsia" w:eastAsiaTheme="minorEastAsia" w:cstheme="minorEastAsia"/>
                <w:color w:val="000000"/>
                <w:kern w:val="0"/>
                <w:sz w:val="21"/>
                <w:szCs w:val="21"/>
                <w:lang w:bidi="ar"/>
              </w:rPr>
              <w:t>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7E4528F">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sz w:val="21"/>
                <w:szCs w:val="21"/>
              </w:rPr>
            </w:pPr>
          </w:p>
        </w:tc>
      </w:tr>
      <w:tr w14:paraId="7D4244B4">
        <w:tblPrEx>
          <w:tblCellMar>
            <w:top w:w="0" w:type="dxa"/>
            <w:left w:w="0" w:type="dxa"/>
            <w:bottom w:w="0" w:type="dxa"/>
            <w:right w:w="0" w:type="dxa"/>
          </w:tblCellMar>
        </w:tblPrEx>
        <w:trPr>
          <w:trHeight w:val="910" w:hRule="atLeast"/>
        </w:trPr>
        <w:tc>
          <w:tcPr>
            <w:tcW w:w="874"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C4BD15">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421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305B25">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文明用语</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D10AB0">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bidi="ar"/>
              </w:rPr>
              <w:t>服务过程中未使用文明用语，</w:t>
            </w:r>
            <w:r>
              <w:rPr>
                <w:rFonts w:hint="eastAsia" w:asciiTheme="minorEastAsia" w:hAnsiTheme="minorEastAsia" w:eastAsiaTheme="minorEastAsia" w:cstheme="minorEastAsia"/>
                <w:color w:val="000000"/>
                <w:kern w:val="0"/>
                <w:sz w:val="21"/>
                <w:szCs w:val="21"/>
                <w:lang w:val="en-US" w:eastAsia="zh-CN" w:bidi="ar"/>
              </w:rPr>
              <w:t>接待业主热情礼貌</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8649A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bidi="ar"/>
              </w:rPr>
              <w:t>一次不合格，拟扣</w:t>
            </w:r>
            <w:r>
              <w:rPr>
                <w:rFonts w:hint="eastAsia" w:asciiTheme="minorEastAsia" w:hAnsiTheme="minorEastAsia" w:eastAsiaTheme="minorEastAsia" w:cstheme="minorEastAsia"/>
                <w:color w:val="000000"/>
                <w:kern w:val="0"/>
                <w:sz w:val="21"/>
                <w:szCs w:val="21"/>
                <w:lang w:val="en-US" w:eastAsia="zh-CN" w:bidi="ar"/>
              </w:rPr>
              <w:t>200</w:t>
            </w:r>
            <w:r>
              <w:rPr>
                <w:rFonts w:hint="eastAsia" w:asciiTheme="minorEastAsia" w:hAnsiTheme="minorEastAsia" w:eastAsiaTheme="minorEastAsia" w:cstheme="minorEastAsia"/>
                <w:color w:val="000000"/>
                <w:kern w:val="0"/>
                <w:sz w:val="21"/>
                <w:szCs w:val="21"/>
                <w:lang w:eastAsia="zh-CN" w:bidi="ar"/>
              </w:rPr>
              <w:t>元</w:t>
            </w:r>
            <w:r>
              <w:rPr>
                <w:rFonts w:hint="eastAsia" w:asciiTheme="minorEastAsia" w:hAnsiTheme="minorEastAsia" w:eastAsiaTheme="minorEastAsia" w:cstheme="minorEastAsia"/>
                <w:color w:val="000000"/>
                <w:kern w:val="0"/>
                <w:sz w:val="21"/>
                <w:szCs w:val="21"/>
                <w:lang w:bidi="ar"/>
              </w:rPr>
              <w:t>1分，按次计分。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A40CB2D">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sz w:val="21"/>
                <w:szCs w:val="21"/>
              </w:rPr>
            </w:pPr>
          </w:p>
        </w:tc>
      </w:tr>
      <w:tr w14:paraId="526315E8">
        <w:tblPrEx>
          <w:tblCellMar>
            <w:top w:w="0" w:type="dxa"/>
            <w:left w:w="0" w:type="dxa"/>
            <w:bottom w:w="0" w:type="dxa"/>
            <w:right w:w="0" w:type="dxa"/>
          </w:tblCellMar>
        </w:tblPrEx>
        <w:trPr>
          <w:trHeight w:val="910" w:hRule="atLeast"/>
        </w:trPr>
        <w:tc>
          <w:tcPr>
            <w:tcW w:w="874"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64B2BA">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421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9DF578">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对待工作应认真负责</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BC9552">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bidi="ar"/>
              </w:rPr>
              <w:t>当班期间不离岗、不脱岗、不睡岗；不应串岗、聚岗；</w:t>
            </w:r>
            <w:r>
              <w:rPr>
                <w:rFonts w:hint="eastAsia" w:asciiTheme="minorEastAsia" w:hAnsiTheme="minorEastAsia" w:eastAsiaTheme="minorEastAsia" w:cstheme="minorEastAsia"/>
                <w:color w:val="000000"/>
                <w:kern w:val="0"/>
                <w:sz w:val="21"/>
                <w:szCs w:val="21"/>
                <w:lang w:val="en-US" w:eastAsia="zh-CN" w:bidi="ar"/>
              </w:rPr>
              <w:t>小区巡园</w:t>
            </w:r>
            <w:r>
              <w:rPr>
                <w:rFonts w:hint="eastAsia" w:asciiTheme="minorEastAsia" w:hAnsiTheme="minorEastAsia" w:eastAsiaTheme="minorEastAsia" w:cstheme="minorEastAsia"/>
                <w:color w:val="000000"/>
                <w:kern w:val="0"/>
                <w:sz w:val="21"/>
                <w:szCs w:val="21"/>
                <w:lang w:bidi="ar"/>
              </w:rPr>
              <w:t>到位</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252DE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bidi="ar"/>
              </w:rPr>
              <w:t>一次不合格，拟扣100</w:t>
            </w:r>
            <w:r>
              <w:rPr>
                <w:rFonts w:hint="eastAsia" w:asciiTheme="minorEastAsia" w:hAnsiTheme="minorEastAsia" w:eastAsiaTheme="minorEastAsia" w:cstheme="minorEastAsia"/>
                <w:color w:val="000000"/>
                <w:kern w:val="0"/>
                <w:sz w:val="21"/>
                <w:szCs w:val="21"/>
                <w:lang w:val="en-US" w:eastAsia="zh-CN" w:bidi="ar"/>
              </w:rPr>
              <w:t>0</w:t>
            </w:r>
            <w:r>
              <w:rPr>
                <w:rFonts w:hint="eastAsia" w:asciiTheme="minorEastAsia" w:hAnsiTheme="minorEastAsia" w:eastAsiaTheme="minorEastAsia" w:cstheme="minorEastAsia"/>
                <w:color w:val="000000"/>
                <w:kern w:val="0"/>
                <w:sz w:val="21"/>
                <w:szCs w:val="21"/>
                <w:lang w:bidi="ar"/>
              </w:rPr>
              <w:t>元</w:t>
            </w:r>
            <w:r>
              <w:rPr>
                <w:rFonts w:hint="eastAsia" w:asciiTheme="minorEastAsia" w:hAnsiTheme="minorEastAsia" w:eastAsiaTheme="minorEastAsia" w:cstheme="minorEastAsia"/>
                <w:color w:val="000000"/>
                <w:kern w:val="0"/>
                <w:sz w:val="21"/>
                <w:szCs w:val="21"/>
                <w:lang w:val="en-US" w:eastAsia="zh-CN" w:bidi="ar"/>
              </w:rPr>
              <w:t>5</w:t>
            </w:r>
            <w:r>
              <w:rPr>
                <w:rFonts w:hint="eastAsia" w:asciiTheme="minorEastAsia" w:hAnsiTheme="minorEastAsia" w:eastAsiaTheme="minorEastAsia" w:cstheme="minorEastAsia"/>
                <w:color w:val="000000"/>
                <w:kern w:val="0"/>
                <w:sz w:val="21"/>
                <w:szCs w:val="21"/>
                <w:lang w:bidi="ar"/>
              </w:rPr>
              <w:t>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DE4C988">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sz w:val="21"/>
                <w:szCs w:val="21"/>
              </w:rPr>
            </w:pPr>
          </w:p>
        </w:tc>
      </w:tr>
      <w:tr w14:paraId="7A7D4214">
        <w:tblPrEx>
          <w:tblCellMar>
            <w:top w:w="0" w:type="dxa"/>
            <w:left w:w="0" w:type="dxa"/>
            <w:bottom w:w="0" w:type="dxa"/>
            <w:right w:w="0" w:type="dxa"/>
          </w:tblCellMar>
        </w:tblPrEx>
        <w:trPr>
          <w:trHeight w:val="910" w:hRule="atLeast"/>
        </w:trPr>
        <w:tc>
          <w:tcPr>
            <w:tcW w:w="874"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AD1CA6">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p>
        </w:tc>
        <w:tc>
          <w:tcPr>
            <w:tcW w:w="4215"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BFDC87">
            <w:pPr>
              <w:keepNext w:val="0"/>
              <w:keepLines w:val="0"/>
              <w:pageBreakBefore w:val="0"/>
              <w:widowControl/>
              <w:suppressLineNumbers w:val="0"/>
              <w:kinsoku/>
              <w:wordWrap/>
              <w:overflowPunct/>
              <w:topLinePunct w:val="0"/>
              <w:bidi w:val="0"/>
              <w:spacing w:before="0" w:beforeAutospacing="0" w:after="0" w:afterAutospacing="0" w:line="240" w:lineRule="auto"/>
              <w:ind w:left="0" w:right="0" w:firstLine="0" w:firstLineChars="0"/>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突发事件处理能力</w:t>
            </w:r>
          </w:p>
        </w:tc>
        <w:tc>
          <w:tcPr>
            <w:tcW w:w="67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DACA1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bidi="ar"/>
              </w:rPr>
              <w:t>影响安全服务质量的突发事件未及时汇报、反馈</w:t>
            </w:r>
          </w:p>
        </w:tc>
        <w:tc>
          <w:tcPr>
            <w:tcW w:w="267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E5851C">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lang w:bidi="ar"/>
              </w:rPr>
              <w:t>一次不合格，拟扣</w:t>
            </w:r>
            <w:r>
              <w:rPr>
                <w:rFonts w:hint="eastAsia" w:asciiTheme="minorEastAsia" w:hAnsiTheme="minorEastAsia" w:eastAsiaTheme="minorEastAsia" w:cstheme="minorEastAsia"/>
                <w:color w:val="000000"/>
                <w:kern w:val="0"/>
                <w:sz w:val="21"/>
                <w:szCs w:val="21"/>
                <w:lang w:val="en-US" w:eastAsia="zh-CN" w:bidi="ar"/>
              </w:rPr>
              <w:t>40</w:t>
            </w:r>
            <w:r>
              <w:rPr>
                <w:rFonts w:hint="eastAsia" w:asciiTheme="minorEastAsia" w:hAnsiTheme="minorEastAsia" w:eastAsiaTheme="minorEastAsia" w:cstheme="minorEastAsia"/>
                <w:color w:val="000000"/>
                <w:kern w:val="0"/>
                <w:sz w:val="21"/>
                <w:szCs w:val="21"/>
                <w:lang w:eastAsia="zh-CN" w:bidi="ar"/>
              </w:rPr>
              <w:t>0元</w:t>
            </w:r>
            <w:r>
              <w:rPr>
                <w:rFonts w:hint="eastAsia" w:asciiTheme="minorEastAsia" w:hAnsiTheme="minorEastAsia" w:eastAsiaTheme="minorEastAsia" w:cstheme="minorEastAsia"/>
                <w:color w:val="000000"/>
                <w:kern w:val="0"/>
                <w:sz w:val="21"/>
                <w:szCs w:val="21"/>
                <w:lang w:val="en-US" w:eastAsia="zh-CN" w:bidi="ar"/>
              </w:rPr>
              <w:t>2</w:t>
            </w:r>
            <w:r>
              <w:rPr>
                <w:rFonts w:hint="eastAsia" w:asciiTheme="minorEastAsia" w:hAnsiTheme="minorEastAsia" w:eastAsiaTheme="minorEastAsia" w:cstheme="minorEastAsia"/>
                <w:color w:val="000000"/>
                <w:kern w:val="0"/>
                <w:sz w:val="21"/>
                <w:szCs w:val="21"/>
                <w:lang w:bidi="ar"/>
              </w:rPr>
              <w:t>分，按次计分。</w:t>
            </w:r>
          </w:p>
        </w:tc>
        <w:tc>
          <w:tcPr>
            <w:tcW w:w="11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4E79362">
            <w:pPr>
              <w:keepNext w:val="0"/>
              <w:keepLines w:val="0"/>
              <w:pageBreakBefore w:val="0"/>
              <w:suppressLineNumbers w:val="0"/>
              <w:kinsoku/>
              <w:wordWrap/>
              <w:overflowPunct/>
              <w:topLinePunct w:val="0"/>
              <w:bidi w:val="0"/>
              <w:spacing w:before="0" w:beforeAutospacing="0" w:after="0" w:afterAutospacing="0" w:line="560" w:lineRule="exact"/>
              <w:ind w:left="0" w:right="0"/>
              <w:jc w:val="left"/>
              <w:rPr>
                <w:rFonts w:hint="eastAsia" w:asciiTheme="minorEastAsia" w:hAnsiTheme="minorEastAsia" w:eastAsiaTheme="minorEastAsia" w:cstheme="minorEastAsia"/>
                <w:sz w:val="21"/>
                <w:szCs w:val="21"/>
              </w:rPr>
            </w:pPr>
          </w:p>
        </w:tc>
      </w:tr>
      <w:tr w14:paraId="592E4E07">
        <w:tblPrEx>
          <w:tblCellMar>
            <w:top w:w="0" w:type="dxa"/>
            <w:left w:w="0" w:type="dxa"/>
            <w:bottom w:w="0" w:type="dxa"/>
            <w:right w:w="0" w:type="dxa"/>
          </w:tblCellMar>
        </w:tblPrEx>
        <w:trPr>
          <w:trHeight w:val="910" w:hRule="atLeast"/>
        </w:trPr>
        <w:tc>
          <w:tcPr>
            <w:tcW w:w="15714" w:type="dxa"/>
            <w:gridSpan w:val="10"/>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B6FC2D">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合计得分：      实际扣费：</w:t>
            </w:r>
          </w:p>
        </w:tc>
      </w:tr>
      <w:tr w14:paraId="780643C5">
        <w:tblPrEx>
          <w:tblCellMar>
            <w:top w:w="0" w:type="dxa"/>
            <w:left w:w="0" w:type="dxa"/>
            <w:bottom w:w="0" w:type="dxa"/>
            <w:right w:w="0" w:type="dxa"/>
          </w:tblCellMar>
        </w:tblPrEx>
        <w:trPr>
          <w:trHeight w:val="910" w:hRule="atLeast"/>
        </w:trPr>
        <w:tc>
          <w:tcPr>
            <w:tcW w:w="15714" w:type="dxa"/>
            <w:gridSpan w:val="10"/>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DFBE44">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月度考核结果：</w:t>
            </w:r>
          </w:p>
        </w:tc>
      </w:tr>
      <w:tr w14:paraId="26382C29">
        <w:tblPrEx>
          <w:tblCellMar>
            <w:top w:w="0" w:type="dxa"/>
            <w:left w:w="0" w:type="dxa"/>
            <w:bottom w:w="0" w:type="dxa"/>
            <w:right w:w="0" w:type="dxa"/>
          </w:tblCellMar>
        </w:tblPrEx>
        <w:trPr>
          <w:trHeight w:val="910" w:hRule="atLeast"/>
        </w:trPr>
        <w:tc>
          <w:tcPr>
            <w:tcW w:w="15714" w:type="dxa"/>
            <w:gridSpan w:val="10"/>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365DA7">
            <w:pPr>
              <w:keepNext w:val="0"/>
              <w:keepLines w:val="0"/>
              <w:pageBreakBefore w:val="0"/>
              <w:widowControl/>
              <w:suppressLineNumbers w:val="0"/>
              <w:kinsoku/>
              <w:wordWrap/>
              <w:overflowPunct/>
              <w:topLinePunct w:val="0"/>
              <w:bidi w:val="0"/>
              <w:spacing w:before="0" w:beforeAutospacing="0" w:after="0" w:afterAutospacing="0" w:line="560" w:lineRule="exact"/>
              <w:ind w:left="0" w:right="0"/>
              <w:jc w:val="center"/>
              <w:textAlignment w:val="center"/>
              <w:rPr>
                <w:rFonts w:hint="eastAsia" w:asciiTheme="minorEastAsia" w:hAnsiTheme="minorEastAsia" w:eastAsiaTheme="minorEastAsia" w:cstheme="minorEastAsia"/>
                <w:color w:val="000000"/>
                <w:kern w:val="0"/>
                <w:sz w:val="21"/>
                <w:szCs w:val="21"/>
                <w:lang w:bidi="ar"/>
              </w:rPr>
            </w:pPr>
            <w:r>
              <w:rPr>
                <w:rFonts w:hint="eastAsia" w:asciiTheme="minorEastAsia" w:hAnsiTheme="minorEastAsia" w:eastAsiaTheme="minorEastAsia" w:cstheme="minorEastAsia"/>
                <w:color w:val="000000"/>
                <w:kern w:val="0"/>
                <w:sz w:val="21"/>
                <w:szCs w:val="21"/>
                <w:lang w:bidi="ar"/>
              </w:rPr>
              <w:t>考核人签字：</w:t>
            </w:r>
          </w:p>
        </w:tc>
      </w:tr>
    </w:tbl>
    <w:p w14:paraId="6212112B">
      <w:pPr>
        <w:keepNext w:val="0"/>
        <w:keepLines w:val="0"/>
        <w:pageBreakBefore w:val="0"/>
        <w:widowControl/>
        <w:kinsoku/>
        <w:wordWrap/>
        <w:overflowPunct/>
        <w:topLinePunct w:val="0"/>
        <w:autoSpaceDE w:val="0"/>
        <w:bidi w:val="0"/>
        <w:spacing w:line="560" w:lineRule="exact"/>
        <w:jc w:val="left"/>
        <w:rPr>
          <w:rFonts w:hint="eastAsia" w:ascii="仿宋_GB2312" w:hAnsi="仿宋_GB2312" w:eastAsia="仿宋_GB2312" w:cs="仿宋_GB2312"/>
          <w:b/>
          <w:bCs/>
          <w:kern w:val="0"/>
          <w:sz w:val="32"/>
          <w:szCs w:val="32"/>
        </w:rPr>
        <w:sectPr>
          <w:footerReference r:id="rId14" w:type="default"/>
          <w:pgSz w:w="16838" w:h="11906" w:orient="landscape"/>
          <w:pgMar w:top="1134" w:right="567" w:bottom="1134" w:left="567" w:header="851" w:footer="992" w:gutter="0"/>
          <w:cols w:space="720" w:num="1"/>
          <w:docGrid w:type="lines" w:linePitch="319" w:charSpace="0"/>
        </w:sectPr>
      </w:pPr>
    </w:p>
    <w:p w14:paraId="7AAE8BB4">
      <w:pPr>
        <w:spacing w:line="360" w:lineRule="auto"/>
        <w:ind w:firstLine="0" w:firstLineChars="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第五章 响应文件组成</w:t>
      </w:r>
    </w:p>
    <w:p w14:paraId="5A847AA0">
      <w:pPr>
        <w:rPr>
          <w:b/>
          <w:bCs/>
          <w:color w:val="auto"/>
          <w:highlight w:val="none"/>
        </w:rPr>
      </w:pPr>
      <w:r>
        <w:rPr>
          <w:rFonts w:hint="eastAsia"/>
          <w:b/>
          <w:bCs/>
          <w:color w:val="auto"/>
          <w:highlight w:val="none"/>
        </w:rPr>
        <w:t>供应商的响应文件应包含以下几个部分：</w:t>
      </w:r>
    </w:p>
    <w:p w14:paraId="07F7185E">
      <w:pPr>
        <w:rPr>
          <w:b/>
          <w:bCs/>
          <w:color w:val="auto"/>
          <w:highlight w:val="none"/>
        </w:rPr>
      </w:pPr>
      <w:r>
        <w:rPr>
          <w:rFonts w:hint="eastAsia"/>
          <w:b/>
          <w:bCs/>
          <w:color w:val="auto"/>
          <w:highlight w:val="none"/>
        </w:rPr>
        <w:t>一、磋商响应声明</w:t>
      </w:r>
    </w:p>
    <w:p w14:paraId="63B0E666">
      <w:pPr>
        <w:rPr>
          <w:color w:val="auto"/>
          <w:highlight w:val="none"/>
        </w:rPr>
      </w:pPr>
      <w:r>
        <w:rPr>
          <w:rFonts w:hint="eastAsia"/>
          <w:color w:val="auto"/>
          <w:highlight w:val="none"/>
        </w:rPr>
        <w:t>附件1：法定代表人身份证明</w:t>
      </w:r>
    </w:p>
    <w:p w14:paraId="3685D353">
      <w:pPr>
        <w:rPr>
          <w:color w:val="auto"/>
          <w:highlight w:val="none"/>
        </w:rPr>
      </w:pPr>
      <w:r>
        <w:rPr>
          <w:rFonts w:hint="eastAsia"/>
          <w:color w:val="auto"/>
          <w:highlight w:val="none"/>
        </w:rPr>
        <w:t>附件2：法定代表人授权委托书</w:t>
      </w:r>
    </w:p>
    <w:p w14:paraId="5BD3EEB9">
      <w:pPr>
        <w:rPr>
          <w:b/>
          <w:bCs/>
          <w:color w:val="auto"/>
          <w:highlight w:val="none"/>
        </w:rPr>
      </w:pPr>
      <w:r>
        <w:rPr>
          <w:rFonts w:hint="eastAsia"/>
          <w:b/>
          <w:bCs/>
          <w:color w:val="auto"/>
          <w:highlight w:val="none"/>
        </w:rPr>
        <w:t>二、供应商的资格证明资料</w:t>
      </w:r>
    </w:p>
    <w:p w14:paraId="2789729A">
      <w:pPr>
        <w:rPr>
          <w:color w:val="auto"/>
          <w:highlight w:val="none"/>
        </w:rPr>
      </w:pPr>
      <w:r>
        <w:rPr>
          <w:rFonts w:hint="eastAsia"/>
          <w:color w:val="auto"/>
          <w:highlight w:val="none"/>
        </w:rPr>
        <w:t>附件3：供应商基本情况表</w:t>
      </w:r>
    </w:p>
    <w:p w14:paraId="0CF6B96D">
      <w:pPr>
        <w:rPr>
          <w:color w:val="auto"/>
          <w:highlight w:val="none"/>
        </w:rPr>
      </w:pPr>
      <w:r>
        <w:rPr>
          <w:rFonts w:hint="eastAsia"/>
          <w:color w:val="auto"/>
          <w:highlight w:val="none"/>
        </w:rPr>
        <w:t>附件4：磋商文件规定的基本资格条件证明资料</w:t>
      </w:r>
    </w:p>
    <w:p w14:paraId="4E18ED90">
      <w:pPr>
        <w:rPr>
          <w:rFonts w:hint="eastAsia"/>
          <w:color w:val="auto"/>
          <w:highlight w:val="none"/>
        </w:rPr>
      </w:pPr>
      <w:r>
        <w:rPr>
          <w:rFonts w:hint="eastAsia"/>
          <w:color w:val="auto"/>
          <w:highlight w:val="none"/>
        </w:rPr>
        <w:t>附件4-1：供应商资格承诺函</w:t>
      </w:r>
    </w:p>
    <w:p w14:paraId="1E7FF695">
      <w:pPr>
        <w:rPr>
          <w:color w:val="auto"/>
          <w:highlight w:val="none"/>
        </w:rPr>
      </w:pPr>
      <w:r>
        <w:rPr>
          <w:rFonts w:hint="eastAsia"/>
          <w:color w:val="auto"/>
          <w:highlight w:val="none"/>
        </w:rPr>
        <w:t>附件5：磋商文件规定的特定资格条件证明资料</w:t>
      </w:r>
    </w:p>
    <w:p w14:paraId="66A17660">
      <w:pPr>
        <w:rPr>
          <w:color w:val="auto"/>
          <w:highlight w:val="none"/>
        </w:rPr>
      </w:pPr>
      <w:r>
        <w:rPr>
          <w:rFonts w:hint="eastAsia"/>
          <w:color w:val="auto"/>
          <w:highlight w:val="none"/>
        </w:rPr>
        <w:t>附件6：其他说明</w:t>
      </w:r>
    </w:p>
    <w:p w14:paraId="2F9C69C6">
      <w:pPr>
        <w:rPr>
          <w:rFonts w:hint="eastAsia" w:eastAsia="宋体"/>
          <w:b/>
          <w:bCs/>
          <w:color w:val="auto"/>
          <w:highlight w:val="none"/>
          <w:lang w:val="en-US" w:eastAsia="zh-CN"/>
        </w:rPr>
      </w:pPr>
      <w:r>
        <w:rPr>
          <w:rFonts w:hint="eastAsia"/>
          <w:b/>
          <w:bCs/>
          <w:color w:val="auto"/>
          <w:highlight w:val="none"/>
        </w:rPr>
        <w:t>三、服务方案</w:t>
      </w:r>
      <w:r>
        <w:rPr>
          <w:rFonts w:hint="eastAsia"/>
          <w:b/>
          <w:bCs/>
          <w:color w:val="auto"/>
          <w:highlight w:val="none"/>
          <w:lang w:val="en-US" w:eastAsia="zh-CN"/>
        </w:rPr>
        <w:t>说明</w:t>
      </w:r>
    </w:p>
    <w:p w14:paraId="0370D60A">
      <w:pPr>
        <w:rPr>
          <w:color w:val="auto"/>
          <w:highlight w:val="none"/>
        </w:rPr>
      </w:pPr>
      <w:r>
        <w:rPr>
          <w:rFonts w:hint="eastAsia"/>
          <w:color w:val="auto"/>
          <w:highlight w:val="none"/>
        </w:rPr>
        <w:t>附件7-1：服务方案等</w:t>
      </w:r>
    </w:p>
    <w:p w14:paraId="4135DED4">
      <w:pPr>
        <w:rPr>
          <w:color w:val="auto"/>
          <w:highlight w:val="none"/>
        </w:rPr>
      </w:pPr>
      <w:r>
        <w:rPr>
          <w:rFonts w:hint="eastAsia"/>
          <w:color w:val="auto"/>
          <w:highlight w:val="none"/>
        </w:rPr>
        <w:t>附件7-2：主要人员简历表</w:t>
      </w:r>
    </w:p>
    <w:p w14:paraId="23544D28">
      <w:pPr>
        <w:rPr>
          <w:color w:val="auto"/>
          <w:highlight w:val="none"/>
        </w:rPr>
      </w:pPr>
      <w:r>
        <w:rPr>
          <w:rFonts w:hint="eastAsia"/>
          <w:b/>
          <w:bCs/>
          <w:color w:val="auto"/>
          <w:highlight w:val="none"/>
        </w:rPr>
        <w:t>四、技术/商务响应与偏离表</w:t>
      </w:r>
    </w:p>
    <w:p w14:paraId="0F7D5101">
      <w:pPr>
        <w:rPr>
          <w:b/>
          <w:bCs/>
          <w:color w:val="auto"/>
          <w:highlight w:val="none"/>
        </w:rPr>
      </w:pPr>
      <w:r>
        <w:rPr>
          <w:rFonts w:hint="eastAsia"/>
          <w:b/>
          <w:bCs/>
          <w:color w:val="auto"/>
          <w:highlight w:val="none"/>
        </w:rPr>
        <w:t>五、报价一览表</w:t>
      </w:r>
    </w:p>
    <w:p w14:paraId="09961D55">
      <w:pPr>
        <w:rPr>
          <w:color w:val="auto"/>
          <w:highlight w:val="none"/>
        </w:rPr>
      </w:pPr>
      <w:r>
        <w:rPr>
          <w:rFonts w:hint="eastAsia"/>
          <w:color w:val="auto"/>
          <w:highlight w:val="none"/>
        </w:rPr>
        <w:t>附件8-1：报价一览表</w:t>
      </w:r>
    </w:p>
    <w:p w14:paraId="3AC05542">
      <w:pPr>
        <w:rPr>
          <w:color w:val="auto"/>
          <w:highlight w:val="none"/>
        </w:rPr>
      </w:pPr>
      <w:r>
        <w:rPr>
          <w:rFonts w:hint="eastAsia"/>
          <w:color w:val="auto"/>
          <w:highlight w:val="none"/>
        </w:rPr>
        <w:t>附件8-2：分项价格表</w:t>
      </w:r>
    </w:p>
    <w:p w14:paraId="6362564F">
      <w:pPr>
        <w:rPr>
          <w:b/>
          <w:bCs/>
          <w:color w:val="auto"/>
          <w:highlight w:val="none"/>
        </w:rPr>
      </w:pPr>
      <w:r>
        <w:rPr>
          <w:rFonts w:hint="eastAsia"/>
          <w:b/>
          <w:bCs/>
          <w:color w:val="auto"/>
          <w:highlight w:val="none"/>
        </w:rPr>
        <w:t>六、供应商认为需提供的其他资料</w:t>
      </w:r>
    </w:p>
    <w:p w14:paraId="5FFFEB8B">
      <w:pPr>
        <w:rPr>
          <w:b/>
          <w:bCs/>
          <w:color w:val="auto"/>
          <w:highlight w:val="none"/>
        </w:rPr>
      </w:pPr>
      <w:r>
        <w:rPr>
          <w:rFonts w:hint="eastAsia"/>
          <w:b/>
          <w:bCs/>
          <w:color w:val="auto"/>
          <w:highlight w:val="none"/>
        </w:rPr>
        <w:t>七、最后报价</w:t>
      </w:r>
    </w:p>
    <w:p w14:paraId="59E82A46">
      <w:pPr>
        <w:pStyle w:val="24"/>
        <w:rPr>
          <w:color w:val="auto"/>
          <w:highlight w:val="none"/>
        </w:rPr>
      </w:pPr>
    </w:p>
    <w:p w14:paraId="446A2D9F">
      <w:pPr>
        <w:pStyle w:val="24"/>
        <w:rPr>
          <w:color w:val="auto"/>
          <w:highlight w:val="none"/>
        </w:rPr>
      </w:pPr>
    </w:p>
    <w:p w14:paraId="19017E82">
      <w:pPr>
        <w:rPr>
          <w:color w:val="auto"/>
          <w:highlight w:val="none"/>
        </w:rPr>
      </w:pPr>
    </w:p>
    <w:p w14:paraId="3E18D8EB">
      <w:pPr>
        <w:rPr>
          <w:color w:val="auto"/>
          <w:highlight w:val="none"/>
        </w:rPr>
      </w:pPr>
    </w:p>
    <w:p w14:paraId="43552402">
      <w:pPr>
        <w:rPr>
          <w:color w:val="auto"/>
          <w:highlight w:val="none"/>
        </w:rPr>
      </w:pPr>
    </w:p>
    <w:p w14:paraId="79B18224">
      <w:pPr>
        <w:jc w:val="center"/>
        <w:rPr>
          <w:color w:val="auto"/>
          <w:highlight w:val="none"/>
        </w:rPr>
      </w:pPr>
      <w:r>
        <w:rPr>
          <w:rFonts w:hint="eastAsia"/>
          <w:color w:val="auto"/>
          <w:highlight w:val="none"/>
        </w:rPr>
        <w:br w:type="page"/>
      </w:r>
      <w:r>
        <w:rPr>
          <w:rFonts w:hint="eastAsia" w:ascii="宋体" w:hAnsi="宋体" w:cs="宋体"/>
          <w:b/>
          <w:color w:val="auto"/>
          <w:sz w:val="32"/>
          <w:szCs w:val="32"/>
          <w:highlight w:val="none"/>
        </w:rPr>
        <w:t>一、磋商响应声明</w:t>
      </w:r>
    </w:p>
    <w:p w14:paraId="343A9EBA">
      <w:pPr>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致 (采购人或采购代理机构)：</w:t>
      </w:r>
    </w:p>
    <w:p w14:paraId="08C8E8A5">
      <w:pPr>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我方已仔细研究了</w:t>
      </w:r>
      <w:r>
        <w:rPr>
          <w:rFonts w:hint="eastAsia"/>
          <w:color w:val="auto"/>
          <w:highlight w:val="none"/>
          <w:u w:val="single"/>
        </w:rPr>
        <w:t xml:space="preserve">                 (</w:t>
      </w:r>
      <w:r>
        <w:rPr>
          <w:rFonts w:hint="eastAsia"/>
          <w:color w:val="auto"/>
          <w:highlight w:val="none"/>
        </w:rPr>
        <w:t>项目名称)的竞争性磋商文件（采购编号： ；采购代理编号：）的全部内容，知悉参加竞争性磋商的风险，我方承诺接受磋商文件的全部条款且无任何异议。</w:t>
      </w:r>
    </w:p>
    <w:p w14:paraId="617EA2DD">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一、我方同意在磋商文件中规定的提交首次响应文件截止时间起</w:t>
      </w:r>
      <w:r>
        <w:rPr>
          <w:rFonts w:hint="eastAsia"/>
          <w:color w:val="auto"/>
          <w:highlight w:val="none"/>
          <w:u w:val="single"/>
          <w:lang w:val="en-US" w:eastAsia="zh-CN"/>
        </w:rPr>
        <w:t xml:space="preserve">   </w:t>
      </w:r>
      <w:r>
        <w:rPr>
          <w:rFonts w:hint="eastAsia"/>
          <w:color w:val="auto"/>
          <w:highlight w:val="none"/>
          <w:u w:val="none"/>
        </w:rPr>
        <w:t>日</w:t>
      </w:r>
      <w:r>
        <w:rPr>
          <w:rFonts w:hint="eastAsia"/>
          <w:color w:val="auto"/>
          <w:highlight w:val="none"/>
        </w:rPr>
        <w:t>内(响应文件有效期)遵守本响应文件中的承诺且在此期限期满之前均具有法律约束力。</w:t>
      </w:r>
    </w:p>
    <w:p w14:paraId="351A4841">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二、我方提交响应文件正本一份和副本一式二份，并保证响应文件提供的数据和资料全部内容真实、合法、准确和完整，我们对此负责，并愿承担由此引起的法律责任。</w:t>
      </w:r>
    </w:p>
    <w:p w14:paraId="0D92D09B">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三、我方愿意向贵方提供任何与本项采购有关的数据、情况和技术资料。若贵方需要，我方愿意提供我方作出的一切承诺的证明资料。</w:t>
      </w:r>
    </w:p>
    <w:p w14:paraId="054E022B">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四、我方愿意按磋商文件规定和磋商小组要求重新提交响应文件。</w:t>
      </w:r>
    </w:p>
    <w:p w14:paraId="30A9A621">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五、我方承诺遵守《中华人民共和国政府采购法》的有关规定，保证在获得成交资格后，按照磋商文件确定的事项签订采购合同，履行双方所签订的合同，并承担合同规定的责任和义务。</w:t>
      </w:r>
    </w:p>
    <w:p w14:paraId="298AED0D">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 xml:space="preserve">六、我方在此声明： </w:t>
      </w:r>
    </w:p>
    <w:p w14:paraId="2544E45F">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（一）我方与采购人或采购代理机构不存在隶属关系或者其它利害关系。</w:t>
      </w:r>
    </w:p>
    <w:p w14:paraId="3C6766C7">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（二）我方与参加本项目的其它供应商不存在直接控股、管理关系，或者与其它供应商法定代表人（或者负责人）为同一人。</w:t>
      </w:r>
    </w:p>
    <w:p w14:paraId="3743E6A5">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（三）我方未为本项目前期准备提供设计或咨询服务。</w:t>
      </w:r>
    </w:p>
    <w:p w14:paraId="6121E2B9">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（四）我方承诺（承诺期：成立三年以上的，为提交首次响应文件截止时间前三年内；成立不足三年的，为实际时间）：</w:t>
      </w:r>
    </w:p>
    <w:p w14:paraId="75BC2E8B">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1、我方依法缴纳了各项税费及各项社会保障资金，没有偷税、漏税及欠缴行为。</w:t>
      </w:r>
    </w:p>
    <w:p w14:paraId="4298D8C3">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2、我方在经营活动中没有存在下列重大违法记录：</w:t>
      </w:r>
    </w:p>
    <w:p w14:paraId="1FC801A5">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(1)受到刑事处罚；</w:t>
      </w:r>
    </w:p>
    <w:p w14:paraId="53BF859F">
      <w:pPr>
        <w:pStyle w:val="24"/>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(2)受到较大数额的罚款、责令停产停业、在一至三年内禁止参加采购活动、暂扣或者吊销许可证、暂扣或者吊销执照的行政处罚。</w:t>
      </w:r>
    </w:p>
    <w:p w14:paraId="11C41ED4">
      <w:pPr>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bCs/>
          <w:color w:val="auto"/>
          <w:highlight w:val="none"/>
        </w:rPr>
        <w:t>附件1：</w:t>
      </w:r>
      <w:r>
        <w:rPr>
          <w:rFonts w:hint="eastAsia"/>
          <w:color w:val="auto"/>
          <w:highlight w:val="none"/>
        </w:rPr>
        <w:t>法定代表人身份证明</w:t>
      </w:r>
    </w:p>
    <w:p w14:paraId="4CB53E39">
      <w:pPr>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bCs/>
          <w:color w:val="auto"/>
          <w:highlight w:val="none"/>
        </w:rPr>
        <w:t>附件2</w:t>
      </w:r>
      <w:r>
        <w:rPr>
          <w:rFonts w:hint="eastAsia"/>
          <w:color w:val="auto"/>
          <w:highlight w:val="none"/>
        </w:rPr>
        <w:t>：法定代表人授权书</w:t>
      </w:r>
    </w:p>
    <w:p w14:paraId="421870DB">
      <w:pPr>
        <w:pStyle w:val="24"/>
        <w:rPr>
          <w:color w:val="auto"/>
          <w:highlight w:val="none"/>
        </w:rPr>
      </w:pPr>
    </w:p>
    <w:p w14:paraId="294D0E2C">
      <w:pPr>
        <w:pStyle w:val="24"/>
        <w:rPr>
          <w:color w:val="auto"/>
          <w:highlight w:val="none"/>
        </w:rPr>
      </w:pPr>
      <w:r>
        <w:rPr>
          <w:rFonts w:hint="eastAsia"/>
          <w:color w:val="auto"/>
          <w:highlight w:val="none"/>
        </w:rPr>
        <w:t>供应商名称(盖单位章)：</w:t>
      </w:r>
    </w:p>
    <w:p w14:paraId="409B3739">
      <w:pPr>
        <w:rPr>
          <w:color w:val="auto"/>
          <w:highlight w:val="none"/>
        </w:rPr>
      </w:pPr>
      <w:r>
        <w:rPr>
          <w:rFonts w:hint="eastAsia"/>
          <w:color w:val="auto"/>
          <w:highlight w:val="none"/>
        </w:rPr>
        <w:t>法定代表人或其委托代理人 (签字)：</w:t>
      </w:r>
    </w:p>
    <w:p w14:paraId="6C2897FF">
      <w:pPr>
        <w:rPr>
          <w:bCs/>
          <w:color w:val="auto"/>
          <w:sz w:val="30"/>
          <w:szCs w:val="30"/>
          <w:highlight w:val="none"/>
        </w:rPr>
      </w:pPr>
      <w:r>
        <w:rPr>
          <w:rFonts w:hint="eastAsia"/>
          <w:color w:val="auto"/>
          <w:highlight w:val="none"/>
        </w:rPr>
        <w:t>日     期： 年 月 日</w:t>
      </w:r>
    </w:p>
    <w:p w14:paraId="2C4C4A07">
      <w:pPr>
        <w:rPr>
          <w:rFonts w:hint="eastAsia"/>
          <w:color w:val="auto"/>
          <w:highlight w:val="none"/>
        </w:rPr>
      </w:pPr>
      <w:r>
        <w:rPr>
          <w:rFonts w:hint="eastAsia"/>
          <w:color w:val="auto"/>
          <w:highlight w:val="none"/>
        </w:rPr>
        <w:br w:type="page"/>
      </w:r>
    </w:p>
    <w:p w14:paraId="3837C170">
      <w:pPr>
        <w:adjustRightInd w:val="0"/>
        <w:snapToGrid w:val="0"/>
        <w:spacing w:line="360" w:lineRule="auto"/>
        <w:ind w:right="24" w:firstLine="301" w:firstLineChars="100"/>
        <w:rPr>
          <w:rFonts w:ascii="宋体" w:hAnsi="宋体" w:cs="宋体"/>
          <w:b/>
          <w:color w:val="auto"/>
          <w:sz w:val="30"/>
          <w:szCs w:val="30"/>
          <w:highlight w:val="none"/>
        </w:rPr>
      </w:pPr>
      <w:r>
        <w:rPr>
          <w:rFonts w:hint="eastAsia" w:ascii="宋体" w:hAnsi="宋体" w:cs="宋体"/>
          <w:b/>
          <w:color w:val="auto"/>
          <w:sz w:val="30"/>
          <w:szCs w:val="30"/>
          <w:highlight w:val="none"/>
        </w:rPr>
        <w:t>附件1</w:t>
      </w:r>
    </w:p>
    <w:p w14:paraId="65869DF6">
      <w:pPr>
        <w:spacing w:line="240" w:lineRule="auto"/>
        <w:ind w:firstLine="0" w:firstLineChars="0"/>
        <w:jc w:val="center"/>
        <w:rPr>
          <w:rFonts w:ascii="宋体" w:hAnsi="宋体" w:cs="宋体"/>
          <w:b/>
          <w:color w:val="auto"/>
          <w:sz w:val="30"/>
          <w:szCs w:val="30"/>
          <w:highlight w:val="none"/>
        </w:rPr>
      </w:pPr>
      <w:r>
        <w:rPr>
          <w:rFonts w:hint="eastAsia" w:ascii="宋体" w:hAnsi="宋体" w:cs="宋体"/>
          <w:b/>
          <w:color w:val="auto"/>
          <w:sz w:val="30"/>
          <w:szCs w:val="30"/>
          <w:highlight w:val="none"/>
        </w:rPr>
        <w:t>法定代表人身份证明</w:t>
      </w:r>
    </w:p>
    <w:p w14:paraId="056CB309">
      <w:pPr>
        <w:rPr>
          <w:color w:val="auto"/>
          <w:highlight w:val="none"/>
        </w:rPr>
      </w:pPr>
    </w:p>
    <w:p w14:paraId="5914EE25">
      <w:pPr>
        <w:rPr>
          <w:color w:val="auto"/>
          <w:kern w:val="0"/>
          <w:highlight w:val="none"/>
        </w:rPr>
      </w:pPr>
      <w:r>
        <w:rPr>
          <w:rFonts w:hint="eastAsia"/>
          <w:color w:val="auto"/>
          <w:highlight w:val="none"/>
        </w:rPr>
        <w:t>供应商</w:t>
      </w:r>
      <w:r>
        <w:rPr>
          <w:rFonts w:hint="eastAsia"/>
          <w:color w:val="auto"/>
          <w:kern w:val="0"/>
          <w:highlight w:val="none"/>
        </w:rPr>
        <w:t>名称：</w:t>
      </w:r>
    </w:p>
    <w:p w14:paraId="28B21F93">
      <w:pPr>
        <w:rPr>
          <w:color w:val="auto"/>
          <w:kern w:val="0"/>
          <w:highlight w:val="none"/>
        </w:rPr>
      </w:pPr>
      <w:r>
        <w:rPr>
          <w:rFonts w:hint="eastAsia"/>
          <w:color w:val="auto"/>
          <w:kern w:val="0"/>
          <w:highlight w:val="none"/>
        </w:rPr>
        <w:t>注册号：</w:t>
      </w:r>
    </w:p>
    <w:p w14:paraId="0B1FCC6C">
      <w:pPr>
        <w:rPr>
          <w:color w:val="auto"/>
          <w:kern w:val="0"/>
          <w:highlight w:val="none"/>
        </w:rPr>
      </w:pPr>
      <w:r>
        <w:rPr>
          <w:rFonts w:hint="eastAsia"/>
          <w:color w:val="auto"/>
          <w:kern w:val="0"/>
          <w:highlight w:val="none"/>
        </w:rPr>
        <w:t>注册地址：</w:t>
      </w:r>
    </w:p>
    <w:p w14:paraId="5672A3B0">
      <w:pPr>
        <w:rPr>
          <w:color w:val="auto"/>
          <w:kern w:val="0"/>
          <w:highlight w:val="none"/>
        </w:rPr>
      </w:pPr>
      <w:r>
        <w:rPr>
          <w:rFonts w:hint="eastAsia"/>
          <w:color w:val="auto"/>
          <w:kern w:val="0"/>
          <w:highlight w:val="none"/>
        </w:rPr>
        <w:t>成立时间： 年 月 日</w:t>
      </w:r>
    </w:p>
    <w:p w14:paraId="25C861AD">
      <w:pPr>
        <w:rPr>
          <w:color w:val="auto"/>
          <w:kern w:val="0"/>
          <w:highlight w:val="none"/>
          <w:u w:val="single"/>
        </w:rPr>
      </w:pPr>
      <w:r>
        <w:rPr>
          <w:rFonts w:hint="eastAsia"/>
          <w:color w:val="auto"/>
          <w:kern w:val="0"/>
          <w:highlight w:val="none"/>
        </w:rPr>
        <w:t>经营期限：</w:t>
      </w:r>
    </w:p>
    <w:p w14:paraId="0ED53592">
      <w:pPr>
        <w:rPr>
          <w:color w:val="auto"/>
          <w:kern w:val="0"/>
          <w:highlight w:val="none"/>
          <w:u w:val="single"/>
        </w:rPr>
      </w:pPr>
      <w:r>
        <w:rPr>
          <w:rFonts w:hint="eastAsia"/>
          <w:color w:val="auto"/>
          <w:kern w:val="0"/>
          <w:highlight w:val="none"/>
        </w:rPr>
        <w:t>经营范围：主营： ；兼营：</w:t>
      </w:r>
    </w:p>
    <w:p w14:paraId="02B1D1F9">
      <w:pPr>
        <w:rPr>
          <w:color w:val="auto"/>
          <w:kern w:val="0"/>
          <w:highlight w:val="none"/>
        </w:rPr>
      </w:pPr>
      <w:r>
        <w:rPr>
          <w:rFonts w:hint="eastAsia"/>
          <w:color w:val="auto"/>
          <w:kern w:val="0"/>
          <w:highlight w:val="none"/>
        </w:rPr>
        <w:t>姓名： 性别： 年龄： 系（</w:t>
      </w:r>
      <w:r>
        <w:rPr>
          <w:rFonts w:hint="eastAsia"/>
          <w:color w:val="auto"/>
          <w:highlight w:val="none"/>
        </w:rPr>
        <w:t>供应商</w:t>
      </w:r>
      <w:r>
        <w:rPr>
          <w:rFonts w:hint="eastAsia"/>
          <w:color w:val="auto"/>
          <w:kern w:val="0"/>
          <w:highlight w:val="none"/>
        </w:rPr>
        <w:t>名称）的法定代表人。</w:t>
      </w:r>
    </w:p>
    <w:p w14:paraId="2474635B">
      <w:pPr>
        <w:rPr>
          <w:color w:val="auto"/>
          <w:kern w:val="0"/>
          <w:highlight w:val="none"/>
        </w:rPr>
      </w:pPr>
      <w:r>
        <w:rPr>
          <w:rFonts w:hint="eastAsia"/>
          <w:color w:val="auto"/>
          <w:kern w:val="0"/>
          <w:highlight w:val="none"/>
        </w:rPr>
        <w:t>特此证明。</w:t>
      </w:r>
    </w:p>
    <w:p w14:paraId="1946D8C2">
      <w:pPr>
        <w:rPr>
          <w:color w:val="auto"/>
          <w:kern w:val="0"/>
          <w:highlight w:val="none"/>
        </w:rPr>
      </w:pPr>
      <w:r>
        <w:rPr>
          <w:rFonts w:hint="eastAsia"/>
          <w:color w:val="auto"/>
          <w:highlight w:val="none"/>
        </w:rPr>
        <w:t>附：法定代表人身份证复印件</w:t>
      </w:r>
    </w:p>
    <w:p w14:paraId="186B9778">
      <w:pPr>
        <w:rPr>
          <w:color w:val="auto"/>
          <w:highlight w:val="none"/>
        </w:rPr>
      </w:pPr>
    </w:p>
    <w:p w14:paraId="7A2667F7">
      <w:pPr>
        <w:rPr>
          <w:color w:val="auto"/>
          <w:highlight w:val="none"/>
        </w:rPr>
      </w:pPr>
    </w:p>
    <w:p w14:paraId="6A687ECD">
      <w:pPr>
        <w:rPr>
          <w:color w:val="auto"/>
          <w:highlight w:val="none"/>
        </w:rPr>
      </w:pPr>
    </w:p>
    <w:p w14:paraId="2F123F2E">
      <w:pPr>
        <w:rPr>
          <w:color w:val="auto"/>
          <w:highlight w:val="none"/>
        </w:rPr>
      </w:pPr>
    </w:p>
    <w:p w14:paraId="7FBCB601">
      <w:pPr>
        <w:rPr>
          <w:color w:val="auto"/>
          <w:highlight w:val="none"/>
        </w:rPr>
      </w:pPr>
    </w:p>
    <w:p w14:paraId="02997615">
      <w:pPr>
        <w:rPr>
          <w:color w:val="auto"/>
          <w:highlight w:val="none"/>
        </w:rPr>
      </w:pPr>
    </w:p>
    <w:p w14:paraId="4ADB9940">
      <w:pPr>
        <w:rPr>
          <w:color w:val="auto"/>
          <w:highlight w:val="none"/>
        </w:rPr>
      </w:pPr>
      <w:r>
        <w:rPr>
          <w:rFonts w:hint="eastAsia"/>
          <w:color w:val="auto"/>
          <w:highlight w:val="none"/>
        </w:rPr>
        <w:t>供应商名称（盖单位章）：</w:t>
      </w:r>
    </w:p>
    <w:p w14:paraId="009B3A7C">
      <w:pPr>
        <w:rPr>
          <w:color w:val="auto"/>
          <w:highlight w:val="none"/>
        </w:rPr>
      </w:pPr>
      <w:r>
        <w:rPr>
          <w:rFonts w:hint="eastAsia"/>
          <w:color w:val="auto"/>
          <w:highlight w:val="none"/>
        </w:rPr>
        <w:t xml:space="preserve">日期： 年 月 日      </w:t>
      </w:r>
    </w:p>
    <w:p w14:paraId="4F063172">
      <w:pPr>
        <w:rPr>
          <w:color w:val="auto"/>
          <w:highlight w:val="none"/>
        </w:rPr>
      </w:pPr>
    </w:p>
    <w:p w14:paraId="1C9C7799">
      <w:pPr>
        <w:rPr>
          <w:color w:val="auto"/>
          <w:highlight w:val="none"/>
        </w:rPr>
      </w:pPr>
    </w:p>
    <w:p w14:paraId="5DB79189">
      <w:pPr>
        <w:rPr>
          <w:color w:val="auto"/>
          <w:highlight w:val="none"/>
        </w:rPr>
      </w:pPr>
    </w:p>
    <w:p w14:paraId="7D0EE8E8">
      <w:pPr>
        <w:rPr>
          <w:color w:val="auto"/>
          <w:highlight w:val="none"/>
        </w:rPr>
      </w:pPr>
    </w:p>
    <w:p w14:paraId="6C4BC402">
      <w:pPr>
        <w:rPr>
          <w:color w:val="auto"/>
          <w:highlight w:val="none"/>
        </w:rPr>
      </w:pPr>
    </w:p>
    <w:p w14:paraId="240452C7">
      <w:pPr>
        <w:rPr>
          <w:b/>
          <w:bCs/>
          <w:color w:val="auto"/>
          <w:szCs w:val="21"/>
          <w:highlight w:val="none"/>
        </w:rPr>
      </w:pPr>
      <w:r>
        <w:rPr>
          <w:b/>
          <w:bCs/>
          <w:color w:val="auto"/>
          <w:highlight w:val="none"/>
        </w:rPr>
        <w:t>注：</w:t>
      </w:r>
      <w:r>
        <w:rPr>
          <w:rFonts w:hint="eastAsia"/>
          <w:b/>
          <w:bCs/>
          <w:color w:val="auto"/>
          <w:highlight w:val="none"/>
        </w:rPr>
        <w:t>（</w:t>
      </w:r>
      <w:r>
        <w:rPr>
          <w:b/>
          <w:bCs/>
          <w:color w:val="auto"/>
          <w:highlight w:val="none"/>
        </w:rPr>
        <w:t>此法定代表人身份证明由投标单位加盖单位公章，除投标文件中须提供外，还须另外准备一份，不装入投标文件，与项目的投标文件同时分别递交。）</w:t>
      </w:r>
    </w:p>
    <w:p w14:paraId="3ABD9755">
      <w:pPr>
        <w:adjustRightInd w:val="0"/>
        <w:snapToGrid w:val="0"/>
        <w:spacing w:beforeLines="50" w:line="360" w:lineRule="auto"/>
        <w:ind w:firstLine="0" w:firstLineChars="0"/>
        <w:rPr>
          <w:rFonts w:ascii="宋体" w:hAnsi="宋体" w:cs="宋体"/>
          <w:b/>
          <w:color w:val="auto"/>
          <w:sz w:val="30"/>
          <w:szCs w:val="30"/>
          <w:highlight w:val="none"/>
        </w:rPr>
      </w:pPr>
      <w:r>
        <w:rPr>
          <w:rFonts w:hint="eastAsia" w:ascii="宋体" w:hAnsi="宋体" w:cs="宋体"/>
          <w:b/>
          <w:color w:val="auto"/>
          <w:sz w:val="30"/>
          <w:szCs w:val="30"/>
          <w:highlight w:val="none"/>
        </w:rPr>
        <w:t>附件2</w:t>
      </w:r>
    </w:p>
    <w:p w14:paraId="24747915">
      <w:pPr>
        <w:jc w:val="center"/>
        <w:rPr>
          <w:color w:val="auto"/>
          <w:highlight w:val="none"/>
        </w:rPr>
      </w:pPr>
      <w:r>
        <w:rPr>
          <w:rFonts w:hint="eastAsia" w:ascii="宋体" w:hAnsi="宋体" w:cs="宋体"/>
          <w:b/>
          <w:color w:val="auto"/>
          <w:sz w:val="30"/>
          <w:szCs w:val="30"/>
          <w:highlight w:val="none"/>
        </w:rPr>
        <w:t>法定代表人授权委托书</w:t>
      </w:r>
    </w:p>
    <w:p w14:paraId="0B0A6E95">
      <w:pPr>
        <w:rPr>
          <w:color w:val="auto"/>
          <w:kern w:val="0"/>
          <w:highlight w:val="none"/>
        </w:rPr>
      </w:pPr>
      <w:r>
        <w:rPr>
          <w:rFonts w:hint="eastAsia"/>
          <w:color w:val="auto"/>
          <w:kern w:val="0"/>
          <w:highlight w:val="none"/>
        </w:rPr>
        <w:t>本人</w:t>
      </w:r>
      <w:r>
        <w:rPr>
          <w:rFonts w:hint="eastAsia"/>
          <w:color w:val="auto"/>
          <w:kern w:val="0"/>
          <w:highlight w:val="none"/>
          <w:u w:val="single"/>
          <w:lang w:val="en-US" w:eastAsia="zh-CN"/>
        </w:rPr>
        <w:t xml:space="preserve">             </w:t>
      </w:r>
      <w:r>
        <w:rPr>
          <w:rFonts w:hint="eastAsia"/>
          <w:color w:val="auto"/>
          <w:kern w:val="0"/>
          <w:highlight w:val="none"/>
        </w:rPr>
        <w:t>（姓名、职务）系</w:t>
      </w:r>
      <w:r>
        <w:rPr>
          <w:rFonts w:hint="eastAsia"/>
          <w:color w:val="auto"/>
          <w:kern w:val="0"/>
          <w:highlight w:val="none"/>
          <w:u w:val="single"/>
        </w:rPr>
        <w:t xml:space="preserve"> </w:t>
      </w:r>
      <w:r>
        <w:rPr>
          <w:rFonts w:hint="eastAsia"/>
          <w:color w:val="auto"/>
          <w:kern w:val="0"/>
          <w:highlight w:val="none"/>
          <w:u w:val="single"/>
          <w:lang w:val="en-US" w:eastAsia="zh-CN"/>
        </w:rPr>
        <w:t xml:space="preserve">                 </w:t>
      </w:r>
      <w:r>
        <w:rPr>
          <w:rFonts w:hint="eastAsia"/>
          <w:color w:val="auto"/>
          <w:kern w:val="0"/>
          <w:highlight w:val="none"/>
        </w:rPr>
        <w:t>（</w:t>
      </w:r>
      <w:r>
        <w:rPr>
          <w:rFonts w:hint="eastAsia"/>
          <w:color w:val="auto"/>
          <w:highlight w:val="none"/>
        </w:rPr>
        <w:t>供应商</w:t>
      </w:r>
      <w:r>
        <w:rPr>
          <w:rFonts w:hint="eastAsia"/>
          <w:color w:val="auto"/>
          <w:kern w:val="0"/>
          <w:highlight w:val="none"/>
        </w:rPr>
        <w:t>名称）的法定代表人，现授权</w:t>
      </w:r>
      <w:r>
        <w:rPr>
          <w:rFonts w:hint="eastAsia"/>
          <w:color w:val="auto"/>
          <w:kern w:val="0"/>
          <w:highlight w:val="none"/>
          <w:u w:val="single"/>
          <w:lang w:val="en-US" w:eastAsia="zh-CN"/>
        </w:rPr>
        <w:t xml:space="preserve">                       </w:t>
      </w:r>
      <w:r>
        <w:rPr>
          <w:rFonts w:hint="eastAsia"/>
          <w:color w:val="auto"/>
          <w:kern w:val="0"/>
          <w:highlight w:val="none"/>
        </w:rPr>
        <w:t>（姓名、职务）为我方代理人。代理人根据授权，以我方名义：(1)签署、澄清、补正、修改、撤回、提交</w:t>
      </w:r>
      <w:r>
        <w:rPr>
          <w:rFonts w:hint="eastAsia"/>
          <w:color w:val="auto"/>
          <w:kern w:val="0"/>
          <w:highlight w:val="none"/>
          <w:u w:val="single"/>
          <w:lang w:val="en-US" w:eastAsia="zh-CN"/>
        </w:rPr>
        <w:t xml:space="preserve">                        </w:t>
      </w:r>
      <w:r>
        <w:rPr>
          <w:rFonts w:hint="eastAsia"/>
          <w:color w:val="auto"/>
          <w:kern w:val="0"/>
          <w:highlight w:val="none"/>
        </w:rPr>
        <w:t>（项目名称、</w:t>
      </w:r>
      <w:r>
        <w:rPr>
          <w:rFonts w:hint="eastAsia"/>
          <w:color w:val="auto"/>
          <w:highlight w:val="none"/>
        </w:rPr>
        <w:t>采购编号</w:t>
      </w:r>
      <w:r>
        <w:rPr>
          <w:rFonts w:hint="eastAsia"/>
          <w:color w:val="auto"/>
          <w:kern w:val="0"/>
          <w:highlight w:val="none"/>
        </w:rPr>
        <w:t>、采购代理机构编号）响应文件；(2)签署并重新提交响应文件及最后报价；(3)退出谈判；(4)签订合同和处理有关事宜，其法律后果由我方承担；（5）询问、质疑、投诉等相关事项，其法律后果由我方承担。</w:t>
      </w:r>
    </w:p>
    <w:p w14:paraId="24042306">
      <w:pPr>
        <w:rPr>
          <w:color w:val="auto"/>
          <w:kern w:val="0"/>
          <w:highlight w:val="none"/>
        </w:rPr>
      </w:pPr>
      <w:r>
        <w:rPr>
          <w:rFonts w:hint="eastAsia"/>
          <w:color w:val="auto"/>
          <w:kern w:val="0"/>
          <w:highlight w:val="none"/>
        </w:rPr>
        <w:t>委托期限：</w:t>
      </w:r>
      <w:r>
        <w:rPr>
          <w:rFonts w:hint="eastAsia"/>
          <w:color w:val="auto"/>
          <w:kern w:val="0"/>
          <w:highlight w:val="none"/>
          <w:u w:val="single"/>
          <w:lang w:val="en-US" w:eastAsia="zh-CN"/>
        </w:rPr>
        <w:t xml:space="preserve">                    </w:t>
      </w:r>
      <w:r>
        <w:rPr>
          <w:rFonts w:hint="eastAsia"/>
          <w:color w:val="auto"/>
          <w:kern w:val="0"/>
          <w:highlight w:val="none"/>
          <w:u w:val="single"/>
        </w:rPr>
        <w:t xml:space="preserve"> </w:t>
      </w:r>
      <w:r>
        <w:rPr>
          <w:rFonts w:hint="eastAsia"/>
          <w:color w:val="auto"/>
          <w:kern w:val="0"/>
          <w:highlight w:val="none"/>
        </w:rPr>
        <w:t>。</w:t>
      </w:r>
    </w:p>
    <w:p w14:paraId="49A0EF36">
      <w:pPr>
        <w:rPr>
          <w:color w:val="auto"/>
          <w:kern w:val="0"/>
          <w:highlight w:val="none"/>
        </w:rPr>
      </w:pPr>
      <w:r>
        <w:rPr>
          <w:rFonts w:hint="eastAsia"/>
          <w:color w:val="auto"/>
          <w:kern w:val="0"/>
          <w:highlight w:val="none"/>
        </w:rPr>
        <w:t>代理人无转委托权。</w:t>
      </w:r>
    </w:p>
    <w:p w14:paraId="691DBD68">
      <w:pPr>
        <w:rPr>
          <w:color w:val="auto"/>
          <w:highlight w:val="none"/>
        </w:rPr>
      </w:pPr>
      <w:r>
        <w:rPr>
          <w:rFonts w:hint="eastAsia"/>
          <w:color w:val="auto"/>
          <w:highlight w:val="none"/>
        </w:rPr>
        <w:t>本授权书于</w:t>
      </w:r>
      <w:r>
        <w:rPr>
          <w:rFonts w:hint="eastAsia"/>
          <w:color w:val="auto"/>
          <w:highlight w:val="none"/>
          <w:lang w:val="en-US" w:eastAsia="zh-CN"/>
        </w:rPr>
        <w:t xml:space="preserve">   </w:t>
      </w:r>
      <w:r>
        <w:rPr>
          <w:rFonts w:hint="eastAsia"/>
          <w:color w:val="auto"/>
          <w:highlight w:val="none"/>
        </w:rPr>
        <w:t>年</w:t>
      </w:r>
      <w:r>
        <w:rPr>
          <w:rFonts w:hint="eastAsia"/>
          <w:color w:val="auto"/>
          <w:highlight w:val="none"/>
          <w:lang w:val="en-US" w:eastAsia="zh-CN"/>
        </w:rPr>
        <w:t xml:space="preserve">   </w:t>
      </w:r>
      <w:r>
        <w:rPr>
          <w:rFonts w:hint="eastAsia"/>
          <w:color w:val="auto"/>
          <w:highlight w:val="none"/>
        </w:rPr>
        <w:t>月</w:t>
      </w:r>
      <w:r>
        <w:rPr>
          <w:rFonts w:hint="eastAsia"/>
          <w:color w:val="auto"/>
          <w:highlight w:val="none"/>
          <w:lang w:val="en-US" w:eastAsia="zh-CN"/>
        </w:rPr>
        <w:t xml:space="preserve">    </w:t>
      </w:r>
      <w:r>
        <w:rPr>
          <w:rFonts w:hint="eastAsia"/>
          <w:color w:val="auto"/>
          <w:highlight w:val="none"/>
        </w:rPr>
        <w:t>日签字生效，特此声明。</w:t>
      </w:r>
    </w:p>
    <w:p w14:paraId="166A8925">
      <w:pPr>
        <w:rPr>
          <w:color w:val="auto"/>
          <w:highlight w:val="none"/>
        </w:rPr>
      </w:pPr>
      <w:r>
        <w:rPr>
          <w:rFonts w:hint="eastAsia"/>
          <w:color w:val="auto"/>
          <w:highlight w:val="none"/>
        </w:rPr>
        <w:t>附：委托代理人身份证复印件及法定代表人身份证明(附件1，原件)</w:t>
      </w:r>
    </w:p>
    <w:p w14:paraId="71599D16">
      <w:pPr>
        <w:rPr>
          <w:color w:val="auto"/>
          <w:highlight w:val="none"/>
        </w:rPr>
      </w:pPr>
    </w:p>
    <w:p w14:paraId="3D17F712">
      <w:pPr>
        <w:rPr>
          <w:color w:val="auto"/>
          <w:highlight w:val="none"/>
        </w:rPr>
      </w:pPr>
    </w:p>
    <w:p w14:paraId="2D201744">
      <w:pPr>
        <w:rPr>
          <w:color w:val="auto"/>
          <w:highlight w:val="none"/>
        </w:rPr>
      </w:pPr>
    </w:p>
    <w:p w14:paraId="38D58DB5">
      <w:pPr>
        <w:rPr>
          <w:color w:val="auto"/>
          <w:highlight w:val="none"/>
        </w:rPr>
      </w:pPr>
    </w:p>
    <w:p w14:paraId="3E3E035D">
      <w:pPr>
        <w:rPr>
          <w:color w:val="auto"/>
          <w:highlight w:val="none"/>
        </w:rPr>
      </w:pPr>
    </w:p>
    <w:p w14:paraId="411749EE">
      <w:pPr>
        <w:rPr>
          <w:rFonts w:hint="default" w:eastAsia="宋体"/>
          <w:color w:val="auto"/>
          <w:highlight w:val="none"/>
          <w:u w:val="single"/>
          <w:lang w:val="en-US" w:eastAsia="zh-CN"/>
        </w:rPr>
      </w:pPr>
      <w:r>
        <w:rPr>
          <w:rFonts w:hint="eastAsia"/>
          <w:color w:val="auto"/>
          <w:highlight w:val="none"/>
        </w:rPr>
        <w:t>法定代表人（签字）：</w:t>
      </w:r>
      <w:r>
        <w:rPr>
          <w:rFonts w:hint="eastAsia"/>
          <w:color w:val="auto"/>
          <w:highlight w:val="none"/>
          <w:u w:val="single"/>
          <w:lang w:val="en-US" w:eastAsia="zh-CN"/>
        </w:rPr>
        <w:t xml:space="preserve">               </w:t>
      </w:r>
    </w:p>
    <w:p w14:paraId="537F7FE2">
      <w:pPr>
        <w:rPr>
          <w:rFonts w:hint="default" w:eastAsia="宋体"/>
          <w:color w:val="auto"/>
          <w:highlight w:val="none"/>
          <w:u w:val="single"/>
          <w:lang w:val="en-US" w:eastAsia="zh-CN"/>
        </w:rPr>
      </w:pPr>
      <w:r>
        <w:rPr>
          <w:rFonts w:hint="eastAsia"/>
          <w:color w:val="auto"/>
          <w:highlight w:val="none"/>
        </w:rPr>
        <w:t>委托代理人（签字）：</w:t>
      </w:r>
      <w:r>
        <w:rPr>
          <w:rFonts w:hint="eastAsia"/>
          <w:color w:val="auto"/>
          <w:highlight w:val="none"/>
          <w:u w:val="single"/>
          <w:lang w:val="en-US" w:eastAsia="zh-CN"/>
        </w:rPr>
        <w:t xml:space="preserve">               </w:t>
      </w:r>
    </w:p>
    <w:p w14:paraId="6DD0702D">
      <w:pPr>
        <w:rPr>
          <w:color w:val="auto"/>
          <w:highlight w:val="none"/>
        </w:rPr>
      </w:pPr>
      <w:r>
        <w:rPr>
          <w:rFonts w:hint="eastAsia"/>
          <w:color w:val="auto"/>
          <w:highlight w:val="none"/>
        </w:rPr>
        <w:t xml:space="preserve">日期： 年 </w:t>
      </w:r>
      <w:r>
        <w:rPr>
          <w:rFonts w:hint="eastAsia"/>
          <w:color w:val="auto"/>
          <w:highlight w:val="none"/>
          <w:lang w:val="en-US" w:eastAsia="zh-CN"/>
        </w:rPr>
        <w:t xml:space="preserve">  </w:t>
      </w:r>
      <w:r>
        <w:rPr>
          <w:rFonts w:hint="eastAsia"/>
          <w:color w:val="auto"/>
          <w:highlight w:val="none"/>
        </w:rPr>
        <w:t xml:space="preserve">月 </w:t>
      </w:r>
      <w:r>
        <w:rPr>
          <w:rFonts w:hint="eastAsia"/>
          <w:color w:val="auto"/>
          <w:highlight w:val="none"/>
          <w:lang w:val="en-US" w:eastAsia="zh-CN"/>
        </w:rPr>
        <w:t xml:space="preserve">   </w:t>
      </w:r>
      <w:r>
        <w:rPr>
          <w:rFonts w:hint="eastAsia"/>
          <w:color w:val="auto"/>
          <w:highlight w:val="none"/>
        </w:rPr>
        <w:t>日</w:t>
      </w:r>
    </w:p>
    <w:p w14:paraId="717ECE2C">
      <w:pPr>
        <w:rPr>
          <w:color w:val="auto"/>
          <w:highlight w:val="none"/>
        </w:rPr>
      </w:pPr>
    </w:p>
    <w:p w14:paraId="7E51DAD8">
      <w:pPr>
        <w:rPr>
          <w:color w:val="auto"/>
          <w:highlight w:val="none"/>
        </w:rPr>
      </w:pPr>
    </w:p>
    <w:p w14:paraId="48AB7A6E">
      <w:pPr>
        <w:rPr>
          <w:color w:val="auto"/>
          <w:highlight w:val="none"/>
        </w:rPr>
      </w:pPr>
    </w:p>
    <w:p w14:paraId="47660F36">
      <w:pPr>
        <w:rPr>
          <w:b/>
          <w:bCs/>
          <w:color w:val="auto"/>
          <w:highlight w:val="none"/>
        </w:rPr>
      </w:pPr>
      <w:r>
        <w:rPr>
          <w:b/>
          <w:bCs/>
          <w:color w:val="auto"/>
          <w:highlight w:val="none"/>
        </w:rPr>
        <w:t>（注：此法定代表人授权委托书由投标单位法定代表人和委托代理人亲笔签署，并加盖单位公章，除</w:t>
      </w:r>
      <w:r>
        <w:rPr>
          <w:rFonts w:hint="eastAsia"/>
          <w:b/>
          <w:bCs/>
          <w:color w:val="auto"/>
          <w:highlight w:val="none"/>
        </w:rPr>
        <w:t>磋商响应</w:t>
      </w:r>
      <w:r>
        <w:rPr>
          <w:b/>
          <w:bCs/>
          <w:color w:val="auto"/>
          <w:highlight w:val="none"/>
        </w:rPr>
        <w:t>文件中须提供外，还须另外准备一份，不装入投标文件，与项目的投标文件同时分别递交。如投标单位委托代理人即为法定代表人，可不提供。）</w:t>
      </w:r>
    </w:p>
    <w:p w14:paraId="2C54BF06">
      <w:pPr>
        <w:rPr>
          <w:color w:val="auto"/>
          <w:highlight w:val="none"/>
        </w:rPr>
      </w:pPr>
    </w:p>
    <w:p w14:paraId="5F8FB094">
      <w:pPr>
        <w:rPr>
          <w:rFonts w:hint="eastAsia"/>
          <w:color w:val="auto"/>
          <w:highlight w:val="none"/>
        </w:rPr>
      </w:pPr>
      <w:r>
        <w:rPr>
          <w:rFonts w:hint="eastAsia"/>
          <w:color w:val="auto"/>
          <w:highlight w:val="none"/>
        </w:rPr>
        <w:br w:type="page"/>
      </w:r>
    </w:p>
    <w:p w14:paraId="6C6084CE">
      <w:pPr>
        <w:spacing w:line="240" w:lineRule="auto"/>
        <w:ind w:firstLine="0" w:firstLineChars="0"/>
        <w:jc w:val="center"/>
        <w:rPr>
          <w:rFonts w:ascii="宋体" w:hAnsi="宋体" w:cs="宋体"/>
          <w:b/>
          <w:bCs/>
          <w:color w:val="auto"/>
          <w:sz w:val="32"/>
          <w:szCs w:val="32"/>
          <w:highlight w:val="none"/>
        </w:rPr>
      </w:pPr>
      <w:r>
        <w:rPr>
          <w:rFonts w:hint="eastAsia" w:ascii="宋体" w:hAnsi="宋体" w:cs="宋体"/>
          <w:b/>
          <w:color w:val="auto"/>
          <w:sz w:val="32"/>
          <w:szCs w:val="32"/>
          <w:highlight w:val="none"/>
        </w:rPr>
        <w:t>二、供应商</w:t>
      </w:r>
      <w:r>
        <w:rPr>
          <w:rFonts w:hint="eastAsia" w:ascii="宋体" w:hAnsi="宋体" w:cs="宋体"/>
          <w:b/>
          <w:bCs/>
          <w:color w:val="auto"/>
          <w:sz w:val="32"/>
          <w:szCs w:val="32"/>
          <w:highlight w:val="none"/>
        </w:rPr>
        <w:t>的资格证明资料</w:t>
      </w:r>
    </w:p>
    <w:p w14:paraId="72435B58">
      <w:pPr>
        <w:spacing w:line="480" w:lineRule="exact"/>
        <w:ind w:firstLine="0" w:firstLineChars="0"/>
        <w:rPr>
          <w:rFonts w:ascii="宋体" w:hAnsi="宋体" w:cs="宋体"/>
          <w:color w:val="auto"/>
          <w:sz w:val="30"/>
          <w:szCs w:val="30"/>
          <w:highlight w:val="none"/>
        </w:rPr>
      </w:pPr>
      <w:r>
        <w:rPr>
          <w:rFonts w:hint="eastAsia" w:ascii="宋体" w:hAnsi="宋体" w:cs="宋体"/>
          <w:b/>
          <w:bCs/>
          <w:color w:val="auto"/>
          <w:sz w:val="30"/>
          <w:szCs w:val="30"/>
          <w:highlight w:val="none"/>
        </w:rPr>
        <w:t>附件3</w:t>
      </w:r>
      <w:r>
        <w:rPr>
          <w:rFonts w:hint="eastAsia" w:cs="宋体"/>
          <w:b/>
          <w:bCs/>
          <w:color w:val="auto"/>
          <w:sz w:val="30"/>
          <w:szCs w:val="30"/>
          <w:highlight w:val="none"/>
          <w:lang w:val="en-US" w:eastAsia="zh-CN"/>
        </w:rPr>
        <w:t xml:space="preserve"> </w:t>
      </w:r>
      <w:r>
        <w:rPr>
          <w:rFonts w:hint="eastAsia" w:ascii="宋体" w:hAnsi="宋体" w:cs="宋体"/>
          <w:b/>
          <w:bCs/>
          <w:color w:val="auto"/>
          <w:sz w:val="30"/>
          <w:szCs w:val="30"/>
          <w:highlight w:val="none"/>
        </w:rPr>
        <w:t>供应商基本情况表</w:t>
      </w:r>
    </w:p>
    <w:p w14:paraId="5DFDC5A2">
      <w:pPr>
        <w:rPr>
          <w:color w:val="auto"/>
          <w:highlight w:val="none"/>
        </w:rPr>
      </w:pPr>
    </w:p>
    <w:p w14:paraId="4EAD6CD6">
      <w:pPr>
        <w:rPr>
          <w:rFonts w:hint="eastAsia"/>
          <w:color w:val="auto"/>
          <w:highlight w:val="none"/>
        </w:rPr>
      </w:pPr>
      <w:r>
        <w:rPr>
          <w:rFonts w:hint="eastAsia"/>
          <w:color w:val="auto"/>
          <w:highlight w:val="none"/>
        </w:rPr>
        <w:t>盖供应商单位章</w:t>
      </w:r>
    </w:p>
    <w:tbl>
      <w:tblPr>
        <w:tblStyle w:val="43"/>
        <w:tblW w:w="882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1911"/>
      </w:tblGrid>
      <w:tr w14:paraId="3F1584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620" w:type="dxa"/>
            <w:gridSpan w:val="3"/>
            <w:tcBorders>
              <w:top w:val="double" w:color="auto" w:sz="4" w:space="0"/>
              <w:left w:val="double" w:color="auto" w:sz="4" w:space="0"/>
              <w:bottom w:val="single" w:color="auto" w:sz="6" w:space="0"/>
              <w:right w:val="single" w:color="auto" w:sz="6" w:space="0"/>
            </w:tcBorders>
            <w:vAlign w:val="center"/>
          </w:tcPr>
          <w:p w14:paraId="455BB0AB">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供应商名称</w:t>
            </w:r>
          </w:p>
        </w:tc>
        <w:tc>
          <w:tcPr>
            <w:tcW w:w="3960" w:type="dxa"/>
            <w:gridSpan w:val="5"/>
            <w:tcBorders>
              <w:top w:val="double" w:color="auto" w:sz="4" w:space="0"/>
              <w:left w:val="single" w:color="auto" w:sz="6" w:space="0"/>
              <w:bottom w:val="single" w:color="auto" w:sz="6" w:space="0"/>
              <w:right w:val="single" w:color="auto" w:sz="6" w:space="0"/>
            </w:tcBorders>
            <w:vAlign w:val="center"/>
          </w:tcPr>
          <w:p w14:paraId="3A6F873D">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1329" w:type="dxa"/>
            <w:tcBorders>
              <w:top w:val="double" w:color="auto" w:sz="4" w:space="0"/>
              <w:left w:val="single" w:color="auto" w:sz="6" w:space="0"/>
              <w:bottom w:val="single" w:color="auto" w:sz="6" w:space="0"/>
              <w:right w:val="single" w:color="auto" w:sz="6" w:space="0"/>
            </w:tcBorders>
            <w:vAlign w:val="center"/>
          </w:tcPr>
          <w:p w14:paraId="7E65E7ED">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法定代表人</w:t>
            </w:r>
          </w:p>
        </w:tc>
        <w:tc>
          <w:tcPr>
            <w:tcW w:w="1911" w:type="dxa"/>
            <w:tcBorders>
              <w:top w:val="double" w:color="auto" w:sz="4" w:space="0"/>
              <w:left w:val="single" w:color="auto" w:sz="6" w:space="0"/>
              <w:bottom w:val="single" w:color="auto" w:sz="6" w:space="0"/>
              <w:right w:val="double" w:color="auto" w:sz="4" w:space="0"/>
            </w:tcBorders>
            <w:vAlign w:val="center"/>
          </w:tcPr>
          <w:p w14:paraId="43466DFF">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r>
      <w:tr w14:paraId="4EC23A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4689EE8F">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委托代理人</w:t>
            </w: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031625C7">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1329" w:type="dxa"/>
            <w:tcBorders>
              <w:top w:val="single" w:color="auto" w:sz="6" w:space="0"/>
              <w:left w:val="single" w:color="auto" w:sz="6" w:space="0"/>
              <w:bottom w:val="single" w:color="auto" w:sz="6" w:space="0"/>
              <w:right w:val="single" w:color="auto" w:sz="6" w:space="0"/>
            </w:tcBorders>
            <w:vAlign w:val="center"/>
          </w:tcPr>
          <w:p w14:paraId="482E3545">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邮政编码</w:t>
            </w:r>
          </w:p>
        </w:tc>
        <w:tc>
          <w:tcPr>
            <w:tcW w:w="1911" w:type="dxa"/>
            <w:tcBorders>
              <w:top w:val="single" w:color="auto" w:sz="6" w:space="0"/>
              <w:left w:val="single" w:color="auto" w:sz="6" w:space="0"/>
              <w:bottom w:val="single" w:color="auto" w:sz="6" w:space="0"/>
              <w:right w:val="double" w:color="auto" w:sz="4" w:space="0"/>
            </w:tcBorders>
            <w:vAlign w:val="center"/>
          </w:tcPr>
          <w:p w14:paraId="47560FE5">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r>
      <w:tr w14:paraId="0030CD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2DA65418">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08B443C2">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1329" w:type="dxa"/>
            <w:tcBorders>
              <w:top w:val="single" w:color="auto" w:sz="6" w:space="0"/>
              <w:left w:val="single" w:color="auto" w:sz="6" w:space="0"/>
              <w:bottom w:val="single" w:color="auto" w:sz="6" w:space="0"/>
              <w:right w:val="single" w:color="auto" w:sz="6" w:space="0"/>
            </w:tcBorders>
            <w:vAlign w:val="center"/>
          </w:tcPr>
          <w:p w14:paraId="6E4E962D">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电子邮箱</w:t>
            </w:r>
          </w:p>
        </w:tc>
        <w:tc>
          <w:tcPr>
            <w:tcW w:w="1911" w:type="dxa"/>
            <w:tcBorders>
              <w:top w:val="single" w:color="auto" w:sz="6" w:space="0"/>
              <w:left w:val="single" w:color="auto" w:sz="6" w:space="0"/>
              <w:bottom w:val="single" w:color="auto" w:sz="6" w:space="0"/>
              <w:right w:val="double" w:color="auto" w:sz="4" w:space="0"/>
            </w:tcBorders>
            <w:vAlign w:val="center"/>
          </w:tcPr>
          <w:p w14:paraId="42E79F39">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r>
      <w:tr w14:paraId="31F80E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37737122">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上年营业收入</w:t>
            </w: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3C461C7E">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1329" w:type="dxa"/>
            <w:tcBorders>
              <w:top w:val="single" w:color="auto" w:sz="6" w:space="0"/>
              <w:left w:val="single" w:color="auto" w:sz="6" w:space="0"/>
              <w:bottom w:val="single" w:color="auto" w:sz="6" w:space="0"/>
              <w:right w:val="single" w:color="auto" w:sz="6" w:space="0"/>
            </w:tcBorders>
            <w:vAlign w:val="center"/>
          </w:tcPr>
          <w:p w14:paraId="02BF67C6">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员工总人数</w:t>
            </w:r>
          </w:p>
        </w:tc>
        <w:tc>
          <w:tcPr>
            <w:tcW w:w="1911" w:type="dxa"/>
            <w:tcBorders>
              <w:top w:val="single" w:color="auto" w:sz="6" w:space="0"/>
              <w:left w:val="single" w:color="auto" w:sz="6" w:space="0"/>
              <w:bottom w:val="single" w:color="auto" w:sz="6" w:space="0"/>
              <w:right w:val="double" w:color="auto" w:sz="4" w:space="0"/>
            </w:tcBorders>
            <w:vAlign w:val="center"/>
          </w:tcPr>
          <w:p w14:paraId="7D4D810A">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r>
      <w:tr w14:paraId="099ED4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restart"/>
            <w:tcBorders>
              <w:top w:val="single" w:color="auto" w:sz="6" w:space="0"/>
              <w:left w:val="double" w:color="auto" w:sz="4" w:space="0"/>
              <w:bottom w:val="single" w:color="auto" w:sz="6" w:space="0"/>
              <w:right w:val="single" w:color="auto" w:sz="6" w:space="0"/>
            </w:tcBorders>
            <w:vAlign w:val="center"/>
          </w:tcPr>
          <w:p w14:paraId="71696B91">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营业执照</w:t>
            </w: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7C15D6A1">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注册号码</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3F90BEE4">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14:paraId="48FDDD53">
            <w:pPr>
              <w:keepNext w:val="0"/>
              <w:keepLines w:val="0"/>
              <w:suppressLineNumbers w:val="0"/>
              <w:topLinePunct/>
              <w:spacing w:before="0" w:beforeAutospacing="0" w:after="0" w:afterAutospacing="0" w:line="440" w:lineRule="exact"/>
              <w:ind w:left="0" w:right="0" w:firstLine="105" w:firstLineChars="50"/>
              <w:jc w:val="center"/>
              <w:rPr>
                <w:rFonts w:hint="default" w:ascii="宋体" w:hAnsi="宋体" w:cs="宋体"/>
                <w:color w:val="auto"/>
                <w:szCs w:val="21"/>
                <w:highlight w:val="none"/>
              </w:rPr>
            </w:pPr>
            <w:r>
              <w:rPr>
                <w:rFonts w:hint="eastAsia" w:ascii="宋体" w:hAnsi="宋体" w:cs="宋体"/>
                <w:color w:val="auto"/>
                <w:szCs w:val="21"/>
                <w:highlight w:val="none"/>
              </w:rPr>
              <w:t>注册地址</w:t>
            </w: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750A36B4">
            <w:pPr>
              <w:keepNext w:val="0"/>
              <w:keepLines w:val="0"/>
              <w:suppressLineNumbers w:val="0"/>
              <w:topLinePunct/>
              <w:spacing w:before="0" w:beforeAutospacing="0" w:after="0" w:afterAutospacing="0" w:line="440" w:lineRule="exact"/>
              <w:ind w:left="0" w:right="0" w:firstLine="105" w:firstLineChars="50"/>
              <w:jc w:val="center"/>
              <w:rPr>
                <w:rFonts w:hint="default" w:ascii="宋体" w:hAnsi="宋体" w:cs="宋体"/>
                <w:color w:val="auto"/>
                <w:szCs w:val="21"/>
                <w:highlight w:val="none"/>
              </w:rPr>
            </w:pPr>
          </w:p>
        </w:tc>
      </w:tr>
      <w:tr w14:paraId="1CF6CA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2C85E7F7">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3344AB34">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发证机关</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5BBBFF84">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14:paraId="7D275A41">
            <w:pPr>
              <w:keepNext w:val="0"/>
              <w:keepLines w:val="0"/>
              <w:suppressLineNumbers w:val="0"/>
              <w:topLinePunct/>
              <w:spacing w:before="0" w:beforeAutospacing="0" w:after="0" w:afterAutospacing="0" w:line="440" w:lineRule="exact"/>
              <w:ind w:left="0" w:right="0" w:firstLine="105" w:firstLineChars="50"/>
              <w:jc w:val="center"/>
              <w:rPr>
                <w:rFonts w:hint="default" w:ascii="宋体" w:hAnsi="宋体" w:cs="宋体"/>
                <w:color w:val="auto"/>
                <w:szCs w:val="21"/>
                <w:highlight w:val="none"/>
              </w:rPr>
            </w:pPr>
            <w:r>
              <w:rPr>
                <w:rFonts w:hint="eastAsia" w:ascii="宋体" w:hAnsi="宋体" w:cs="宋体"/>
                <w:color w:val="auto"/>
                <w:szCs w:val="21"/>
                <w:highlight w:val="none"/>
              </w:rPr>
              <w:t>发证日期</w:t>
            </w: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330D00EA">
            <w:pPr>
              <w:keepNext w:val="0"/>
              <w:keepLines w:val="0"/>
              <w:suppressLineNumbers w:val="0"/>
              <w:topLinePunct/>
              <w:spacing w:before="0" w:beforeAutospacing="0" w:after="0" w:afterAutospacing="0" w:line="440" w:lineRule="exact"/>
              <w:ind w:left="0" w:right="0" w:firstLine="105" w:firstLineChars="50"/>
              <w:jc w:val="center"/>
              <w:rPr>
                <w:rFonts w:hint="default" w:ascii="宋体" w:hAnsi="宋体" w:cs="宋体"/>
                <w:color w:val="auto"/>
                <w:szCs w:val="21"/>
                <w:highlight w:val="none"/>
              </w:rPr>
            </w:pPr>
          </w:p>
        </w:tc>
      </w:tr>
      <w:tr w14:paraId="5419A2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6D2F91BB">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0BC9C01D">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营业范围（主营）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14:paraId="606ACF8B">
            <w:pPr>
              <w:keepNext w:val="0"/>
              <w:keepLines w:val="0"/>
              <w:suppressLineNumbers w:val="0"/>
              <w:topLinePunct/>
              <w:spacing w:before="0" w:beforeAutospacing="0" w:after="0" w:afterAutospacing="0" w:line="440" w:lineRule="exact"/>
              <w:ind w:left="0" w:right="0" w:firstLine="105" w:firstLineChars="50"/>
              <w:jc w:val="center"/>
              <w:rPr>
                <w:rFonts w:hint="default" w:ascii="宋体" w:hAnsi="宋体" w:cs="宋体"/>
                <w:color w:val="auto"/>
                <w:szCs w:val="21"/>
                <w:highlight w:val="none"/>
              </w:rPr>
            </w:pPr>
          </w:p>
        </w:tc>
      </w:tr>
      <w:tr w14:paraId="380A5A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350052D8">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30EB6581">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营业范围（兼营）</w:t>
            </w:r>
          </w:p>
        </w:tc>
        <w:tc>
          <w:tcPr>
            <w:tcW w:w="6057" w:type="dxa"/>
            <w:gridSpan w:val="6"/>
            <w:tcBorders>
              <w:top w:val="single" w:color="auto" w:sz="6" w:space="0"/>
              <w:left w:val="single" w:color="auto" w:sz="6" w:space="0"/>
              <w:bottom w:val="single" w:color="auto" w:sz="6" w:space="0"/>
              <w:right w:val="double" w:color="auto" w:sz="4" w:space="0"/>
            </w:tcBorders>
            <w:vAlign w:val="center"/>
          </w:tcPr>
          <w:p w14:paraId="4EAE9E43">
            <w:pPr>
              <w:keepNext w:val="0"/>
              <w:keepLines w:val="0"/>
              <w:suppressLineNumbers w:val="0"/>
              <w:topLinePunct/>
              <w:spacing w:before="0" w:beforeAutospacing="0" w:after="0" w:afterAutospacing="0" w:line="440" w:lineRule="exact"/>
              <w:ind w:left="0" w:right="0" w:firstLine="105" w:firstLineChars="50"/>
              <w:jc w:val="center"/>
              <w:rPr>
                <w:rFonts w:hint="default" w:ascii="宋体" w:hAnsi="宋体" w:cs="宋体"/>
                <w:color w:val="auto"/>
                <w:szCs w:val="21"/>
                <w:highlight w:val="none"/>
              </w:rPr>
            </w:pPr>
          </w:p>
        </w:tc>
      </w:tr>
      <w:tr w14:paraId="6323E4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14:paraId="2906C031">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基本账户开户行及账号</w:t>
            </w:r>
          </w:p>
        </w:tc>
        <w:tc>
          <w:tcPr>
            <w:tcW w:w="6057" w:type="dxa"/>
            <w:gridSpan w:val="6"/>
            <w:tcBorders>
              <w:top w:val="single" w:color="auto" w:sz="6" w:space="0"/>
              <w:left w:val="single" w:color="auto" w:sz="6" w:space="0"/>
              <w:bottom w:val="single" w:color="auto" w:sz="6" w:space="0"/>
              <w:right w:val="double" w:color="auto" w:sz="4" w:space="0"/>
            </w:tcBorders>
            <w:vAlign w:val="center"/>
          </w:tcPr>
          <w:p w14:paraId="20307B63">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r>
      <w:tr w14:paraId="1071F0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14:paraId="7A1D44E8">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税务登记机关</w:t>
            </w:r>
          </w:p>
        </w:tc>
        <w:tc>
          <w:tcPr>
            <w:tcW w:w="6057" w:type="dxa"/>
            <w:gridSpan w:val="6"/>
            <w:tcBorders>
              <w:top w:val="single" w:color="auto" w:sz="6" w:space="0"/>
              <w:left w:val="single" w:color="auto" w:sz="6" w:space="0"/>
              <w:bottom w:val="single" w:color="auto" w:sz="6" w:space="0"/>
              <w:right w:val="double" w:color="auto" w:sz="4" w:space="0"/>
            </w:tcBorders>
            <w:vAlign w:val="center"/>
          </w:tcPr>
          <w:p w14:paraId="5FE1E494">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r>
      <w:tr w14:paraId="36B046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1EC6D77E">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资质名称</w:t>
            </w: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45734C4B">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等级</w:t>
            </w:r>
          </w:p>
        </w:tc>
        <w:tc>
          <w:tcPr>
            <w:tcW w:w="1083" w:type="dxa"/>
            <w:tcBorders>
              <w:top w:val="single" w:color="auto" w:sz="6" w:space="0"/>
              <w:left w:val="single" w:color="auto" w:sz="6" w:space="0"/>
              <w:bottom w:val="single" w:color="auto" w:sz="6" w:space="0"/>
              <w:right w:val="single" w:color="auto" w:sz="6" w:space="0"/>
            </w:tcBorders>
            <w:vAlign w:val="center"/>
          </w:tcPr>
          <w:p w14:paraId="268BBA60">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发证机关</w:t>
            </w: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3C44E899">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有效期</w:t>
            </w:r>
          </w:p>
        </w:tc>
      </w:tr>
      <w:tr w14:paraId="7EA431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3D4BAE01">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67BEC302">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1083" w:type="dxa"/>
            <w:tcBorders>
              <w:top w:val="single" w:color="auto" w:sz="6" w:space="0"/>
              <w:left w:val="single" w:color="auto" w:sz="6" w:space="0"/>
              <w:bottom w:val="single" w:color="auto" w:sz="6" w:space="0"/>
              <w:right w:val="single" w:color="auto" w:sz="6" w:space="0"/>
            </w:tcBorders>
            <w:vAlign w:val="center"/>
          </w:tcPr>
          <w:p w14:paraId="4D76A2A9">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416EDF1F">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r>
      <w:tr w14:paraId="027667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1AA94C6B">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2AE57785">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1083" w:type="dxa"/>
            <w:tcBorders>
              <w:top w:val="single" w:color="auto" w:sz="6" w:space="0"/>
              <w:left w:val="single" w:color="auto" w:sz="6" w:space="0"/>
              <w:bottom w:val="single" w:color="auto" w:sz="6" w:space="0"/>
              <w:right w:val="single" w:color="auto" w:sz="6" w:space="0"/>
            </w:tcBorders>
            <w:vAlign w:val="center"/>
          </w:tcPr>
          <w:p w14:paraId="591AF484">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01DCBD4C">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r>
      <w:tr w14:paraId="0B6421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34889013">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77578AA6">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1083" w:type="dxa"/>
            <w:tcBorders>
              <w:top w:val="single" w:color="auto" w:sz="6" w:space="0"/>
              <w:left w:val="single" w:color="auto" w:sz="6" w:space="0"/>
              <w:bottom w:val="single" w:color="auto" w:sz="6" w:space="0"/>
              <w:right w:val="single" w:color="auto" w:sz="6" w:space="0"/>
            </w:tcBorders>
            <w:vAlign w:val="center"/>
          </w:tcPr>
          <w:p w14:paraId="6AB529A9">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12A46FE4">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p>
        </w:tc>
      </w:tr>
      <w:tr w14:paraId="64F1D6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77" w:hRule="atLeast"/>
        </w:trPr>
        <w:tc>
          <w:tcPr>
            <w:tcW w:w="1258" w:type="dxa"/>
            <w:gridSpan w:val="2"/>
            <w:tcBorders>
              <w:top w:val="single" w:color="auto" w:sz="6" w:space="0"/>
              <w:left w:val="double" w:color="auto" w:sz="4" w:space="0"/>
              <w:bottom w:val="double" w:color="auto" w:sz="4" w:space="0"/>
              <w:right w:val="single" w:color="auto" w:sz="6" w:space="0"/>
            </w:tcBorders>
            <w:vAlign w:val="center"/>
          </w:tcPr>
          <w:p w14:paraId="0C21AF8D">
            <w:pPr>
              <w:keepNext w:val="0"/>
              <w:keepLines w:val="0"/>
              <w:suppressLineNumbers w:val="0"/>
              <w:topLinePunct/>
              <w:spacing w:before="0" w:beforeAutospacing="0" w:after="0" w:afterAutospacing="0" w:line="440" w:lineRule="exact"/>
              <w:ind w:left="0"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备注</w:t>
            </w:r>
          </w:p>
        </w:tc>
        <w:tc>
          <w:tcPr>
            <w:tcW w:w="7562" w:type="dxa"/>
            <w:gridSpan w:val="8"/>
            <w:tcBorders>
              <w:top w:val="single" w:color="auto" w:sz="6" w:space="0"/>
              <w:left w:val="single" w:color="auto" w:sz="6" w:space="0"/>
              <w:bottom w:val="double" w:color="auto" w:sz="4" w:space="0"/>
              <w:right w:val="double" w:color="auto" w:sz="4" w:space="0"/>
            </w:tcBorders>
            <w:vAlign w:val="center"/>
          </w:tcPr>
          <w:p w14:paraId="28B818A5">
            <w:pPr>
              <w:keepNext w:val="0"/>
              <w:keepLines w:val="0"/>
              <w:suppressLineNumbers w:val="0"/>
              <w:topLinePunct/>
              <w:spacing w:before="0" w:beforeAutospacing="0" w:after="0" w:afterAutospacing="0" w:line="440" w:lineRule="exact"/>
              <w:ind w:left="0" w:right="0" w:firstLine="0" w:firstLineChars="0"/>
              <w:rPr>
                <w:rFonts w:hint="default" w:ascii="宋体" w:hAnsi="宋体" w:cs="宋体"/>
                <w:color w:val="auto"/>
                <w:szCs w:val="21"/>
                <w:highlight w:val="none"/>
              </w:rPr>
            </w:pPr>
            <w:r>
              <w:rPr>
                <w:rFonts w:hint="eastAsia" w:ascii="宋体" w:hAnsi="宋体" w:cs="宋体"/>
                <w:color w:val="auto"/>
                <w:szCs w:val="21"/>
                <w:highlight w:val="none"/>
              </w:rPr>
              <w:t>附《登记证书》或《营业执照》（副本）复印件</w:t>
            </w:r>
          </w:p>
        </w:tc>
      </w:tr>
    </w:tbl>
    <w:p w14:paraId="70A0022B">
      <w:pPr>
        <w:rPr>
          <w:rFonts w:hint="eastAsia"/>
          <w:color w:val="auto"/>
          <w:highlight w:val="none"/>
        </w:rPr>
      </w:pPr>
    </w:p>
    <w:p w14:paraId="638C5A00">
      <w:pPr>
        <w:rPr>
          <w:color w:val="auto"/>
          <w:highlight w:val="none"/>
        </w:rPr>
      </w:pPr>
    </w:p>
    <w:p w14:paraId="68C88C5E">
      <w:pPr>
        <w:rPr>
          <w:rFonts w:ascii="宋体" w:hAnsi="宋体" w:cs="宋体"/>
          <w:b/>
          <w:bCs/>
          <w:color w:val="auto"/>
          <w:sz w:val="30"/>
          <w:szCs w:val="30"/>
          <w:highlight w:val="none"/>
        </w:rPr>
      </w:pPr>
      <w:r>
        <w:rPr>
          <w:rFonts w:hint="eastAsia" w:ascii="宋体" w:hAnsi="宋体" w:cs="宋体"/>
          <w:b/>
          <w:bCs/>
          <w:color w:val="auto"/>
          <w:sz w:val="30"/>
          <w:szCs w:val="30"/>
          <w:highlight w:val="none"/>
        </w:rPr>
        <w:t>附件4      磋商文件规定的基本资格条件证明资料</w:t>
      </w:r>
    </w:p>
    <w:p w14:paraId="1271388B">
      <w:pPr>
        <w:rPr>
          <w:color w:val="auto"/>
          <w:highlight w:val="none"/>
        </w:rPr>
      </w:pPr>
    </w:p>
    <w:p w14:paraId="5C753286">
      <w:pPr>
        <w:rPr>
          <w:color w:val="auto"/>
          <w:highlight w:val="none"/>
        </w:rPr>
      </w:pPr>
    </w:p>
    <w:p w14:paraId="7F651A9A">
      <w:pPr>
        <w:rPr>
          <w:color w:val="auto"/>
          <w:sz w:val="30"/>
          <w:szCs w:val="30"/>
          <w:highlight w:val="none"/>
        </w:rPr>
      </w:pPr>
      <w:r>
        <w:rPr>
          <w:rFonts w:hint="eastAsia"/>
          <w:color w:val="auto"/>
          <w:szCs w:val="21"/>
          <w:highlight w:val="none"/>
        </w:rPr>
        <w:t>备注：</w:t>
      </w:r>
      <w:r>
        <w:rPr>
          <w:rFonts w:hint="eastAsia"/>
          <w:color w:val="auto"/>
          <w:highlight w:val="none"/>
        </w:rPr>
        <w:t>提供第二章磋商须知第3.1款供应商基本资格条件证明资料的复印件。</w:t>
      </w:r>
    </w:p>
    <w:p w14:paraId="0FBAE759">
      <w:pPr>
        <w:rPr>
          <w:color w:val="auto"/>
          <w:highlight w:val="none"/>
        </w:rPr>
      </w:pPr>
    </w:p>
    <w:p w14:paraId="6802E720">
      <w:pPr>
        <w:rPr>
          <w:color w:val="auto"/>
          <w:highlight w:val="none"/>
        </w:rPr>
      </w:pPr>
    </w:p>
    <w:p w14:paraId="3CB33A0B">
      <w:pPr>
        <w:rPr>
          <w:color w:val="auto"/>
          <w:highlight w:val="none"/>
        </w:rPr>
      </w:pPr>
    </w:p>
    <w:p w14:paraId="2346F4A5">
      <w:pPr>
        <w:rPr>
          <w:color w:val="auto"/>
          <w:highlight w:val="none"/>
        </w:rPr>
      </w:pPr>
    </w:p>
    <w:p w14:paraId="0B454930">
      <w:pPr>
        <w:rPr>
          <w:color w:val="auto"/>
          <w:highlight w:val="none"/>
        </w:rPr>
      </w:pPr>
    </w:p>
    <w:p w14:paraId="6A5FCFE5">
      <w:pPr>
        <w:rPr>
          <w:color w:val="auto"/>
          <w:highlight w:val="none"/>
        </w:rPr>
      </w:pPr>
    </w:p>
    <w:p w14:paraId="171A083C">
      <w:pPr>
        <w:rPr>
          <w:color w:val="auto"/>
          <w:highlight w:val="none"/>
        </w:rPr>
      </w:pPr>
    </w:p>
    <w:p w14:paraId="07F5C863">
      <w:pPr>
        <w:rPr>
          <w:color w:val="auto"/>
          <w:highlight w:val="none"/>
        </w:rPr>
      </w:pPr>
    </w:p>
    <w:p w14:paraId="27A64F65">
      <w:pPr>
        <w:ind w:firstLine="0" w:firstLineChars="0"/>
        <w:rPr>
          <w:color w:val="auto"/>
          <w:highlight w:val="none"/>
        </w:rPr>
      </w:pPr>
    </w:p>
    <w:p w14:paraId="39D8A7A2">
      <w:pPr>
        <w:rPr>
          <w:rFonts w:hint="eastAsia"/>
          <w:color w:val="auto"/>
          <w:highlight w:val="none"/>
        </w:rPr>
      </w:pPr>
      <w:r>
        <w:rPr>
          <w:rFonts w:hint="eastAsia"/>
          <w:color w:val="auto"/>
          <w:highlight w:val="none"/>
        </w:rPr>
        <w:br w:type="page"/>
      </w:r>
    </w:p>
    <w:p w14:paraId="4C33C9C9">
      <w:pPr>
        <w:widowControl w:val="0"/>
        <w:spacing w:after="240"/>
        <w:ind w:left="0" w:leftChars="0" w:firstLine="0" w:firstLineChars="0"/>
        <w:jc w:val="both"/>
        <w:rPr>
          <w:rFonts w:ascii="宋体" w:hAnsi="宋体" w:eastAsia="宋体" w:cs="Times New Roman"/>
          <w:b/>
          <w:bCs/>
          <w:color w:val="auto"/>
          <w:kern w:val="2"/>
          <w:sz w:val="30"/>
          <w:szCs w:val="30"/>
          <w:highlight w:val="none"/>
          <w:lang w:val="en-US" w:eastAsia="zh-CN" w:bidi="ar-SA"/>
        </w:rPr>
      </w:pPr>
      <w:r>
        <w:rPr>
          <w:rFonts w:hint="eastAsia" w:ascii="宋体" w:hAnsi="宋体" w:eastAsia="宋体" w:cs="宋体"/>
          <w:b/>
          <w:bCs/>
          <w:color w:val="auto"/>
          <w:kern w:val="2"/>
          <w:sz w:val="30"/>
          <w:szCs w:val="30"/>
          <w:highlight w:val="none"/>
          <w:lang w:val="en-US" w:eastAsia="zh-CN" w:bidi="ar-SA"/>
        </w:rPr>
        <w:t>附件</w:t>
      </w:r>
      <w:r>
        <w:rPr>
          <w:rFonts w:hint="eastAsia" w:ascii="宋体" w:hAnsi="宋体" w:eastAsia="宋体" w:cs="Times New Roman"/>
          <w:b/>
          <w:bCs/>
          <w:color w:val="auto"/>
          <w:kern w:val="2"/>
          <w:sz w:val="30"/>
          <w:szCs w:val="30"/>
          <w:highlight w:val="none"/>
          <w:lang w:val="en-US" w:eastAsia="zh-CN" w:bidi="ar-SA"/>
        </w:rPr>
        <w:t>4-1</w:t>
      </w:r>
    </w:p>
    <w:p w14:paraId="32391FD2">
      <w:pPr>
        <w:pStyle w:val="39"/>
        <w:jc w:val="center"/>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供应商资格承诺函</w:t>
      </w:r>
    </w:p>
    <w:p w14:paraId="651806D3">
      <w:pPr>
        <w:pStyle w:val="39"/>
        <w:ind w:firstLine="720" w:firstLineChars="30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本公司独立承担民事责任、具有良好的商业信誉和健全的财务会计制度、依法缴纳税收和社会保障资金，在前三年的经营活动中无重大违法记录，未列入严重失信行为名单，符合采购供应商的基本资格要求。</w:t>
      </w:r>
    </w:p>
    <w:p w14:paraId="4F681256">
      <w:pPr>
        <w:pStyle w:val="39"/>
        <w:ind w:firstLine="48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  按照《政府采购促进中小企业发展管理办法》（ 财库〔2020〕46号），本公司企业规模为：大型□  中型□  小型□  微型□</w:t>
      </w:r>
    </w:p>
    <w:p w14:paraId="618BBD08">
      <w:pPr>
        <w:pStyle w:val="39"/>
        <w:ind w:firstLine="480"/>
        <w:rPr>
          <w:color w:val="auto"/>
          <w:highlight w:val="none"/>
          <w:shd w:val="clear" w:color="auto" w:fill="FFFFFF"/>
        </w:rPr>
      </w:pPr>
    </w:p>
    <w:p w14:paraId="7CAE35B7">
      <w:pPr>
        <w:pStyle w:val="39"/>
        <w:ind w:firstLine="5520" w:firstLineChars="2300"/>
        <w:rPr>
          <w:color w:val="auto"/>
          <w:highlight w:val="none"/>
        </w:rPr>
      </w:pPr>
      <w:r>
        <w:rPr>
          <w:rFonts w:hint="eastAsia"/>
          <w:color w:val="auto"/>
          <w:highlight w:val="none"/>
          <w:shd w:val="clear" w:color="auto" w:fill="FFFFFF"/>
        </w:rPr>
        <w:t>公司（单位）名称（盖章）</w:t>
      </w:r>
    </w:p>
    <w:p w14:paraId="234C3C26">
      <w:pPr>
        <w:pStyle w:val="39"/>
        <w:ind w:firstLine="6720" w:firstLineChars="2800"/>
        <w:rPr>
          <w:color w:val="auto"/>
          <w:highlight w:val="none"/>
        </w:rPr>
      </w:pPr>
      <w:r>
        <w:rPr>
          <w:rFonts w:hint="eastAsia"/>
          <w:color w:val="auto"/>
          <w:highlight w:val="none"/>
          <w:shd w:val="clear" w:color="auto" w:fill="FFFFFF"/>
        </w:rPr>
        <w:t>年  月  日</w:t>
      </w:r>
    </w:p>
    <w:tbl>
      <w:tblPr>
        <w:tblStyle w:val="43"/>
        <w:tblW w:w="877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92"/>
        <w:gridCol w:w="317"/>
        <w:gridCol w:w="1034"/>
        <w:gridCol w:w="1533"/>
        <w:gridCol w:w="1374"/>
        <w:gridCol w:w="1326"/>
        <w:gridCol w:w="1902"/>
      </w:tblGrid>
      <w:tr w14:paraId="761782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2" w:hRule="atLeast"/>
          <w:jc w:val="center"/>
        </w:trPr>
        <w:tc>
          <w:tcPr>
            <w:tcW w:w="1609" w:type="dxa"/>
            <w:gridSpan w:val="2"/>
            <w:tcBorders>
              <w:top w:val="double" w:color="auto" w:sz="4" w:space="0"/>
              <w:left w:val="double" w:color="auto" w:sz="4" w:space="0"/>
              <w:bottom w:val="single" w:color="auto" w:sz="6" w:space="0"/>
              <w:right w:val="single" w:color="auto" w:sz="6" w:space="0"/>
            </w:tcBorders>
            <w:noWrap/>
            <w:vAlign w:val="center"/>
          </w:tcPr>
          <w:p w14:paraId="432EB5FA">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供应商名称</w:t>
            </w:r>
          </w:p>
        </w:tc>
        <w:tc>
          <w:tcPr>
            <w:tcW w:w="3941" w:type="dxa"/>
            <w:gridSpan w:val="3"/>
            <w:tcBorders>
              <w:top w:val="double" w:color="auto" w:sz="4" w:space="0"/>
              <w:left w:val="single" w:color="auto" w:sz="6" w:space="0"/>
              <w:bottom w:val="single" w:color="auto" w:sz="6" w:space="0"/>
              <w:right w:val="single" w:color="auto" w:sz="6" w:space="0"/>
            </w:tcBorders>
            <w:noWrap/>
            <w:vAlign w:val="center"/>
          </w:tcPr>
          <w:p w14:paraId="423C0C39">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c>
          <w:tcPr>
            <w:tcW w:w="1326" w:type="dxa"/>
            <w:tcBorders>
              <w:top w:val="double" w:color="auto" w:sz="4" w:space="0"/>
              <w:left w:val="single" w:color="auto" w:sz="6" w:space="0"/>
              <w:bottom w:val="single" w:color="auto" w:sz="6" w:space="0"/>
              <w:right w:val="single" w:color="auto" w:sz="6" w:space="0"/>
            </w:tcBorders>
            <w:noWrap/>
            <w:vAlign w:val="center"/>
          </w:tcPr>
          <w:p w14:paraId="7A3724F4">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机构代码</w:t>
            </w:r>
          </w:p>
        </w:tc>
        <w:tc>
          <w:tcPr>
            <w:tcW w:w="1902" w:type="dxa"/>
            <w:tcBorders>
              <w:top w:val="double" w:color="auto" w:sz="4" w:space="0"/>
              <w:left w:val="single" w:color="auto" w:sz="6" w:space="0"/>
              <w:bottom w:val="single" w:color="auto" w:sz="6" w:space="0"/>
              <w:right w:val="double" w:color="auto" w:sz="4" w:space="0"/>
            </w:tcBorders>
            <w:noWrap/>
            <w:vAlign w:val="center"/>
          </w:tcPr>
          <w:p w14:paraId="295D7E01">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r>
      <w:tr w14:paraId="07589D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4" w:hRule="atLeast"/>
          <w:jc w:val="center"/>
        </w:trPr>
        <w:tc>
          <w:tcPr>
            <w:tcW w:w="1609" w:type="dxa"/>
            <w:gridSpan w:val="2"/>
            <w:tcBorders>
              <w:top w:val="single" w:color="auto" w:sz="6" w:space="0"/>
              <w:left w:val="double" w:color="auto" w:sz="4" w:space="0"/>
              <w:bottom w:val="single" w:color="auto" w:sz="6" w:space="0"/>
              <w:right w:val="single" w:color="auto" w:sz="6" w:space="0"/>
            </w:tcBorders>
            <w:noWrap/>
            <w:vAlign w:val="center"/>
          </w:tcPr>
          <w:p w14:paraId="64384C8E">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注册登记机构</w:t>
            </w:r>
          </w:p>
        </w:tc>
        <w:tc>
          <w:tcPr>
            <w:tcW w:w="3941" w:type="dxa"/>
            <w:gridSpan w:val="3"/>
            <w:tcBorders>
              <w:top w:val="single" w:color="auto" w:sz="6" w:space="0"/>
              <w:left w:val="single" w:color="auto" w:sz="6" w:space="0"/>
              <w:bottom w:val="single" w:color="auto" w:sz="6" w:space="0"/>
              <w:right w:val="single" w:color="auto" w:sz="6" w:space="0"/>
            </w:tcBorders>
            <w:noWrap/>
            <w:vAlign w:val="center"/>
          </w:tcPr>
          <w:p w14:paraId="0B4CBE76">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c>
          <w:tcPr>
            <w:tcW w:w="1326" w:type="dxa"/>
            <w:tcBorders>
              <w:top w:val="single" w:color="auto" w:sz="6" w:space="0"/>
              <w:left w:val="single" w:color="auto" w:sz="6" w:space="0"/>
              <w:bottom w:val="single" w:color="auto" w:sz="6" w:space="0"/>
              <w:right w:val="single" w:color="auto" w:sz="6" w:space="0"/>
            </w:tcBorders>
            <w:noWrap/>
            <w:vAlign w:val="center"/>
          </w:tcPr>
          <w:p w14:paraId="73ABF854">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登记日期</w:t>
            </w:r>
          </w:p>
        </w:tc>
        <w:tc>
          <w:tcPr>
            <w:tcW w:w="1902" w:type="dxa"/>
            <w:tcBorders>
              <w:top w:val="single" w:color="auto" w:sz="6" w:space="0"/>
              <w:left w:val="single" w:color="auto" w:sz="6" w:space="0"/>
              <w:bottom w:val="single" w:color="auto" w:sz="6" w:space="0"/>
              <w:right w:val="double" w:color="auto" w:sz="4" w:space="0"/>
            </w:tcBorders>
            <w:noWrap/>
            <w:vAlign w:val="center"/>
          </w:tcPr>
          <w:p w14:paraId="407EB83F">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r>
      <w:tr w14:paraId="1E2969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1609" w:type="dxa"/>
            <w:gridSpan w:val="2"/>
            <w:tcBorders>
              <w:top w:val="single" w:color="auto" w:sz="6" w:space="0"/>
              <w:left w:val="double" w:color="auto" w:sz="4" w:space="0"/>
              <w:bottom w:val="single" w:color="auto" w:sz="6" w:space="0"/>
              <w:right w:val="single" w:color="auto" w:sz="6" w:space="0"/>
            </w:tcBorders>
            <w:noWrap/>
            <w:vAlign w:val="center"/>
          </w:tcPr>
          <w:p w14:paraId="0D81D916">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有效期</w:t>
            </w:r>
          </w:p>
        </w:tc>
        <w:tc>
          <w:tcPr>
            <w:tcW w:w="3941" w:type="dxa"/>
            <w:gridSpan w:val="3"/>
            <w:tcBorders>
              <w:top w:val="single" w:color="auto" w:sz="6" w:space="0"/>
              <w:left w:val="single" w:color="auto" w:sz="6" w:space="0"/>
              <w:bottom w:val="single" w:color="auto" w:sz="6" w:space="0"/>
              <w:right w:val="single" w:color="auto" w:sz="6" w:space="0"/>
            </w:tcBorders>
            <w:noWrap/>
            <w:vAlign w:val="center"/>
          </w:tcPr>
          <w:p w14:paraId="05142F1E">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c>
          <w:tcPr>
            <w:tcW w:w="1326" w:type="dxa"/>
            <w:tcBorders>
              <w:top w:val="single" w:color="auto" w:sz="6" w:space="0"/>
              <w:left w:val="single" w:color="auto" w:sz="6" w:space="0"/>
              <w:bottom w:val="single" w:color="auto" w:sz="6" w:space="0"/>
              <w:right w:val="single" w:color="auto" w:sz="6" w:space="0"/>
            </w:tcBorders>
            <w:noWrap/>
            <w:vAlign w:val="center"/>
          </w:tcPr>
          <w:p w14:paraId="220AC1E5">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注册资本</w:t>
            </w:r>
          </w:p>
        </w:tc>
        <w:tc>
          <w:tcPr>
            <w:tcW w:w="1902" w:type="dxa"/>
            <w:tcBorders>
              <w:top w:val="single" w:color="auto" w:sz="6" w:space="0"/>
              <w:left w:val="single" w:color="auto" w:sz="6" w:space="0"/>
              <w:bottom w:val="single" w:color="auto" w:sz="6" w:space="0"/>
              <w:right w:val="double" w:color="auto" w:sz="4" w:space="0"/>
            </w:tcBorders>
            <w:noWrap/>
            <w:vAlign w:val="center"/>
          </w:tcPr>
          <w:p w14:paraId="11EE7945">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r>
      <w:tr w14:paraId="5610BE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1609" w:type="dxa"/>
            <w:gridSpan w:val="2"/>
            <w:tcBorders>
              <w:top w:val="single" w:color="auto" w:sz="6" w:space="0"/>
              <w:left w:val="double" w:color="auto" w:sz="4" w:space="0"/>
              <w:bottom w:val="single" w:color="auto" w:sz="6" w:space="0"/>
              <w:right w:val="single" w:color="auto" w:sz="6" w:space="0"/>
            </w:tcBorders>
            <w:noWrap/>
            <w:vAlign w:val="center"/>
          </w:tcPr>
          <w:p w14:paraId="790F88D3">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地址</w:t>
            </w:r>
          </w:p>
        </w:tc>
        <w:tc>
          <w:tcPr>
            <w:tcW w:w="7169" w:type="dxa"/>
            <w:gridSpan w:val="5"/>
            <w:tcBorders>
              <w:top w:val="single" w:color="auto" w:sz="6" w:space="0"/>
              <w:left w:val="single" w:color="auto" w:sz="6" w:space="0"/>
              <w:bottom w:val="single" w:color="auto" w:sz="6" w:space="0"/>
              <w:right w:val="double" w:color="auto" w:sz="4" w:space="0"/>
            </w:tcBorders>
            <w:noWrap/>
            <w:vAlign w:val="center"/>
          </w:tcPr>
          <w:p w14:paraId="02054D33">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r>
      <w:tr w14:paraId="7D911B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2" w:hRule="atLeast"/>
          <w:jc w:val="center"/>
        </w:trPr>
        <w:tc>
          <w:tcPr>
            <w:tcW w:w="1609" w:type="dxa"/>
            <w:gridSpan w:val="2"/>
            <w:tcBorders>
              <w:top w:val="single" w:color="auto" w:sz="6" w:space="0"/>
              <w:left w:val="double" w:color="auto" w:sz="4" w:space="0"/>
              <w:bottom w:val="single" w:color="auto" w:sz="6" w:space="0"/>
              <w:right w:val="single" w:color="auto" w:sz="6" w:space="0"/>
            </w:tcBorders>
            <w:noWrap/>
            <w:vAlign w:val="center"/>
          </w:tcPr>
          <w:p w14:paraId="1A2BEA94">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经济行业</w:t>
            </w:r>
          </w:p>
        </w:tc>
        <w:tc>
          <w:tcPr>
            <w:tcW w:w="3941" w:type="dxa"/>
            <w:gridSpan w:val="3"/>
            <w:tcBorders>
              <w:top w:val="single" w:color="auto" w:sz="6" w:space="0"/>
              <w:left w:val="single" w:color="auto" w:sz="6" w:space="0"/>
              <w:bottom w:val="single" w:color="auto" w:sz="6" w:space="0"/>
              <w:right w:val="single" w:color="auto" w:sz="6" w:space="0"/>
            </w:tcBorders>
            <w:noWrap/>
            <w:vAlign w:val="center"/>
          </w:tcPr>
          <w:p w14:paraId="7210B58D">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c>
          <w:tcPr>
            <w:tcW w:w="1326" w:type="dxa"/>
            <w:tcBorders>
              <w:top w:val="single" w:color="auto" w:sz="6" w:space="0"/>
              <w:left w:val="single" w:color="auto" w:sz="6" w:space="0"/>
              <w:bottom w:val="single" w:color="auto" w:sz="6" w:space="0"/>
              <w:right w:val="single" w:color="auto" w:sz="6" w:space="0"/>
            </w:tcBorders>
            <w:noWrap/>
            <w:vAlign w:val="center"/>
          </w:tcPr>
          <w:p w14:paraId="4CC25221">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经济性质</w:t>
            </w:r>
          </w:p>
        </w:tc>
        <w:tc>
          <w:tcPr>
            <w:tcW w:w="1902" w:type="dxa"/>
            <w:tcBorders>
              <w:top w:val="single" w:color="auto" w:sz="6" w:space="0"/>
              <w:left w:val="single" w:color="auto" w:sz="6" w:space="0"/>
              <w:bottom w:val="single" w:color="auto" w:sz="6" w:space="0"/>
              <w:right w:val="double" w:color="auto" w:sz="4" w:space="0"/>
            </w:tcBorders>
            <w:noWrap/>
            <w:vAlign w:val="center"/>
          </w:tcPr>
          <w:p w14:paraId="615DF074">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r>
      <w:tr w14:paraId="1EB932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jc w:val="center"/>
        </w:trPr>
        <w:tc>
          <w:tcPr>
            <w:tcW w:w="1292" w:type="dxa"/>
            <w:vMerge w:val="restart"/>
            <w:tcBorders>
              <w:top w:val="single" w:color="auto" w:sz="6" w:space="0"/>
              <w:left w:val="double" w:color="auto" w:sz="4" w:space="0"/>
              <w:right w:val="single" w:color="auto" w:sz="6" w:space="0"/>
            </w:tcBorders>
            <w:noWrap/>
            <w:vAlign w:val="center"/>
          </w:tcPr>
          <w:p w14:paraId="0E5545DA">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法定代表人(负责人)</w:t>
            </w:r>
          </w:p>
        </w:tc>
        <w:tc>
          <w:tcPr>
            <w:tcW w:w="1351" w:type="dxa"/>
            <w:gridSpan w:val="2"/>
            <w:tcBorders>
              <w:top w:val="single" w:color="auto" w:sz="6" w:space="0"/>
              <w:left w:val="single" w:color="auto" w:sz="6" w:space="0"/>
              <w:bottom w:val="single" w:color="auto" w:sz="6" w:space="0"/>
              <w:right w:val="single" w:color="auto" w:sz="6" w:space="0"/>
            </w:tcBorders>
            <w:noWrap/>
            <w:vAlign w:val="center"/>
          </w:tcPr>
          <w:p w14:paraId="1B6271B8">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姓名</w:t>
            </w:r>
          </w:p>
        </w:tc>
        <w:tc>
          <w:tcPr>
            <w:tcW w:w="1533" w:type="dxa"/>
            <w:tcBorders>
              <w:top w:val="single" w:color="auto" w:sz="6" w:space="0"/>
              <w:left w:val="single" w:color="auto" w:sz="6" w:space="0"/>
              <w:bottom w:val="single" w:color="auto" w:sz="6" w:space="0"/>
              <w:right w:val="single" w:color="auto" w:sz="6" w:space="0"/>
            </w:tcBorders>
            <w:noWrap/>
            <w:vAlign w:val="center"/>
          </w:tcPr>
          <w:p w14:paraId="6725267B">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c>
          <w:tcPr>
            <w:tcW w:w="1374" w:type="dxa"/>
            <w:vMerge w:val="restart"/>
            <w:tcBorders>
              <w:top w:val="single" w:color="auto" w:sz="6" w:space="0"/>
              <w:left w:val="single" w:color="auto" w:sz="6" w:space="0"/>
              <w:right w:val="single" w:color="auto" w:sz="6" w:space="0"/>
            </w:tcBorders>
            <w:noWrap/>
            <w:vAlign w:val="center"/>
          </w:tcPr>
          <w:p w14:paraId="5A62770A">
            <w:pPr>
              <w:pStyle w:val="271"/>
              <w:keepNext w:val="0"/>
              <w:keepLines w:val="0"/>
              <w:widowControl/>
              <w:suppressLineNumbers w:val="0"/>
              <w:spacing w:before="0" w:beforeAutospacing="0" w:after="0" w:afterAutospacing="0"/>
              <w:ind w:left="0" w:right="0"/>
              <w:jc w:val="left"/>
              <w:rPr>
                <w:rFonts w:hint="default" w:ascii="宋体" w:hAnsi="宋体" w:cs="仿宋_GB2312"/>
                <w:color w:val="auto"/>
                <w:sz w:val="21"/>
                <w:highlight w:val="none"/>
              </w:rPr>
            </w:pPr>
            <w:r>
              <w:rPr>
                <w:rFonts w:hint="eastAsia" w:ascii="宋体" w:hAnsi="宋体" w:cs="仿宋_GB2312"/>
                <w:color w:val="auto"/>
                <w:sz w:val="21"/>
                <w:highlight w:val="none"/>
              </w:rPr>
              <w:t>授权代表人</w:t>
            </w:r>
          </w:p>
        </w:tc>
        <w:tc>
          <w:tcPr>
            <w:tcW w:w="1326" w:type="dxa"/>
            <w:tcBorders>
              <w:top w:val="single" w:color="auto" w:sz="6" w:space="0"/>
              <w:left w:val="single" w:color="auto" w:sz="6" w:space="0"/>
              <w:bottom w:val="single" w:color="auto" w:sz="6" w:space="0"/>
              <w:right w:val="single" w:color="auto" w:sz="4" w:space="0"/>
            </w:tcBorders>
            <w:noWrap/>
            <w:vAlign w:val="center"/>
          </w:tcPr>
          <w:p w14:paraId="046453D3">
            <w:pPr>
              <w:pStyle w:val="271"/>
              <w:keepNext w:val="0"/>
              <w:keepLines w:val="0"/>
              <w:suppressLineNumbers w:val="0"/>
              <w:topLinePunct/>
              <w:snapToGrid w:val="0"/>
              <w:spacing w:before="0" w:beforeAutospacing="0" w:after="0" w:afterAutospacing="0"/>
              <w:ind w:left="0" w:right="0" w:firstLine="105" w:firstLineChars="50"/>
              <w:jc w:val="center"/>
              <w:rPr>
                <w:rFonts w:hint="default" w:ascii="宋体" w:hAnsi="宋体" w:cs="仿宋_GB2312"/>
                <w:color w:val="auto"/>
                <w:sz w:val="21"/>
                <w:highlight w:val="none"/>
              </w:rPr>
            </w:pPr>
            <w:r>
              <w:rPr>
                <w:rFonts w:hint="eastAsia" w:ascii="宋体" w:hAnsi="宋体" w:cs="仿宋_GB2312"/>
                <w:color w:val="auto"/>
                <w:sz w:val="21"/>
                <w:highlight w:val="none"/>
              </w:rPr>
              <w:t>姓名</w:t>
            </w:r>
          </w:p>
        </w:tc>
        <w:tc>
          <w:tcPr>
            <w:tcW w:w="1902" w:type="dxa"/>
            <w:tcBorders>
              <w:top w:val="single" w:color="auto" w:sz="6" w:space="0"/>
              <w:left w:val="single" w:color="auto" w:sz="4" w:space="0"/>
              <w:bottom w:val="single" w:color="auto" w:sz="6" w:space="0"/>
              <w:right w:val="double" w:color="auto" w:sz="4" w:space="0"/>
            </w:tcBorders>
            <w:noWrap/>
            <w:vAlign w:val="center"/>
          </w:tcPr>
          <w:p w14:paraId="34A69E38">
            <w:pPr>
              <w:pStyle w:val="271"/>
              <w:keepNext w:val="0"/>
              <w:keepLines w:val="0"/>
              <w:suppressLineNumbers w:val="0"/>
              <w:topLinePunct/>
              <w:snapToGrid w:val="0"/>
              <w:spacing w:before="0" w:beforeAutospacing="0" w:after="0" w:afterAutospacing="0"/>
              <w:ind w:left="0" w:right="0" w:firstLine="105" w:firstLineChars="50"/>
              <w:jc w:val="center"/>
              <w:rPr>
                <w:rFonts w:hint="default" w:ascii="宋体" w:hAnsi="宋体" w:cs="仿宋_GB2312"/>
                <w:color w:val="auto"/>
                <w:sz w:val="21"/>
                <w:highlight w:val="none"/>
              </w:rPr>
            </w:pPr>
          </w:p>
        </w:tc>
      </w:tr>
      <w:tr w14:paraId="3473FF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jc w:val="center"/>
        </w:trPr>
        <w:tc>
          <w:tcPr>
            <w:tcW w:w="1292" w:type="dxa"/>
            <w:vMerge w:val="continue"/>
            <w:tcBorders>
              <w:left w:val="double" w:color="auto" w:sz="4" w:space="0"/>
              <w:right w:val="single" w:color="auto" w:sz="6" w:space="0"/>
            </w:tcBorders>
            <w:noWrap/>
            <w:vAlign w:val="center"/>
          </w:tcPr>
          <w:p w14:paraId="5ECC4242">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c>
          <w:tcPr>
            <w:tcW w:w="1351" w:type="dxa"/>
            <w:gridSpan w:val="2"/>
            <w:tcBorders>
              <w:top w:val="single" w:color="auto" w:sz="6" w:space="0"/>
              <w:left w:val="single" w:color="auto" w:sz="6" w:space="0"/>
              <w:bottom w:val="single" w:color="auto" w:sz="6" w:space="0"/>
              <w:right w:val="single" w:color="auto" w:sz="6" w:space="0"/>
            </w:tcBorders>
            <w:noWrap/>
            <w:vAlign w:val="center"/>
          </w:tcPr>
          <w:p w14:paraId="0384E93D">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签字或盖章</w:t>
            </w:r>
          </w:p>
        </w:tc>
        <w:tc>
          <w:tcPr>
            <w:tcW w:w="1533" w:type="dxa"/>
            <w:tcBorders>
              <w:top w:val="single" w:color="auto" w:sz="6" w:space="0"/>
              <w:left w:val="single" w:color="auto" w:sz="6" w:space="0"/>
              <w:bottom w:val="single" w:color="auto" w:sz="6" w:space="0"/>
              <w:right w:val="single" w:color="auto" w:sz="6" w:space="0"/>
            </w:tcBorders>
            <w:noWrap/>
            <w:vAlign w:val="center"/>
          </w:tcPr>
          <w:p w14:paraId="5A7572FC">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c>
          <w:tcPr>
            <w:tcW w:w="1374" w:type="dxa"/>
            <w:vMerge w:val="continue"/>
            <w:tcBorders>
              <w:left w:val="single" w:color="auto" w:sz="6" w:space="0"/>
              <w:right w:val="single" w:color="auto" w:sz="6" w:space="0"/>
            </w:tcBorders>
            <w:noWrap/>
            <w:vAlign w:val="center"/>
          </w:tcPr>
          <w:p w14:paraId="1A5FCDF2">
            <w:pPr>
              <w:pStyle w:val="271"/>
              <w:keepNext w:val="0"/>
              <w:keepLines w:val="0"/>
              <w:suppressLineNumbers w:val="0"/>
              <w:topLinePunct/>
              <w:snapToGrid w:val="0"/>
              <w:spacing w:before="0" w:beforeAutospacing="0" w:after="0" w:afterAutospacing="0"/>
              <w:ind w:left="0" w:right="0" w:firstLine="105" w:firstLineChars="50"/>
              <w:jc w:val="center"/>
              <w:rPr>
                <w:rFonts w:hint="default" w:ascii="宋体" w:hAnsi="宋体" w:cs="仿宋_GB2312"/>
                <w:color w:val="auto"/>
                <w:sz w:val="21"/>
                <w:highlight w:val="none"/>
              </w:rPr>
            </w:pPr>
          </w:p>
        </w:tc>
        <w:tc>
          <w:tcPr>
            <w:tcW w:w="1326" w:type="dxa"/>
            <w:tcBorders>
              <w:top w:val="single" w:color="auto" w:sz="6" w:space="0"/>
              <w:left w:val="single" w:color="auto" w:sz="6" w:space="0"/>
              <w:bottom w:val="single" w:color="auto" w:sz="6" w:space="0"/>
              <w:right w:val="single" w:color="auto" w:sz="4" w:space="0"/>
            </w:tcBorders>
            <w:noWrap/>
            <w:vAlign w:val="center"/>
          </w:tcPr>
          <w:p w14:paraId="7CB4C36B">
            <w:pPr>
              <w:pStyle w:val="271"/>
              <w:keepNext w:val="0"/>
              <w:keepLines w:val="0"/>
              <w:suppressLineNumbers w:val="0"/>
              <w:topLinePunct/>
              <w:snapToGrid w:val="0"/>
              <w:spacing w:before="0" w:beforeAutospacing="0" w:after="0" w:afterAutospacing="0"/>
              <w:ind w:left="0" w:right="0" w:firstLine="105" w:firstLineChars="50"/>
              <w:jc w:val="center"/>
              <w:rPr>
                <w:rFonts w:hint="default" w:ascii="宋体" w:hAnsi="宋体" w:cs="仿宋_GB2312"/>
                <w:color w:val="auto"/>
                <w:sz w:val="21"/>
                <w:highlight w:val="none"/>
              </w:rPr>
            </w:pPr>
            <w:r>
              <w:rPr>
                <w:rFonts w:hint="eastAsia" w:ascii="宋体" w:hAnsi="宋体" w:cs="仿宋_GB2312"/>
                <w:color w:val="auto"/>
                <w:sz w:val="21"/>
                <w:highlight w:val="none"/>
              </w:rPr>
              <w:t>签字</w:t>
            </w:r>
          </w:p>
        </w:tc>
        <w:tc>
          <w:tcPr>
            <w:tcW w:w="1902" w:type="dxa"/>
            <w:tcBorders>
              <w:top w:val="single" w:color="auto" w:sz="6" w:space="0"/>
              <w:left w:val="single" w:color="auto" w:sz="4" w:space="0"/>
              <w:bottom w:val="single" w:color="auto" w:sz="6" w:space="0"/>
              <w:right w:val="double" w:color="auto" w:sz="4" w:space="0"/>
            </w:tcBorders>
            <w:noWrap/>
            <w:vAlign w:val="center"/>
          </w:tcPr>
          <w:p w14:paraId="6D7846A4">
            <w:pPr>
              <w:pStyle w:val="271"/>
              <w:keepNext w:val="0"/>
              <w:keepLines w:val="0"/>
              <w:suppressLineNumbers w:val="0"/>
              <w:topLinePunct/>
              <w:snapToGrid w:val="0"/>
              <w:spacing w:before="0" w:beforeAutospacing="0" w:after="0" w:afterAutospacing="0"/>
              <w:ind w:left="0" w:right="0" w:firstLine="105" w:firstLineChars="50"/>
              <w:jc w:val="center"/>
              <w:rPr>
                <w:rFonts w:hint="default" w:ascii="宋体" w:hAnsi="宋体" w:cs="仿宋_GB2312"/>
                <w:color w:val="auto"/>
                <w:sz w:val="21"/>
                <w:highlight w:val="none"/>
              </w:rPr>
            </w:pPr>
          </w:p>
        </w:tc>
      </w:tr>
      <w:tr w14:paraId="10DB66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jc w:val="center"/>
        </w:trPr>
        <w:tc>
          <w:tcPr>
            <w:tcW w:w="1292" w:type="dxa"/>
            <w:vMerge w:val="continue"/>
            <w:tcBorders>
              <w:left w:val="double" w:color="auto" w:sz="4" w:space="0"/>
              <w:right w:val="single" w:color="auto" w:sz="6" w:space="0"/>
            </w:tcBorders>
            <w:noWrap/>
            <w:vAlign w:val="center"/>
          </w:tcPr>
          <w:p w14:paraId="0A28E61F">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c>
          <w:tcPr>
            <w:tcW w:w="1351" w:type="dxa"/>
            <w:gridSpan w:val="2"/>
            <w:tcBorders>
              <w:top w:val="single" w:color="auto" w:sz="6" w:space="0"/>
              <w:left w:val="single" w:color="auto" w:sz="6" w:space="0"/>
              <w:bottom w:val="single" w:color="auto" w:sz="6" w:space="0"/>
              <w:right w:val="single" w:color="auto" w:sz="6" w:space="0"/>
            </w:tcBorders>
            <w:noWrap/>
            <w:vAlign w:val="center"/>
          </w:tcPr>
          <w:p w14:paraId="6AB4BC3A">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身份证号</w:t>
            </w:r>
          </w:p>
        </w:tc>
        <w:tc>
          <w:tcPr>
            <w:tcW w:w="1533" w:type="dxa"/>
            <w:tcBorders>
              <w:top w:val="single" w:color="auto" w:sz="6" w:space="0"/>
              <w:left w:val="single" w:color="auto" w:sz="6" w:space="0"/>
              <w:bottom w:val="single" w:color="auto" w:sz="6" w:space="0"/>
              <w:right w:val="single" w:color="auto" w:sz="6" w:space="0"/>
            </w:tcBorders>
            <w:noWrap/>
            <w:vAlign w:val="center"/>
          </w:tcPr>
          <w:p w14:paraId="1901B0D7">
            <w:pPr>
              <w:pStyle w:val="271"/>
              <w:keepNext w:val="0"/>
              <w:keepLines w:val="0"/>
              <w:suppressLineNumbers w:val="0"/>
              <w:topLinePunct/>
              <w:snapToGrid w:val="0"/>
              <w:spacing w:before="0" w:beforeAutospacing="0" w:after="0" w:afterAutospacing="0"/>
              <w:ind w:left="0" w:right="0" w:firstLine="105" w:firstLineChars="50"/>
              <w:jc w:val="center"/>
              <w:rPr>
                <w:rFonts w:hint="default" w:ascii="宋体" w:hAnsi="宋体" w:cs="仿宋_GB2312"/>
                <w:color w:val="auto"/>
                <w:sz w:val="21"/>
                <w:highlight w:val="none"/>
              </w:rPr>
            </w:pPr>
          </w:p>
        </w:tc>
        <w:tc>
          <w:tcPr>
            <w:tcW w:w="1374" w:type="dxa"/>
            <w:vMerge w:val="continue"/>
            <w:tcBorders>
              <w:left w:val="single" w:color="auto" w:sz="6" w:space="0"/>
              <w:right w:val="single" w:color="auto" w:sz="6" w:space="0"/>
            </w:tcBorders>
            <w:noWrap/>
            <w:vAlign w:val="center"/>
          </w:tcPr>
          <w:p w14:paraId="6AC47D48">
            <w:pPr>
              <w:pStyle w:val="271"/>
              <w:keepNext w:val="0"/>
              <w:keepLines w:val="0"/>
              <w:suppressLineNumbers w:val="0"/>
              <w:topLinePunct/>
              <w:snapToGrid w:val="0"/>
              <w:spacing w:before="0" w:beforeAutospacing="0" w:after="0" w:afterAutospacing="0"/>
              <w:ind w:left="0" w:right="0" w:firstLine="105" w:firstLineChars="50"/>
              <w:jc w:val="center"/>
              <w:rPr>
                <w:rFonts w:hint="default" w:ascii="宋体" w:hAnsi="宋体" w:cs="仿宋_GB2312"/>
                <w:color w:val="auto"/>
                <w:sz w:val="21"/>
                <w:highlight w:val="none"/>
              </w:rPr>
            </w:pPr>
          </w:p>
        </w:tc>
        <w:tc>
          <w:tcPr>
            <w:tcW w:w="1326" w:type="dxa"/>
            <w:tcBorders>
              <w:top w:val="single" w:color="auto" w:sz="6" w:space="0"/>
              <w:left w:val="single" w:color="auto" w:sz="6" w:space="0"/>
              <w:bottom w:val="single" w:color="auto" w:sz="6" w:space="0"/>
              <w:right w:val="single" w:color="auto" w:sz="4" w:space="0"/>
            </w:tcBorders>
            <w:noWrap/>
            <w:vAlign w:val="center"/>
          </w:tcPr>
          <w:p w14:paraId="6590A53B">
            <w:pPr>
              <w:pStyle w:val="271"/>
              <w:keepNext w:val="0"/>
              <w:keepLines w:val="0"/>
              <w:suppressLineNumbers w:val="0"/>
              <w:topLinePunct/>
              <w:snapToGrid w:val="0"/>
              <w:spacing w:before="0" w:beforeAutospacing="0" w:after="0" w:afterAutospacing="0"/>
              <w:ind w:left="0" w:right="0" w:firstLine="105" w:firstLineChars="50"/>
              <w:jc w:val="center"/>
              <w:rPr>
                <w:rFonts w:hint="default" w:ascii="宋体" w:hAnsi="宋体" w:cs="仿宋_GB2312"/>
                <w:color w:val="auto"/>
                <w:sz w:val="21"/>
                <w:highlight w:val="none"/>
              </w:rPr>
            </w:pPr>
            <w:r>
              <w:rPr>
                <w:rFonts w:hint="eastAsia" w:ascii="宋体" w:hAnsi="宋体" w:cs="仿宋_GB2312"/>
                <w:color w:val="auto"/>
                <w:sz w:val="21"/>
                <w:highlight w:val="none"/>
              </w:rPr>
              <w:t>身份证号</w:t>
            </w:r>
          </w:p>
        </w:tc>
        <w:tc>
          <w:tcPr>
            <w:tcW w:w="1902" w:type="dxa"/>
            <w:tcBorders>
              <w:top w:val="single" w:color="auto" w:sz="6" w:space="0"/>
              <w:left w:val="single" w:color="auto" w:sz="4" w:space="0"/>
              <w:bottom w:val="single" w:color="auto" w:sz="6" w:space="0"/>
              <w:right w:val="double" w:color="auto" w:sz="4" w:space="0"/>
            </w:tcBorders>
            <w:noWrap/>
            <w:vAlign w:val="center"/>
          </w:tcPr>
          <w:p w14:paraId="3E415462">
            <w:pPr>
              <w:pStyle w:val="271"/>
              <w:keepNext w:val="0"/>
              <w:keepLines w:val="0"/>
              <w:suppressLineNumbers w:val="0"/>
              <w:topLinePunct/>
              <w:snapToGrid w:val="0"/>
              <w:spacing w:before="0" w:beforeAutospacing="0" w:after="0" w:afterAutospacing="0"/>
              <w:ind w:left="0" w:right="0" w:firstLine="105" w:firstLineChars="50"/>
              <w:jc w:val="center"/>
              <w:rPr>
                <w:rFonts w:hint="default" w:ascii="宋体" w:hAnsi="宋体" w:cs="仿宋_GB2312"/>
                <w:color w:val="auto"/>
                <w:sz w:val="21"/>
                <w:highlight w:val="none"/>
              </w:rPr>
            </w:pPr>
          </w:p>
        </w:tc>
      </w:tr>
      <w:tr w14:paraId="138F0E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292" w:type="dxa"/>
            <w:vMerge w:val="continue"/>
            <w:tcBorders>
              <w:left w:val="double" w:color="auto" w:sz="4" w:space="0"/>
              <w:bottom w:val="single" w:color="auto" w:sz="6" w:space="0"/>
              <w:right w:val="single" w:color="auto" w:sz="6" w:space="0"/>
            </w:tcBorders>
            <w:noWrap/>
            <w:vAlign w:val="center"/>
          </w:tcPr>
          <w:p w14:paraId="2E14D81C">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p>
        </w:tc>
        <w:tc>
          <w:tcPr>
            <w:tcW w:w="1351" w:type="dxa"/>
            <w:gridSpan w:val="2"/>
            <w:tcBorders>
              <w:top w:val="single" w:color="auto" w:sz="6" w:space="0"/>
              <w:left w:val="single" w:color="auto" w:sz="6" w:space="0"/>
              <w:bottom w:val="single" w:color="auto" w:sz="6" w:space="0"/>
              <w:right w:val="single" w:color="auto" w:sz="6" w:space="0"/>
            </w:tcBorders>
            <w:noWrap/>
            <w:vAlign w:val="center"/>
          </w:tcPr>
          <w:p w14:paraId="3D2494B2">
            <w:pPr>
              <w:pStyle w:val="271"/>
              <w:keepNext w:val="0"/>
              <w:keepLines w:val="0"/>
              <w:suppressLineNumbers w:val="0"/>
              <w:topLinePunct/>
              <w:snapToGrid w:val="0"/>
              <w:spacing w:before="0" w:beforeAutospacing="0" w:after="0" w:afterAutospacing="0"/>
              <w:ind w:left="0" w:right="0"/>
              <w:jc w:val="center"/>
              <w:rPr>
                <w:rFonts w:hint="default" w:ascii="宋体" w:hAnsi="宋体" w:cs="仿宋_GB2312"/>
                <w:color w:val="auto"/>
                <w:sz w:val="21"/>
                <w:highlight w:val="none"/>
              </w:rPr>
            </w:pPr>
            <w:r>
              <w:rPr>
                <w:rFonts w:hint="eastAsia" w:ascii="宋体" w:hAnsi="宋体" w:cs="仿宋_GB2312"/>
                <w:color w:val="auto"/>
                <w:sz w:val="21"/>
                <w:highlight w:val="none"/>
              </w:rPr>
              <w:t>手机号</w:t>
            </w:r>
          </w:p>
        </w:tc>
        <w:tc>
          <w:tcPr>
            <w:tcW w:w="1533" w:type="dxa"/>
            <w:tcBorders>
              <w:top w:val="single" w:color="auto" w:sz="6" w:space="0"/>
              <w:left w:val="single" w:color="auto" w:sz="6" w:space="0"/>
              <w:bottom w:val="single" w:color="auto" w:sz="6" w:space="0"/>
              <w:right w:val="single" w:color="auto" w:sz="6" w:space="0"/>
            </w:tcBorders>
            <w:noWrap/>
            <w:vAlign w:val="center"/>
          </w:tcPr>
          <w:p w14:paraId="32147D4D">
            <w:pPr>
              <w:pStyle w:val="271"/>
              <w:keepNext w:val="0"/>
              <w:keepLines w:val="0"/>
              <w:suppressLineNumbers w:val="0"/>
              <w:topLinePunct/>
              <w:snapToGrid w:val="0"/>
              <w:spacing w:before="0" w:beforeAutospacing="0" w:after="0" w:afterAutospacing="0"/>
              <w:ind w:left="0" w:right="0" w:firstLine="105" w:firstLineChars="50"/>
              <w:jc w:val="center"/>
              <w:rPr>
                <w:rFonts w:hint="default" w:ascii="宋体" w:hAnsi="宋体" w:cs="仿宋_GB2312"/>
                <w:color w:val="auto"/>
                <w:sz w:val="21"/>
                <w:highlight w:val="none"/>
              </w:rPr>
            </w:pPr>
          </w:p>
        </w:tc>
        <w:tc>
          <w:tcPr>
            <w:tcW w:w="1374" w:type="dxa"/>
            <w:vMerge w:val="continue"/>
            <w:tcBorders>
              <w:left w:val="single" w:color="auto" w:sz="6" w:space="0"/>
              <w:bottom w:val="single" w:color="auto" w:sz="6" w:space="0"/>
              <w:right w:val="single" w:color="auto" w:sz="6" w:space="0"/>
            </w:tcBorders>
            <w:noWrap/>
            <w:vAlign w:val="center"/>
          </w:tcPr>
          <w:p w14:paraId="32036955">
            <w:pPr>
              <w:pStyle w:val="271"/>
              <w:keepNext w:val="0"/>
              <w:keepLines w:val="0"/>
              <w:suppressLineNumbers w:val="0"/>
              <w:topLinePunct/>
              <w:snapToGrid w:val="0"/>
              <w:spacing w:before="0" w:beforeAutospacing="0" w:after="0" w:afterAutospacing="0"/>
              <w:ind w:left="0" w:right="0" w:firstLine="105" w:firstLineChars="50"/>
              <w:jc w:val="center"/>
              <w:rPr>
                <w:rFonts w:hint="default" w:ascii="宋体" w:hAnsi="宋体" w:cs="仿宋_GB2312"/>
                <w:color w:val="auto"/>
                <w:sz w:val="21"/>
                <w:highlight w:val="none"/>
              </w:rPr>
            </w:pPr>
          </w:p>
        </w:tc>
        <w:tc>
          <w:tcPr>
            <w:tcW w:w="1326" w:type="dxa"/>
            <w:tcBorders>
              <w:top w:val="single" w:color="auto" w:sz="6" w:space="0"/>
              <w:left w:val="single" w:color="auto" w:sz="6" w:space="0"/>
              <w:bottom w:val="single" w:color="auto" w:sz="6" w:space="0"/>
              <w:right w:val="single" w:color="auto" w:sz="4" w:space="0"/>
            </w:tcBorders>
            <w:noWrap/>
            <w:vAlign w:val="center"/>
          </w:tcPr>
          <w:p w14:paraId="67CCAAAB">
            <w:pPr>
              <w:pStyle w:val="271"/>
              <w:keepNext w:val="0"/>
              <w:keepLines w:val="0"/>
              <w:suppressLineNumbers w:val="0"/>
              <w:topLinePunct/>
              <w:snapToGrid w:val="0"/>
              <w:spacing w:before="0" w:beforeAutospacing="0" w:after="0" w:afterAutospacing="0"/>
              <w:ind w:left="0" w:right="0" w:firstLine="105" w:firstLineChars="50"/>
              <w:jc w:val="center"/>
              <w:rPr>
                <w:rFonts w:hint="default" w:ascii="宋体" w:hAnsi="宋体" w:cs="仿宋_GB2312"/>
                <w:color w:val="auto"/>
                <w:sz w:val="21"/>
                <w:highlight w:val="none"/>
              </w:rPr>
            </w:pPr>
            <w:r>
              <w:rPr>
                <w:rFonts w:hint="eastAsia" w:ascii="宋体" w:hAnsi="宋体" w:cs="仿宋_GB2312"/>
                <w:color w:val="auto"/>
                <w:sz w:val="21"/>
                <w:highlight w:val="none"/>
              </w:rPr>
              <w:t>手机号</w:t>
            </w:r>
          </w:p>
        </w:tc>
        <w:tc>
          <w:tcPr>
            <w:tcW w:w="1902" w:type="dxa"/>
            <w:tcBorders>
              <w:top w:val="single" w:color="auto" w:sz="6" w:space="0"/>
              <w:left w:val="single" w:color="auto" w:sz="4" w:space="0"/>
              <w:bottom w:val="single" w:color="auto" w:sz="6" w:space="0"/>
              <w:right w:val="double" w:color="auto" w:sz="4" w:space="0"/>
            </w:tcBorders>
            <w:noWrap/>
            <w:vAlign w:val="center"/>
          </w:tcPr>
          <w:p w14:paraId="7B99879A">
            <w:pPr>
              <w:pStyle w:val="271"/>
              <w:keepNext w:val="0"/>
              <w:keepLines w:val="0"/>
              <w:suppressLineNumbers w:val="0"/>
              <w:topLinePunct/>
              <w:snapToGrid w:val="0"/>
              <w:spacing w:before="0" w:beforeAutospacing="0" w:after="0" w:afterAutospacing="0"/>
              <w:ind w:left="0" w:right="0" w:firstLine="105" w:firstLineChars="50"/>
              <w:jc w:val="center"/>
              <w:rPr>
                <w:rFonts w:hint="default" w:ascii="宋体" w:hAnsi="宋体" w:cs="仿宋_GB2312"/>
                <w:color w:val="auto"/>
                <w:sz w:val="21"/>
                <w:highlight w:val="none"/>
              </w:rPr>
            </w:pPr>
          </w:p>
        </w:tc>
      </w:tr>
    </w:tbl>
    <w:p w14:paraId="7C42200E">
      <w:pPr>
        <w:rPr>
          <w:color w:val="auto"/>
          <w:highlight w:val="none"/>
        </w:rPr>
      </w:pPr>
    </w:p>
    <w:p w14:paraId="473B3716">
      <w:pPr>
        <w:rPr>
          <w:color w:val="auto"/>
          <w:highlight w:val="none"/>
        </w:rPr>
      </w:pPr>
    </w:p>
    <w:p w14:paraId="71D1933C">
      <w:pP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br w:type="page"/>
      </w:r>
    </w:p>
    <w:p w14:paraId="6F0DA9A9">
      <w:pPr>
        <w:rPr>
          <w:rFonts w:hint="eastAsia" w:ascii="宋体" w:hAnsi="宋体" w:cs="宋体"/>
          <w:b/>
          <w:bCs/>
          <w:color w:val="auto"/>
          <w:sz w:val="30"/>
          <w:szCs w:val="30"/>
          <w:highlight w:val="none"/>
        </w:rPr>
      </w:pPr>
    </w:p>
    <w:p w14:paraId="521E44C1">
      <w:pPr>
        <w:spacing w:line="480" w:lineRule="exact"/>
        <w:ind w:firstLine="301" w:firstLineChars="100"/>
        <w:rPr>
          <w:rFonts w:ascii="宋体" w:hAnsi="宋体" w:cs="宋体"/>
          <w:b/>
          <w:bCs/>
          <w:color w:val="auto"/>
          <w:sz w:val="30"/>
          <w:szCs w:val="30"/>
          <w:highlight w:val="none"/>
        </w:rPr>
      </w:pPr>
      <w:r>
        <w:rPr>
          <w:rFonts w:hint="eastAsia" w:ascii="宋体" w:hAnsi="宋体" w:cs="宋体"/>
          <w:b/>
          <w:bCs/>
          <w:color w:val="auto"/>
          <w:sz w:val="30"/>
          <w:szCs w:val="30"/>
          <w:highlight w:val="none"/>
        </w:rPr>
        <w:t>附件5  磋商文件规定的特定资格条件证明资料</w:t>
      </w:r>
    </w:p>
    <w:p w14:paraId="5C4693B0">
      <w:pPr>
        <w:spacing w:line="480" w:lineRule="exact"/>
        <w:ind w:firstLine="0" w:firstLineChars="0"/>
        <w:rPr>
          <w:rFonts w:ascii="宋体" w:hAnsi="宋体" w:cs="宋体"/>
          <w:color w:val="auto"/>
          <w:szCs w:val="21"/>
          <w:highlight w:val="none"/>
        </w:rPr>
      </w:pPr>
    </w:p>
    <w:p w14:paraId="5266CC1F">
      <w:pPr>
        <w:rPr>
          <w:color w:val="auto"/>
          <w:highlight w:val="none"/>
        </w:rPr>
      </w:pPr>
      <w:r>
        <w:rPr>
          <w:rFonts w:hint="eastAsia" w:ascii="宋体" w:hAnsi="宋体" w:cs="宋体"/>
          <w:color w:val="auto"/>
          <w:szCs w:val="21"/>
          <w:highlight w:val="none"/>
        </w:rPr>
        <w:t>备注：提供第二章 磋商须知第3.1款供应商特定资格条件证明资料的复印件。</w:t>
      </w:r>
    </w:p>
    <w:p w14:paraId="554C0D28">
      <w:pPr>
        <w:rPr>
          <w:color w:val="auto"/>
          <w:highlight w:val="none"/>
        </w:rPr>
      </w:pPr>
    </w:p>
    <w:p w14:paraId="7BF618E0">
      <w:pPr>
        <w:rPr>
          <w:color w:val="auto"/>
          <w:highlight w:val="none"/>
        </w:rPr>
      </w:pPr>
    </w:p>
    <w:p w14:paraId="6CE60845">
      <w:pPr>
        <w:rPr>
          <w:color w:val="auto"/>
          <w:highlight w:val="none"/>
        </w:rPr>
      </w:pPr>
    </w:p>
    <w:p w14:paraId="588D48A2">
      <w:pPr>
        <w:rPr>
          <w:color w:val="auto"/>
          <w:highlight w:val="none"/>
        </w:rPr>
      </w:pPr>
    </w:p>
    <w:p w14:paraId="4B7DB8CE">
      <w:pPr>
        <w:rPr>
          <w:color w:val="auto"/>
          <w:highlight w:val="none"/>
        </w:rPr>
      </w:pPr>
    </w:p>
    <w:p w14:paraId="56773418">
      <w:pPr>
        <w:rPr>
          <w:color w:val="auto"/>
          <w:highlight w:val="none"/>
        </w:rPr>
      </w:pPr>
    </w:p>
    <w:p w14:paraId="7970DF4F">
      <w:pPr>
        <w:rPr>
          <w:color w:val="auto"/>
          <w:highlight w:val="none"/>
        </w:rPr>
      </w:pPr>
    </w:p>
    <w:p w14:paraId="5AB1C787">
      <w:pPr>
        <w:rPr>
          <w:color w:val="auto"/>
          <w:highlight w:val="none"/>
        </w:rPr>
      </w:pPr>
    </w:p>
    <w:p w14:paraId="60250F9D">
      <w:pPr>
        <w:rPr>
          <w:color w:val="auto"/>
          <w:highlight w:val="none"/>
        </w:rPr>
      </w:pPr>
    </w:p>
    <w:p w14:paraId="622BE979">
      <w:pPr>
        <w:rPr>
          <w:color w:val="auto"/>
          <w:highlight w:val="none"/>
        </w:rPr>
      </w:pPr>
    </w:p>
    <w:p w14:paraId="33443DE7">
      <w:pPr>
        <w:rPr>
          <w:color w:val="auto"/>
          <w:highlight w:val="none"/>
        </w:rPr>
      </w:pPr>
    </w:p>
    <w:p w14:paraId="7BB207E2">
      <w:pPr>
        <w:rPr>
          <w:color w:val="auto"/>
          <w:highlight w:val="none"/>
        </w:rPr>
      </w:pPr>
    </w:p>
    <w:p w14:paraId="7075D88D">
      <w:pPr>
        <w:rPr>
          <w:color w:val="auto"/>
          <w:highlight w:val="none"/>
        </w:rPr>
      </w:pPr>
    </w:p>
    <w:p w14:paraId="098BF23E">
      <w:pPr>
        <w:rPr>
          <w:color w:val="auto"/>
          <w:highlight w:val="none"/>
        </w:rPr>
      </w:pPr>
    </w:p>
    <w:p w14:paraId="787CB2CB">
      <w:pPr>
        <w:rPr>
          <w:color w:val="auto"/>
          <w:highlight w:val="none"/>
        </w:rPr>
      </w:pPr>
    </w:p>
    <w:p w14:paraId="2DF750EC">
      <w:pPr>
        <w:rPr>
          <w:color w:val="auto"/>
          <w:highlight w:val="none"/>
        </w:rPr>
      </w:pPr>
    </w:p>
    <w:p w14:paraId="55D636F4">
      <w:pPr>
        <w:rPr>
          <w:color w:val="auto"/>
          <w:highlight w:val="none"/>
        </w:rPr>
      </w:pPr>
    </w:p>
    <w:p w14:paraId="4D4D3039">
      <w:pPr>
        <w:rPr>
          <w:color w:val="auto"/>
          <w:highlight w:val="none"/>
        </w:rPr>
      </w:pPr>
    </w:p>
    <w:p w14:paraId="76F4A224">
      <w:pPr>
        <w:rPr>
          <w:color w:val="auto"/>
          <w:highlight w:val="none"/>
        </w:rPr>
      </w:pPr>
    </w:p>
    <w:p w14:paraId="166A76F1">
      <w:pPr>
        <w:ind w:firstLine="0" w:firstLineChars="0"/>
        <w:rPr>
          <w:color w:val="auto"/>
          <w:highlight w:val="none"/>
        </w:rPr>
      </w:pPr>
    </w:p>
    <w:p w14:paraId="6E366A40">
      <w:pPr>
        <w:adjustRightInd w:val="0"/>
        <w:snapToGrid w:val="0"/>
        <w:spacing w:line="360" w:lineRule="auto"/>
        <w:ind w:firstLine="0" w:firstLineChars="0"/>
        <w:rPr>
          <w:rFonts w:ascii="宋体" w:hAnsi="宋体" w:cs="宋体"/>
          <w:b/>
          <w:color w:val="auto"/>
          <w:sz w:val="30"/>
          <w:szCs w:val="30"/>
          <w:highlight w:val="none"/>
        </w:rPr>
      </w:pPr>
      <w:r>
        <w:rPr>
          <w:rFonts w:hint="eastAsia"/>
          <w:color w:val="auto"/>
          <w:highlight w:val="none"/>
        </w:rPr>
        <w:br w:type="page"/>
      </w:r>
      <w:r>
        <w:rPr>
          <w:rFonts w:hint="eastAsia" w:ascii="宋体" w:hAnsi="宋体" w:cs="宋体"/>
          <w:b/>
          <w:color w:val="auto"/>
          <w:sz w:val="30"/>
          <w:szCs w:val="30"/>
          <w:highlight w:val="none"/>
        </w:rPr>
        <w:t xml:space="preserve">附件6           </w:t>
      </w:r>
      <w:r>
        <w:rPr>
          <w:rFonts w:hint="eastAsia" w:cs="宋体"/>
          <w:b/>
          <w:color w:val="auto"/>
          <w:sz w:val="30"/>
          <w:szCs w:val="30"/>
          <w:highlight w:val="none"/>
          <w:lang w:val="en-US" w:eastAsia="zh-CN"/>
        </w:rPr>
        <w:t xml:space="preserve">      </w:t>
      </w:r>
      <w:r>
        <w:rPr>
          <w:rFonts w:hint="eastAsia" w:ascii="宋体" w:hAnsi="宋体" w:cs="宋体"/>
          <w:b/>
          <w:color w:val="auto"/>
          <w:sz w:val="30"/>
          <w:szCs w:val="30"/>
          <w:highlight w:val="none"/>
        </w:rPr>
        <w:t>其</w:t>
      </w:r>
      <w:r>
        <w:rPr>
          <w:rFonts w:hint="eastAsia" w:ascii="宋体" w:hAnsi="宋体" w:cs="宋体"/>
          <w:b/>
          <w:color w:val="auto"/>
          <w:sz w:val="30"/>
          <w:szCs w:val="30"/>
          <w:highlight w:val="none"/>
          <w:lang w:val="en-US" w:eastAsia="zh-CN"/>
        </w:rPr>
        <w:t>他</w:t>
      </w:r>
      <w:r>
        <w:rPr>
          <w:rFonts w:hint="eastAsia" w:ascii="宋体" w:hAnsi="宋体" w:cs="宋体"/>
          <w:b/>
          <w:color w:val="auto"/>
          <w:sz w:val="30"/>
          <w:szCs w:val="30"/>
          <w:highlight w:val="none"/>
        </w:rPr>
        <w:t>说明</w:t>
      </w:r>
    </w:p>
    <w:p w14:paraId="30235795">
      <w:pPr>
        <w:rPr>
          <w:color w:val="auto"/>
          <w:highlight w:val="none"/>
        </w:rPr>
      </w:pPr>
    </w:p>
    <w:p w14:paraId="30194557">
      <w:pPr>
        <w:rPr>
          <w:color w:val="auto"/>
          <w:highlight w:val="none"/>
        </w:rPr>
      </w:pPr>
    </w:p>
    <w:p w14:paraId="227EFC9F">
      <w:pPr>
        <w:ind w:left="0" w:leftChars="0" w:firstLine="0" w:firstLineChars="0"/>
        <w:jc w:val="center"/>
        <w:rPr>
          <w:color w:val="auto"/>
          <w:highlight w:val="none"/>
        </w:rPr>
      </w:pPr>
      <w:r>
        <w:rPr>
          <w:rFonts w:hint="eastAsia"/>
          <w:color w:val="auto"/>
          <w:highlight w:val="none"/>
        </w:rPr>
        <w:t>提供磋商文件或评分标准需要提供的相关证明文件复印件</w:t>
      </w:r>
    </w:p>
    <w:p w14:paraId="72D63DA9">
      <w:pPr>
        <w:rPr>
          <w:color w:val="auto"/>
          <w:highlight w:val="none"/>
        </w:rPr>
      </w:pPr>
    </w:p>
    <w:p w14:paraId="0BD35B69">
      <w:pPr>
        <w:rPr>
          <w:color w:val="auto"/>
          <w:highlight w:val="none"/>
        </w:rPr>
      </w:pPr>
    </w:p>
    <w:p w14:paraId="11E52971">
      <w:pPr>
        <w:rPr>
          <w:color w:val="auto"/>
          <w:highlight w:val="none"/>
        </w:rPr>
      </w:pPr>
    </w:p>
    <w:p w14:paraId="4334AC77">
      <w:pPr>
        <w:rPr>
          <w:color w:val="auto"/>
          <w:highlight w:val="none"/>
        </w:rPr>
      </w:pPr>
    </w:p>
    <w:p w14:paraId="2665A831">
      <w:pPr>
        <w:rPr>
          <w:color w:val="auto"/>
          <w:highlight w:val="none"/>
        </w:rPr>
      </w:pPr>
    </w:p>
    <w:p w14:paraId="1E6EB23D">
      <w:pPr>
        <w:rPr>
          <w:color w:val="auto"/>
          <w:highlight w:val="none"/>
        </w:rPr>
      </w:pPr>
    </w:p>
    <w:p w14:paraId="73200DE8">
      <w:pPr>
        <w:rPr>
          <w:color w:val="auto"/>
          <w:highlight w:val="none"/>
        </w:rPr>
      </w:pPr>
    </w:p>
    <w:p w14:paraId="4714B047">
      <w:pPr>
        <w:rPr>
          <w:color w:val="auto"/>
          <w:highlight w:val="none"/>
        </w:rPr>
      </w:pPr>
    </w:p>
    <w:p w14:paraId="3BF06EDB">
      <w:pPr>
        <w:rPr>
          <w:color w:val="auto"/>
          <w:highlight w:val="none"/>
        </w:rPr>
      </w:pPr>
    </w:p>
    <w:p w14:paraId="6F463065">
      <w:pPr>
        <w:rPr>
          <w:color w:val="auto"/>
          <w:highlight w:val="none"/>
        </w:rPr>
      </w:pPr>
    </w:p>
    <w:p w14:paraId="3CF0B82A">
      <w:pPr>
        <w:rPr>
          <w:color w:val="auto"/>
          <w:highlight w:val="none"/>
        </w:rPr>
      </w:pPr>
    </w:p>
    <w:p w14:paraId="28DB6933">
      <w:pPr>
        <w:rPr>
          <w:color w:val="auto"/>
          <w:highlight w:val="none"/>
        </w:rPr>
      </w:pPr>
    </w:p>
    <w:p w14:paraId="36952D28">
      <w:pPr>
        <w:rPr>
          <w:color w:val="auto"/>
          <w:highlight w:val="none"/>
        </w:rPr>
      </w:pPr>
    </w:p>
    <w:p w14:paraId="3BE5B425">
      <w:pPr>
        <w:rPr>
          <w:color w:val="auto"/>
          <w:highlight w:val="none"/>
        </w:rPr>
      </w:pPr>
    </w:p>
    <w:p w14:paraId="0FD5C763">
      <w:pPr>
        <w:rPr>
          <w:color w:val="auto"/>
          <w:highlight w:val="none"/>
        </w:rPr>
      </w:pPr>
    </w:p>
    <w:p w14:paraId="61400B4A">
      <w:pPr>
        <w:rPr>
          <w:color w:val="auto"/>
          <w:highlight w:val="none"/>
        </w:rPr>
      </w:pPr>
    </w:p>
    <w:p w14:paraId="7BBF2A28">
      <w:pPr>
        <w:rPr>
          <w:color w:val="auto"/>
          <w:highlight w:val="none"/>
        </w:rPr>
      </w:pPr>
    </w:p>
    <w:p w14:paraId="2E10806C">
      <w:pPr>
        <w:rPr>
          <w:color w:val="auto"/>
          <w:highlight w:val="none"/>
        </w:rPr>
      </w:pPr>
    </w:p>
    <w:p w14:paraId="0C236947">
      <w:pPr>
        <w:rPr>
          <w:color w:val="auto"/>
          <w:highlight w:val="none"/>
        </w:rPr>
      </w:pPr>
    </w:p>
    <w:p w14:paraId="2B1947A8">
      <w:pPr>
        <w:rPr>
          <w:rFonts w:hint="eastAsia"/>
          <w:color w:val="auto"/>
          <w:highlight w:val="none"/>
        </w:rPr>
      </w:pPr>
    </w:p>
    <w:p w14:paraId="4F50F61E">
      <w:pPr>
        <w:rPr>
          <w:rFonts w:hint="eastAsia"/>
          <w:color w:val="auto"/>
          <w:highlight w:val="none"/>
        </w:rPr>
      </w:pPr>
    </w:p>
    <w:p w14:paraId="237FCD7E">
      <w:pPr>
        <w:rPr>
          <w:rFonts w:hint="eastAsia"/>
          <w:color w:val="auto"/>
          <w:highlight w:val="none"/>
        </w:rPr>
      </w:pPr>
    </w:p>
    <w:p w14:paraId="7EB2AC99">
      <w:pPr>
        <w:rPr>
          <w:rFonts w:hint="eastAsia"/>
          <w:color w:val="auto"/>
          <w:highlight w:val="none"/>
        </w:rPr>
      </w:pPr>
    </w:p>
    <w:p w14:paraId="08E097FF">
      <w:pPr>
        <w:rPr>
          <w:rFonts w:hint="eastAsia"/>
          <w:color w:val="auto"/>
          <w:highlight w:val="none"/>
        </w:rPr>
      </w:pPr>
    </w:p>
    <w:p w14:paraId="369E46A7">
      <w:pPr>
        <w:rPr>
          <w:color w:val="auto"/>
          <w:highlight w:val="none"/>
        </w:rPr>
      </w:pPr>
    </w:p>
    <w:p w14:paraId="1D457F40">
      <w:pPr>
        <w:adjustRightInd w:val="0"/>
        <w:snapToGrid w:val="0"/>
        <w:spacing w:line="360" w:lineRule="auto"/>
        <w:ind w:firstLine="0" w:firstLineChars="0"/>
        <w:jc w:val="center"/>
        <w:rPr>
          <w:rFonts w:ascii="宋体" w:hAnsi="宋体" w:cs="宋体"/>
          <w:bCs/>
          <w:color w:val="auto"/>
          <w:szCs w:val="21"/>
          <w:highlight w:val="none"/>
        </w:rPr>
      </w:pPr>
      <w:r>
        <w:rPr>
          <w:rFonts w:hint="eastAsia" w:ascii="宋体" w:hAnsi="宋体" w:cs="宋体"/>
          <w:b/>
          <w:color w:val="auto"/>
          <w:sz w:val="32"/>
          <w:szCs w:val="32"/>
          <w:highlight w:val="none"/>
        </w:rPr>
        <w:t>三、服务方案</w:t>
      </w:r>
    </w:p>
    <w:p w14:paraId="127403EA">
      <w:pPr>
        <w:adjustRightInd w:val="0"/>
        <w:snapToGrid w:val="0"/>
        <w:spacing w:line="240" w:lineRule="auto"/>
        <w:ind w:firstLine="300" w:firstLineChars="100"/>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附件7-1：</w:t>
      </w:r>
      <w:r>
        <w:rPr>
          <w:rFonts w:hint="eastAsia" w:ascii="宋体" w:hAnsi="宋体" w:cs="宋体"/>
          <w:color w:val="auto"/>
          <w:sz w:val="30"/>
          <w:szCs w:val="30"/>
          <w:highlight w:val="none"/>
          <w:lang w:val="en-US" w:eastAsia="zh-CN"/>
        </w:rPr>
        <w:t>服务方案等</w:t>
      </w:r>
    </w:p>
    <w:p w14:paraId="58A2EEF7">
      <w:pPr>
        <w:rPr>
          <w:color w:val="auto"/>
          <w:highlight w:val="none"/>
        </w:rPr>
      </w:pPr>
    </w:p>
    <w:p w14:paraId="679C3F20">
      <w:pPr>
        <w:rPr>
          <w:color w:val="auto"/>
          <w:highlight w:val="none"/>
        </w:rPr>
      </w:pPr>
      <w:r>
        <w:rPr>
          <w:rFonts w:hint="eastAsia"/>
          <w:color w:val="auto"/>
          <w:highlight w:val="none"/>
        </w:rPr>
        <w:t>供应商应根据“评审因素和标准”规定编写，格式自拟。</w:t>
      </w:r>
    </w:p>
    <w:p w14:paraId="6535BC5C">
      <w:pPr>
        <w:rPr>
          <w:color w:val="auto"/>
          <w:highlight w:val="none"/>
        </w:rPr>
      </w:pPr>
    </w:p>
    <w:p w14:paraId="345E7B57">
      <w:pPr>
        <w:rPr>
          <w:color w:val="auto"/>
          <w:highlight w:val="none"/>
        </w:rPr>
      </w:pPr>
    </w:p>
    <w:p w14:paraId="32AFC54F">
      <w:pPr>
        <w:rPr>
          <w:color w:val="auto"/>
          <w:highlight w:val="none"/>
        </w:rPr>
      </w:pPr>
    </w:p>
    <w:p w14:paraId="69A11FA8">
      <w:pPr>
        <w:rPr>
          <w:color w:val="auto"/>
          <w:highlight w:val="none"/>
        </w:rPr>
      </w:pPr>
    </w:p>
    <w:p w14:paraId="38CEA003">
      <w:pPr>
        <w:rPr>
          <w:color w:val="auto"/>
          <w:highlight w:val="none"/>
        </w:rPr>
      </w:pPr>
    </w:p>
    <w:p w14:paraId="525596E7">
      <w:pPr>
        <w:rPr>
          <w:color w:val="auto"/>
          <w:highlight w:val="none"/>
        </w:rPr>
      </w:pPr>
    </w:p>
    <w:p w14:paraId="0E031C04">
      <w:pPr>
        <w:rPr>
          <w:color w:val="auto"/>
          <w:highlight w:val="none"/>
        </w:rPr>
      </w:pPr>
    </w:p>
    <w:p w14:paraId="7D356980">
      <w:pPr>
        <w:rPr>
          <w:color w:val="auto"/>
          <w:highlight w:val="none"/>
        </w:rPr>
      </w:pPr>
    </w:p>
    <w:p w14:paraId="558415B1">
      <w:pPr>
        <w:rPr>
          <w:color w:val="auto"/>
          <w:highlight w:val="none"/>
        </w:rPr>
      </w:pPr>
    </w:p>
    <w:p w14:paraId="65953C00">
      <w:pPr>
        <w:rPr>
          <w:color w:val="auto"/>
          <w:highlight w:val="none"/>
        </w:rPr>
      </w:pPr>
    </w:p>
    <w:p w14:paraId="665A763E">
      <w:pPr>
        <w:rPr>
          <w:color w:val="auto"/>
          <w:highlight w:val="none"/>
        </w:rPr>
      </w:pPr>
    </w:p>
    <w:p w14:paraId="34EA79AC">
      <w:pPr>
        <w:rPr>
          <w:color w:val="auto"/>
          <w:highlight w:val="none"/>
        </w:rPr>
      </w:pPr>
    </w:p>
    <w:p w14:paraId="190F92E3">
      <w:pPr>
        <w:rPr>
          <w:color w:val="auto"/>
          <w:highlight w:val="none"/>
        </w:rPr>
      </w:pPr>
    </w:p>
    <w:p w14:paraId="24A73F10">
      <w:pPr>
        <w:rPr>
          <w:color w:val="auto"/>
          <w:highlight w:val="none"/>
        </w:rPr>
      </w:pPr>
    </w:p>
    <w:p w14:paraId="2251FEDF">
      <w:pPr>
        <w:rPr>
          <w:color w:val="auto"/>
          <w:highlight w:val="none"/>
        </w:rPr>
      </w:pPr>
    </w:p>
    <w:p w14:paraId="086FD368">
      <w:pPr>
        <w:rPr>
          <w:color w:val="auto"/>
          <w:highlight w:val="none"/>
        </w:rPr>
      </w:pPr>
    </w:p>
    <w:p w14:paraId="5DC0CC16">
      <w:pPr>
        <w:rPr>
          <w:color w:val="auto"/>
          <w:highlight w:val="none"/>
        </w:rPr>
      </w:pPr>
    </w:p>
    <w:p w14:paraId="3FCC1F68">
      <w:pPr>
        <w:rPr>
          <w:color w:val="auto"/>
          <w:highlight w:val="none"/>
        </w:rPr>
      </w:pPr>
    </w:p>
    <w:p w14:paraId="327D2566">
      <w:pPr>
        <w:rPr>
          <w:color w:val="auto"/>
          <w:highlight w:val="none"/>
        </w:rPr>
      </w:pPr>
    </w:p>
    <w:p w14:paraId="05B4BD8B">
      <w:pPr>
        <w:rPr>
          <w:color w:val="auto"/>
          <w:highlight w:val="none"/>
        </w:rPr>
      </w:pPr>
    </w:p>
    <w:p w14:paraId="653DCB69">
      <w:pPr>
        <w:rPr>
          <w:color w:val="auto"/>
          <w:highlight w:val="none"/>
        </w:rPr>
      </w:pPr>
    </w:p>
    <w:p w14:paraId="16949860">
      <w:pPr>
        <w:rPr>
          <w:color w:val="auto"/>
          <w:highlight w:val="none"/>
        </w:rPr>
      </w:pPr>
    </w:p>
    <w:p w14:paraId="1176D22F">
      <w:pPr>
        <w:rPr>
          <w:color w:val="auto"/>
          <w:highlight w:val="none"/>
        </w:rPr>
      </w:pPr>
    </w:p>
    <w:p w14:paraId="15C57BF5">
      <w:pPr>
        <w:rPr>
          <w:color w:val="auto"/>
          <w:highlight w:val="none"/>
        </w:rPr>
      </w:pPr>
      <w:r>
        <w:rPr>
          <w:rFonts w:hint="eastAsia" w:ascii="宋体" w:hAnsi="宋体" w:cs="宋体"/>
          <w:color w:val="auto"/>
          <w:sz w:val="30"/>
          <w:szCs w:val="30"/>
          <w:highlight w:val="none"/>
        </w:rPr>
        <w:t>附件7-2：</w:t>
      </w:r>
    </w:p>
    <w:p w14:paraId="095AC148">
      <w:pPr>
        <w:spacing w:line="360" w:lineRule="atLeast"/>
        <w:ind w:firstLine="0" w:firstLineChars="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主要人员简历表</w:t>
      </w:r>
    </w:p>
    <w:p w14:paraId="5D406558">
      <w:pPr>
        <w:rPr>
          <w:color w:val="auto"/>
          <w:highlight w:val="none"/>
        </w:rPr>
      </w:pPr>
    </w:p>
    <w:tbl>
      <w:tblPr>
        <w:tblStyle w:val="43"/>
        <w:tblW w:w="8503"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772"/>
        <w:gridCol w:w="2468"/>
        <w:gridCol w:w="396"/>
        <w:gridCol w:w="1404"/>
        <w:gridCol w:w="540"/>
        <w:gridCol w:w="1663"/>
      </w:tblGrid>
      <w:tr w14:paraId="0BC1E4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1" w:hRule="exact"/>
        </w:trPr>
        <w:tc>
          <w:tcPr>
            <w:tcW w:w="2032" w:type="dxa"/>
            <w:gridSpan w:val="2"/>
            <w:vAlign w:val="center"/>
          </w:tcPr>
          <w:p w14:paraId="1D9710F4">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姓   名</w:t>
            </w:r>
          </w:p>
        </w:tc>
        <w:tc>
          <w:tcPr>
            <w:tcW w:w="2468" w:type="dxa"/>
            <w:vAlign w:val="center"/>
          </w:tcPr>
          <w:p w14:paraId="3F68BCC6">
            <w:pPr>
              <w:keepNext w:val="0"/>
              <w:keepLines w:val="0"/>
              <w:suppressLineNumbers w:val="0"/>
              <w:spacing w:before="0" w:beforeAutospacing="0" w:after="0" w:afterAutospacing="0"/>
              <w:ind w:left="0" w:right="0"/>
              <w:rPr>
                <w:rFonts w:hint="default"/>
                <w:color w:val="auto"/>
                <w:highlight w:val="none"/>
              </w:rPr>
            </w:pPr>
          </w:p>
        </w:tc>
        <w:tc>
          <w:tcPr>
            <w:tcW w:w="2340" w:type="dxa"/>
            <w:gridSpan w:val="3"/>
            <w:vAlign w:val="center"/>
          </w:tcPr>
          <w:p w14:paraId="1CEF0E48">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性  别</w:t>
            </w:r>
          </w:p>
        </w:tc>
        <w:tc>
          <w:tcPr>
            <w:tcW w:w="1663" w:type="dxa"/>
            <w:vAlign w:val="center"/>
          </w:tcPr>
          <w:p w14:paraId="770AF80F">
            <w:pPr>
              <w:keepNext w:val="0"/>
              <w:keepLines w:val="0"/>
              <w:suppressLineNumbers w:val="0"/>
              <w:spacing w:before="0" w:beforeAutospacing="0" w:after="0" w:afterAutospacing="0"/>
              <w:ind w:left="0" w:right="0"/>
              <w:rPr>
                <w:rFonts w:hint="default"/>
                <w:color w:val="auto"/>
                <w:highlight w:val="none"/>
              </w:rPr>
            </w:pPr>
          </w:p>
        </w:tc>
      </w:tr>
      <w:tr w14:paraId="46E4BC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trPr>
        <w:tc>
          <w:tcPr>
            <w:tcW w:w="2032" w:type="dxa"/>
            <w:gridSpan w:val="2"/>
            <w:vAlign w:val="center"/>
          </w:tcPr>
          <w:p w14:paraId="715E5978">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职   务</w:t>
            </w:r>
          </w:p>
        </w:tc>
        <w:tc>
          <w:tcPr>
            <w:tcW w:w="2468" w:type="dxa"/>
            <w:vAlign w:val="center"/>
          </w:tcPr>
          <w:p w14:paraId="0A8B0FD4">
            <w:pPr>
              <w:keepNext w:val="0"/>
              <w:keepLines w:val="0"/>
              <w:suppressLineNumbers w:val="0"/>
              <w:spacing w:before="0" w:beforeAutospacing="0" w:after="0" w:afterAutospacing="0"/>
              <w:ind w:left="0" w:right="0"/>
              <w:rPr>
                <w:rFonts w:hint="default"/>
                <w:color w:val="auto"/>
                <w:highlight w:val="none"/>
              </w:rPr>
            </w:pPr>
          </w:p>
        </w:tc>
        <w:tc>
          <w:tcPr>
            <w:tcW w:w="2340" w:type="dxa"/>
            <w:gridSpan w:val="3"/>
            <w:vAlign w:val="center"/>
          </w:tcPr>
          <w:p w14:paraId="2903902A">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职  称</w:t>
            </w:r>
          </w:p>
        </w:tc>
        <w:tc>
          <w:tcPr>
            <w:tcW w:w="1663" w:type="dxa"/>
            <w:vAlign w:val="center"/>
          </w:tcPr>
          <w:p w14:paraId="6652477F">
            <w:pPr>
              <w:keepNext w:val="0"/>
              <w:keepLines w:val="0"/>
              <w:suppressLineNumbers w:val="0"/>
              <w:spacing w:before="0" w:beforeAutospacing="0" w:after="0" w:afterAutospacing="0"/>
              <w:ind w:left="0" w:right="0"/>
              <w:rPr>
                <w:rFonts w:hint="default"/>
                <w:color w:val="auto"/>
                <w:highlight w:val="none"/>
              </w:rPr>
            </w:pPr>
          </w:p>
        </w:tc>
      </w:tr>
      <w:tr w14:paraId="718C24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1" w:hRule="exact"/>
        </w:trPr>
        <w:tc>
          <w:tcPr>
            <w:tcW w:w="2032" w:type="dxa"/>
            <w:gridSpan w:val="2"/>
            <w:vAlign w:val="center"/>
          </w:tcPr>
          <w:p w14:paraId="73B6C406">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毕业学校、专业</w:t>
            </w:r>
          </w:p>
        </w:tc>
        <w:tc>
          <w:tcPr>
            <w:tcW w:w="6471" w:type="dxa"/>
            <w:gridSpan w:val="5"/>
            <w:vAlign w:val="center"/>
          </w:tcPr>
          <w:p w14:paraId="2E7AEAA0">
            <w:pPr>
              <w:keepNext w:val="0"/>
              <w:keepLines w:val="0"/>
              <w:suppressLineNumbers w:val="0"/>
              <w:spacing w:before="0" w:beforeAutospacing="0" w:after="0" w:afterAutospacing="0"/>
              <w:ind w:left="0" w:right="0"/>
              <w:rPr>
                <w:rFonts w:hint="default"/>
                <w:color w:val="auto"/>
                <w:highlight w:val="none"/>
              </w:rPr>
            </w:pPr>
          </w:p>
        </w:tc>
      </w:tr>
      <w:tr w14:paraId="180603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vAlign w:val="center"/>
          </w:tcPr>
          <w:p w14:paraId="1B911310">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身份证号</w:t>
            </w:r>
          </w:p>
        </w:tc>
        <w:tc>
          <w:tcPr>
            <w:tcW w:w="2468" w:type="dxa"/>
            <w:vAlign w:val="center"/>
          </w:tcPr>
          <w:p w14:paraId="41657692">
            <w:pPr>
              <w:keepNext w:val="0"/>
              <w:keepLines w:val="0"/>
              <w:suppressLineNumbers w:val="0"/>
              <w:spacing w:before="0" w:beforeAutospacing="0" w:after="0" w:afterAutospacing="0"/>
              <w:ind w:left="0" w:right="0"/>
              <w:rPr>
                <w:rFonts w:hint="default"/>
                <w:color w:val="auto"/>
                <w:highlight w:val="none"/>
              </w:rPr>
            </w:pPr>
          </w:p>
        </w:tc>
        <w:tc>
          <w:tcPr>
            <w:tcW w:w="2340" w:type="dxa"/>
            <w:gridSpan w:val="3"/>
            <w:vAlign w:val="center"/>
          </w:tcPr>
          <w:p w14:paraId="3F6F5EBB">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拟在本合同任职</w:t>
            </w:r>
          </w:p>
        </w:tc>
        <w:tc>
          <w:tcPr>
            <w:tcW w:w="1663" w:type="dxa"/>
            <w:vAlign w:val="center"/>
          </w:tcPr>
          <w:p w14:paraId="6FA9B936">
            <w:pPr>
              <w:keepNext w:val="0"/>
              <w:keepLines w:val="0"/>
              <w:suppressLineNumbers w:val="0"/>
              <w:spacing w:before="0" w:beforeAutospacing="0" w:after="0" w:afterAutospacing="0"/>
              <w:ind w:left="0" w:right="0"/>
              <w:rPr>
                <w:rFonts w:hint="default"/>
                <w:color w:val="auto"/>
                <w:highlight w:val="none"/>
              </w:rPr>
            </w:pPr>
          </w:p>
        </w:tc>
      </w:tr>
      <w:tr w14:paraId="5D354C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vAlign w:val="center"/>
          </w:tcPr>
          <w:p w14:paraId="035565B3">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执业资格证</w:t>
            </w:r>
          </w:p>
        </w:tc>
        <w:tc>
          <w:tcPr>
            <w:tcW w:w="2468" w:type="dxa"/>
            <w:vAlign w:val="center"/>
          </w:tcPr>
          <w:p w14:paraId="043EB641">
            <w:pPr>
              <w:keepNext w:val="0"/>
              <w:keepLines w:val="0"/>
              <w:suppressLineNumbers w:val="0"/>
              <w:spacing w:before="0" w:beforeAutospacing="0" w:after="0" w:afterAutospacing="0"/>
              <w:ind w:left="0" w:right="0"/>
              <w:rPr>
                <w:rFonts w:hint="default"/>
                <w:color w:val="auto"/>
                <w:highlight w:val="none"/>
              </w:rPr>
            </w:pPr>
          </w:p>
        </w:tc>
        <w:tc>
          <w:tcPr>
            <w:tcW w:w="2340" w:type="dxa"/>
            <w:gridSpan w:val="3"/>
            <w:vAlign w:val="center"/>
          </w:tcPr>
          <w:p w14:paraId="33457AC8">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执业资格证书号</w:t>
            </w:r>
          </w:p>
        </w:tc>
        <w:tc>
          <w:tcPr>
            <w:tcW w:w="1663" w:type="dxa"/>
            <w:vAlign w:val="center"/>
          </w:tcPr>
          <w:p w14:paraId="31E33849">
            <w:pPr>
              <w:keepNext w:val="0"/>
              <w:keepLines w:val="0"/>
              <w:suppressLineNumbers w:val="0"/>
              <w:spacing w:before="0" w:beforeAutospacing="0" w:after="0" w:afterAutospacing="0"/>
              <w:ind w:left="0" w:right="0"/>
              <w:rPr>
                <w:rFonts w:hint="default"/>
                <w:color w:val="auto"/>
                <w:highlight w:val="none"/>
              </w:rPr>
            </w:pPr>
          </w:p>
        </w:tc>
      </w:tr>
      <w:tr w14:paraId="4C3FFE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0" w:hRule="exact"/>
        </w:trPr>
        <w:tc>
          <w:tcPr>
            <w:tcW w:w="8503" w:type="dxa"/>
            <w:gridSpan w:val="7"/>
            <w:vAlign w:val="center"/>
          </w:tcPr>
          <w:p w14:paraId="728A3E4F">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近三年承担项目情况</w:t>
            </w:r>
          </w:p>
        </w:tc>
      </w:tr>
      <w:tr w14:paraId="4FDFFE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100BA7C9">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时间</w:t>
            </w:r>
          </w:p>
        </w:tc>
        <w:tc>
          <w:tcPr>
            <w:tcW w:w="3636" w:type="dxa"/>
            <w:gridSpan w:val="3"/>
            <w:vAlign w:val="center"/>
          </w:tcPr>
          <w:p w14:paraId="22F2BA92">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类似项目名称</w:t>
            </w:r>
          </w:p>
        </w:tc>
        <w:tc>
          <w:tcPr>
            <w:tcW w:w="1404" w:type="dxa"/>
            <w:vAlign w:val="center"/>
          </w:tcPr>
          <w:p w14:paraId="62AEED2D">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担任职务</w:t>
            </w:r>
          </w:p>
        </w:tc>
        <w:tc>
          <w:tcPr>
            <w:tcW w:w="2203" w:type="dxa"/>
            <w:gridSpan w:val="2"/>
            <w:vAlign w:val="center"/>
          </w:tcPr>
          <w:p w14:paraId="24C897FD">
            <w:pPr>
              <w:keepNext w:val="0"/>
              <w:keepLines w:val="0"/>
              <w:suppressLineNumbers w:val="0"/>
              <w:spacing w:before="0" w:beforeAutospacing="0" w:after="0" w:afterAutospacing="0"/>
              <w:ind w:left="0" w:right="0"/>
              <w:rPr>
                <w:rFonts w:hint="default"/>
                <w:color w:val="auto"/>
                <w:highlight w:val="none"/>
              </w:rPr>
            </w:pPr>
            <w:r>
              <w:rPr>
                <w:rFonts w:hint="eastAsia"/>
                <w:color w:val="auto"/>
                <w:highlight w:val="none"/>
              </w:rPr>
              <w:t>项目单位名称及电话</w:t>
            </w:r>
          </w:p>
        </w:tc>
      </w:tr>
      <w:tr w14:paraId="458DF6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2789529F">
            <w:pPr>
              <w:keepNext w:val="0"/>
              <w:keepLines w:val="0"/>
              <w:suppressLineNumbers w:val="0"/>
              <w:spacing w:before="0" w:beforeAutospacing="0" w:after="0" w:afterAutospacing="0"/>
              <w:ind w:left="0" w:right="0"/>
              <w:rPr>
                <w:rFonts w:hint="default"/>
                <w:color w:val="auto"/>
                <w:highlight w:val="none"/>
              </w:rPr>
            </w:pPr>
          </w:p>
        </w:tc>
        <w:tc>
          <w:tcPr>
            <w:tcW w:w="3636" w:type="dxa"/>
            <w:gridSpan w:val="3"/>
            <w:vAlign w:val="center"/>
          </w:tcPr>
          <w:p w14:paraId="706152EC">
            <w:pPr>
              <w:keepNext w:val="0"/>
              <w:keepLines w:val="0"/>
              <w:suppressLineNumbers w:val="0"/>
              <w:spacing w:before="0" w:beforeAutospacing="0" w:after="0" w:afterAutospacing="0"/>
              <w:ind w:left="0" w:right="0"/>
              <w:rPr>
                <w:rFonts w:hint="default"/>
                <w:color w:val="auto"/>
                <w:highlight w:val="none"/>
              </w:rPr>
            </w:pPr>
          </w:p>
        </w:tc>
        <w:tc>
          <w:tcPr>
            <w:tcW w:w="1404" w:type="dxa"/>
            <w:vAlign w:val="center"/>
          </w:tcPr>
          <w:p w14:paraId="57FE291F">
            <w:pPr>
              <w:keepNext w:val="0"/>
              <w:keepLines w:val="0"/>
              <w:suppressLineNumbers w:val="0"/>
              <w:spacing w:before="0" w:beforeAutospacing="0" w:after="0" w:afterAutospacing="0"/>
              <w:ind w:left="0" w:right="0"/>
              <w:rPr>
                <w:rFonts w:hint="default"/>
                <w:color w:val="auto"/>
                <w:highlight w:val="none"/>
              </w:rPr>
            </w:pPr>
          </w:p>
        </w:tc>
        <w:tc>
          <w:tcPr>
            <w:tcW w:w="2203" w:type="dxa"/>
            <w:gridSpan w:val="2"/>
            <w:vAlign w:val="center"/>
          </w:tcPr>
          <w:p w14:paraId="29614E93">
            <w:pPr>
              <w:keepNext w:val="0"/>
              <w:keepLines w:val="0"/>
              <w:suppressLineNumbers w:val="0"/>
              <w:spacing w:before="0" w:beforeAutospacing="0" w:after="0" w:afterAutospacing="0"/>
              <w:ind w:left="0" w:right="0"/>
              <w:rPr>
                <w:rFonts w:hint="default"/>
                <w:color w:val="auto"/>
                <w:highlight w:val="none"/>
              </w:rPr>
            </w:pPr>
          </w:p>
        </w:tc>
      </w:tr>
      <w:tr w14:paraId="32C74C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0252B915">
            <w:pPr>
              <w:keepNext w:val="0"/>
              <w:keepLines w:val="0"/>
              <w:suppressLineNumbers w:val="0"/>
              <w:spacing w:before="0" w:beforeAutospacing="0" w:after="0" w:afterAutospacing="0"/>
              <w:ind w:left="0" w:right="0"/>
              <w:rPr>
                <w:rFonts w:hint="default"/>
                <w:color w:val="auto"/>
                <w:highlight w:val="none"/>
              </w:rPr>
            </w:pPr>
          </w:p>
        </w:tc>
        <w:tc>
          <w:tcPr>
            <w:tcW w:w="3636" w:type="dxa"/>
            <w:gridSpan w:val="3"/>
            <w:vAlign w:val="center"/>
          </w:tcPr>
          <w:p w14:paraId="3F9E0BF4">
            <w:pPr>
              <w:keepNext w:val="0"/>
              <w:keepLines w:val="0"/>
              <w:suppressLineNumbers w:val="0"/>
              <w:spacing w:before="0" w:beforeAutospacing="0" w:after="0" w:afterAutospacing="0"/>
              <w:ind w:left="0" w:right="0"/>
              <w:rPr>
                <w:rFonts w:hint="default"/>
                <w:color w:val="auto"/>
                <w:highlight w:val="none"/>
              </w:rPr>
            </w:pPr>
          </w:p>
        </w:tc>
        <w:tc>
          <w:tcPr>
            <w:tcW w:w="1404" w:type="dxa"/>
            <w:vAlign w:val="center"/>
          </w:tcPr>
          <w:p w14:paraId="565BE243">
            <w:pPr>
              <w:keepNext w:val="0"/>
              <w:keepLines w:val="0"/>
              <w:suppressLineNumbers w:val="0"/>
              <w:spacing w:before="0" w:beforeAutospacing="0" w:after="0" w:afterAutospacing="0"/>
              <w:ind w:left="0" w:right="0"/>
              <w:rPr>
                <w:rFonts w:hint="default"/>
                <w:color w:val="auto"/>
                <w:highlight w:val="none"/>
              </w:rPr>
            </w:pPr>
          </w:p>
        </w:tc>
        <w:tc>
          <w:tcPr>
            <w:tcW w:w="2203" w:type="dxa"/>
            <w:gridSpan w:val="2"/>
            <w:vAlign w:val="center"/>
          </w:tcPr>
          <w:p w14:paraId="0AE12BF9">
            <w:pPr>
              <w:keepNext w:val="0"/>
              <w:keepLines w:val="0"/>
              <w:suppressLineNumbers w:val="0"/>
              <w:spacing w:before="0" w:beforeAutospacing="0" w:after="0" w:afterAutospacing="0"/>
              <w:ind w:left="0" w:right="0"/>
              <w:rPr>
                <w:rFonts w:hint="default"/>
                <w:color w:val="auto"/>
                <w:highlight w:val="none"/>
              </w:rPr>
            </w:pPr>
          </w:p>
        </w:tc>
      </w:tr>
      <w:tr w14:paraId="5538DE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644C02D3">
            <w:pPr>
              <w:keepNext w:val="0"/>
              <w:keepLines w:val="0"/>
              <w:suppressLineNumbers w:val="0"/>
              <w:spacing w:before="0" w:beforeAutospacing="0" w:after="0" w:afterAutospacing="0"/>
              <w:ind w:left="0" w:right="0"/>
              <w:rPr>
                <w:rFonts w:hint="default"/>
                <w:color w:val="auto"/>
                <w:highlight w:val="none"/>
              </w:rPr>
            </w:pPr>
          </w:p>
        </w:tc>
        <w:tc>
          <w:tcPr>
            <w:tcW w:w="3636" w:type="dxa"/>
            <w:gridSpan w:val="3"/>
            <w:vAlign w:val="center"/>
          </w:tcPr>
          <w:p w14:paraId="1B362762">
            <w:pPr>
              <w:keepNext w:val="0"/>
              <w:keepLines w:val="0"/>
              <w:suppressLineNumbers w:val="0"/>
              <w:spacing w:before="0" w:beforeAutospacing="0" w:after="0" w:afterAutospacing="0"/>
              <w:ind w:left="0" w:right="0"/>
              <w:rPr>
                <w:rFonts w:hint="default"/>
                <w:color w:val="auto"/>
                <w:highlight w:val="none"/>
              </w:rPr>
            </w:pPr>
          </w:p>
        </w:tc>
        <w:tc>
          <w:tcPr>
            <w:tcW w:w="1404" w:type="dxa"/>
            <w:vAlign w:val="center"/>
          </w:tcPr>
          <w:p w14:paraId="1527EBBF">
            <w:pPr>
              <w:keepNext w:val="0"/>
              <w:keepLines w:val="0"/>
              <w:suppressLineNumbers w:val="0"/>
              <w:spacing w:before="0" w:beforeAutospacing="0" w:after="0" w:afterAutospacing="0"/>
              <w:ind w:left="0" w:right="0"/>
              <w:rPr>
                <w:rFonts w:hint="default"/>
                <w:color w:val="auto"/>
                <w:highlight w:val="none"/>
              </w:rPr>
            </w:pPr>
          </w:p>
        </w:tc>
        <w:tc>
          <w:tcPr>
            <w:tcW w:w="2203" w:type="dxa"/>
            <w:gridSpan w:val="2"/>
            <w:vAlign w:val="center"/>
          </w:tcPr>
          <w:p w14:paraId="6BD0A2BF">
            <w:pPr>
              <w:keepNext w:val="0"/>
              <w:keepLines w:val="0"/>
              <w:suppressLineNumbers w:val="0"/>
              <w:spacing w:before="0" w:beforeAutospacing="0" w:after="0" w:afterAutospacing="0"/>
              <w:ind w:left="0" w:right="0"/>
              <w:rPr>
                <w:rFonts w:hint="default"/>
                <w:color w:val="auto"/>
                <w:highlight w:val="none"/>
              </w:rPr>
            </w:pPr>
          </w:p>
        </w:tc>
      </w:tr>
      <w:tr w14:paraId="0CB59D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439970C0">
            <w:pPr>
              <w:keepNext w:val="0"/>
              <w:keepLines w:val="0"/>
              <w:suppressLineNumbers w:val="0"/>
              <w:spacing w:before="0" w:beforeAutospacing="0" w:after="0" w:afterAutospacing="0"/>
              <w:ind w:left="0" w:right="0"/>
              <w:rPr>
                <w:rFonts w:hint="default"/>
                <w:color w:val="auto"/>
                <w:highlight w:val="none"/>
              </w:rPr>
            </w:pPr>
          </w:p>
        </w:tc>
        <w:tc>
          <w:tcPr>
            <w:tcW w:w="3636" w:type="dxa"/>
            <w:gridSpan w:val="3"/>
            <w:vAlign w:val="center"/>
          </w:tcPr>
          <w:p w14:paraId="0D49001B">
            <w:pPr>
              <w:keepNext w:val="0"/>
              <w:keepLines w:val="0"/>
              <w:suppressLineNumbers w:val="0"/>
              <w:spacing w:before="0" w:beforeAutospacing="0" w:after="0" w:afterAutospacing="0"/>
              <w:ind w:left="0" w:right="0"/>
              <w:rPr>
                <w:rFonts w:hint="default"/>
                <w:color w:val="auto"/>
                <w:highlight w:val="none"/>
              </w:rPr>
            </w:pPr>
          </w:p>
        </w:tc>
        <w:tc>
          <w:tcPr>
            <w:tcW w:w="1404" w:type="dxa"/>
            <w:vAlign w:val="center"/>
          </w:tcPr>
          <w:p w14:paraId="750CC8A9">
            <w:pPr>
              <w:keepNext w:val="0"/>
              <w:keepLines w:val="0"/>
              <w:suppressLineNumbers w:val="0"/>
              <w:spacing w:before="0" w:beforeAutospacing="0" w:after="0" w:afterAutospacing="0"/>
              <w:ind w:left="0" w:right="0"/>
              <w:rPr>
                <w:rFonts w:hint="default"/>
                <w:color w:val="auto"/>
                <w:highlight w:val="none"/>
              </w:rPr>
            </w:pPr>
          </w:p>
        </w:tc>
        <w:tc>
          <w:tcPr>
            <w:tcW w:w="2203" w:type="dxa"/>
            <w:gridSpan w:val="2"/>
            <w:vAlign w:val="center"/>
          </w:tcPr>
          <w:p w14:paraId="01A20DF7">
            <w:pPr>
              <w:keepNext w:val="0"/>
              <w:keepLines w:val="0"/>
              <w:suppressLineNumbers w:val="0"/>
              <w:spacing w:before="0" w:beforeAutospacing="0" w:after="0" w:afterAutospacing="0"/>
              <w:ind w:left="0" w:right="0"/>
              <w:rPr>
                <w:rFonts w:hint="default"/>
                <w:color w:val="auto"/>
                <w:highlight w:val="none"/>
              </w:rPr>
            </w:pPr>
          </w:p>
        </w:tc>
      </w:tr>
      <w:tr w14:paraId="3C36AD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132EBFB6">
            <w:pPr>
              <w:keepNext w:val="0"/>
              <w:keepLines w:val="0"/>
              <w:suppressLineNumbers w:val="0"/>
              <w:spacing w:before="0" w:beforeAutospacing="0" w:after="0" w:afterAutospacing="0"/>
              <w:ind w:left="0" w:right="0"/>
              <w:rPr>
                <w:rFonts w:hint="default"/>
                <w:color w:val="auto"/>
                <w:highlight w:val="none"/>
              </w:rPr>
            </w:pPr>
          </w:p>
        </w:tc>
        <w:tc>
          <w:tcPr>
            <w:tcW w:w="3636" w:type="dxa"/>
            <w:gridSpan w:val="3"/>
            <w:vAlign w:val="center"/>
          </w:tcPr>
          <w:p w14:paraId="44C22F91">
            <w:pPr>
              <w:keepNext w:val="0"/>
              <w:keepLines w:val="0"/>
              <w:suppressLineNumbers w:val="0"/>
              <w:spacing w:before="0" w:beforeAutospacing="0" w:after="0" w:afterAutospacing="0"/>
              <w:ind w:left="0" w:right="0"/>
              <w:rPr>
                <w:rFonts w:hint="default"/>
                <w:color w:val="auto"/>
                <w:highlight w:val="none"/>
              </w:rPr>
            </w:pPr>
          </w:p>
        </w:tc>
        <w:tc>
          <w:tcPr>
            <w:tcW w:w="1404" w:type="dxa"/>
            <w:vAlign w:val="center"/>
          </w:tcPr>
          <w:p w14:paraId="771E33CB">
            <w:pPr>
              <w:keepNext w:val="0"/>
              <w:keepLines w:val="0"/>
              <w:suppressLineNumbers w:val="0"/>
              <w:spacing w:before="0" w:beforeAutospacing="0" w:after="0" w:afterAutospacing="0"/>
              <w:ind w:left="0" w:right="0"/>
              <w:rPr>
                <w:rFonts w:hint="default"/>
                <w:color w:val="auto"/>
                <w:highlight w:val="none"/>
              </w:rPr>
            </w:pPr>
          </w:p>
        </w:tc>
        <w:tc>
          <w:tcPr>
            <w:tcW w:w="2203" w:type="dxa"/>
            <w:gridSpan w:val="2"/>
            <w:vAlign w:val="center"/>
          </w:tcPr>
          <w:p w14:paraId="788C771C">
            <w:pPr>
              <w:keepNext w:val="0"/>
              <w:keepLines w:val="0"/>
              <w:suppressLineNumbers w:val="0"/>
              <w:spacing w:before="0" w:beforeAutospacing="0" w:after="0" w:afterAutospacing="0"/>
              <w:ind w:left="0" w:right="0"/>
              <w:rPr>
                <w:rFonts w:hint="default"/>
                <w:color w:val="auto"/>
                <w:highlight w:val="none"/>
              </w:rPr>
            </w:pPr>
          </w:p>
        </w:tc>
      </w:tr>
      <w:tr w14:paraId="3DCE6D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7EAE17D9">
            <w:pPr>
              <w:keepNext w:val="0"/>
              <w:keepLines w:val="0"/>
              <w:suppressLineNumbers w:val="0"/>
              <w:spacing w:before="0" w:beforeAutospacing="0" w:after="0" w:afterAutospacing="0"/>
              <w:ind w:left="0" w:right="0"/>
              <w:rPr>
                <w:rFonts w:hint="default"/>
                <w:color w:val="auto"/>
                <w:highlight w:val="none"/>
              </w:rPr>
            </w:pPr>
          </w:p>
        </w:tc>
        <w:tc>
          <w:tcPr>
            <w:tcW w:w="3636" w:type="dxa"/>
            <w:gridSpan w:val="3"/>
            <w:vAlign w:val="center"/>
          </w:tcPr>
          <w:p w14:paraId="41E19AA0">
            <w:pPr>
              <w:keepNext w:val="0"/>
              <w:keepLines w:val="0"/>
              <w:suppressLineNumbers w:val="0"/>
              <w:spacing w:before="0" w:beforeAutospacing="0" w:after="0" w:afterAutospacing="0"/>
              <w:ind w:left="0" w:right="0"/>
              <w:rPr>
                <w:rFonts w:hint="default"/>
                <w:color w:val="auto"/>
                <w:highlight w:val="none"/>
              </w:rPr>
            </w:pPr>
          </w:p>
        </w:tc>
        <w:tc>
          <w:tcPr>
            <w:tcW w:w="1404" w:type="dxa"/>
            <w:vAlign w:val="center"/>
          </w:tcPr>
          <w:p w14:paraId="061FBC7E">
            <w:pPr>
              <w:keepNext w:val="0"/>
              <w:keepLines w:val="0"/>
              <w:suppressLineNumbers w:val="0"/>
              <w:spacing w:before="0" w:beforeAutospacing="0" w:after="0" w:afterAutospacing="0"/>
              <w:ind w:left="0" w:right="0"/>
              <w:rPr>
                <w:rFonts w:hint="default"/>
                <w:color w:val="auto"/>
                <w:highlight w:val="none"/>
              </w:rPr>
            </w:pPr>
          </w:p>
        </w:tc>
        <w:tc>
          <w:tcPr>
            <w:tcW w:w="2203" w:type="dxa"/>
            <w:gridSpan w:val="2"/>
            <w:vAlign w:val="center"/>
          </w:tcPr>
          <w:p w14:paraId="3FDAB057">
            <w:pPr>
              <w:keepNext w:val="0"/>
              <w:keepLines w:val="0"/>
              <w:suppressLineNumbers w:val="0"/>
              <w:spacing w:before="0" w:beforeAutospacing="0" w:after="0" w:afterAutospacing="0"/>
              <w:ind w:left="0" w:right="0"/>
              <w:rPr>
                <w:rFonts w:hint="default"/>
                <w:color w:val="auto"/>
                <w:highlight w:val="none"/>
              </w:rPr>
            </w:pPr>
          </w:p>
        </w:tc>
      </w:tr>
      <w:tr w14:paraId="2DDB09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065AFE4B">
            <w:pPr>
              <w:keepNext w:val="0"/>
              <w:keepLines w:val="0"/>
              <w:suppressLineNumbers w:val="0"/>
              <w:spacing w:before="0" w:beforeAutospacing="0" w:after="0" w:afterAutospacing="0"/>
              <w:ind w:left="0" w:right="0"/>
              <w:rPr>
                <w:rFonts w:hint="default"/>
                <w:color w:val="auto"/>
                <w:highlight w:val="none"/>
              </w:rPr>
            </w:pPr>
          </w:p>
        </w:tc>
        <w:tc>
          <w:tcPr>
            <w:tcW w:w="3636" w:type="dxa"/>
            <w:gridSpan w:val="3"/>
            <w:vAlign w:val="center"/>
          </w:tcPr>
          <w:p w14:paraId="7D6A817E">
            <w:pPr>
              <w:keepNext w:val="0"/>
              <w:keepLines w:val="0"/>
              <w:suppressLineNumbers w:val="0"/>
              <w:spacing w:before="0" w:beforeAutospacing="0" w:after="0" w:afterAutospacing="0"/>
              <w:ind w:left="0" w:right="0"/>
              <w:rPr>
                <w:rFonts w:hint="default"/>
                <w:color w:val="auto"/>
                <w:highlight w:val="none"/>
              </w:rPr>
            </w:pPr>
          </w:p>
        </w:tc>
        <w:tc>
          <w:tcPr>
            <w:tcW w:w="1404" w:type="dxa"/>
            <w:vAlign w:val="center"/>
          </w:tcPr>
          <w:p w14:paraId="09AA8069">
            <w:pPr>
              <w:keepNext w:val="0"/>
              <w:keepLines w:val="0"/>
              <w:suppressLineNumbers w:val="0"/>
              <w:spacing w:before="0" w:beforeAutospacing="0" w:after="0" w:afterAutospacing="0"/>
              <w:ind w:left="0" w:right="0"/>
              <w:rPr>
                <w:rFonts w:hint="default"/>
                <w:color w:val="auto"/>
                <w:highlight w:val="none"/>
              </w:rPr>
            </w:pPr>
          </w:p>
        </w:tc>
        <w:tc>
          <w:tcPr>
            <w:tcW w:w="2203" w:type="dxa"/>
            <w:gridSpan w:val="2"/>
            <w:vAlign w:val="center"/>
          </w:tcPr>
          <w:p w14:paraId="5D5AF3D7">
            <w:pPr>
              <w:keepNext w:val="0"/>
              <w:keepLines w:val="0"/>
              <w:suppressLineNumbers w:val="0"/>
              <w:spacing w:before="0" w:beforeAutospacing="0" w:after="0" w:afterAutospacing="0"/>
              <w:ind w:left="0" w:right="0"/>
              <w:rPr>
                <w:rFonts w:hint="default"/>
                <w:color w:val="auto"/>
                <w:highlight w:val="none"/>
              </w:rPr>
            </w:pPr>
          </w:p>
        </w:tc>
      </w:tr>
      <w:tr w14:paraId="066005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6E8EE25D">
            <w:pPr>
              <w:keepNext w:val="0"/>
              <w:keepLines w:val="0"/>
              <w:suppressLineNumbers w:val="0"/>
              <w:spacing w:before="0" w:beforeAutospacing="0" w:after="0" w:afterAutospacing="0"/>
              <w:ind w:left="0" w:right="0"/>
              <w:rPr>
                <w:rFonts w:hint="default"/>
                <w:color w:val="auto"/>
                <w:highlight w:val="none"/>
              </w:rPr>
            </w:pPr>
          </w:p>
        </w:tc>
        <w:tc>
          <w:tcPr>
            <w:tcW w:w="3636" w:type="dxa"/>
            <w:gridSpan w:val="3"/>
            <w:vAlign w:val="center"/>
          </w:tcPr>
          <w:p w14:paraId="46893287">
            <w:pPr>
              <w:keepNext w:val="0"/>
              <w:keepLines w:val="0"/>
              <w:suppressLineNumbers w:val="0"/>
              <w:spacing w:before="0" w:beforeAutospacing="0" w:after="0" w:afterAutospacing="0"/>
              <w:ind w:left="0" w:right="0"/>
              <w:rPr>
                <w:rFonts w:hint="default"/>
                <w:color w:val="auto"/>
                <w:highlight w:val="none"/>
              </w:rPr>
            </w:pPr>
          </w:p>
        </w:tc>
        <w:tc>
          <w:tcPr>
            <w:tcW w:w="1404" w:type="dxa"/>
            <w:vAlign w:val="center"/>
          </w:tcPr>
          <w:p w14:paraId="008812E6">
            <w:pPr>
              <w:keepNext w:val="0"/>
              <w:keepLines w:val="0"/>
              <w:suppressLineNumbers w:val="0"/>
              <w:spacing w:before="0" w:beforeAutospacing="0" w:after="0" w:afterAutospacing="0"/>
              <w:ind w:left="0" w:right="0"/>
              <w:rPr>
                <w:rFonts w:hint="default"/>
                <w:color w:val="auto"/>
                <w:highlight w:val="none"/>
              </w:rPr>
            </w:pPr>
          </w:p>
        </w:tc>
        <w:tc>
          <w:tcPr>
            <w:tcW w:w="2203" w:type="dxa"/>
            <w:gridSpan w:val="2"/>
            <w:vAlign w:val="center"/>
          </w:tcPr>
          <w:p w14:paraId="61321D0C">
            <w:pPr>
              <w:keepNext w:val="0"/>
              <w:keepLines w:val="0"/>
              <w:suppressLineNumbers w:val="0"/>
              <w:spacing w:before="0" w:beforeAutospacing="0" w:after="0" w:afterAutospacing="0"/>
              <w:ind w:left="0" w:right="0"/>
              <w:rPr>
                <w:rFonts w:hint="default"/>
                <w:color w:val="auto"/>
                <w:highlight w:val="none"/>
              </w:rPr>
            </w:pPr>
          </w:p>
        </w:tc>
      </w:tr>
      <w:tr w14:paraId="69F85E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vAlign w:val="center"/>
          </w:tcPr>
          <w:p w14:paraId="07179158">
            <w:pPr>
              <w:keepNext w:val="0"/>
              <w:keepLines w:val="0"/>
              <w:suppressLineNumbers w:val="0"/>
              <w:spacing w:before="0" w:beforeAutospacing="0" w:after="0" w:afterAutospacing="0"/>
              <w:ind w:left="0" w:right="0"/>
              <w:rPr>
                <w:rFonts w:hint="default"/>
                <w:color w:val="auto"/>
                <w:highlight w:val="none"/>
              </w:rPr>
            </w:pPr>
          </w:p>
        </w:tc>
        <w:tc>
          <w:tcPr>
            <w:tcW w:w="3636" w:type="dxa"/>
            <w:gridSpan w:val="3"/>
            <w:vAlign w:val="center"/>
          </w:tcPr>
          <w:p w14:paraId="249B00E2">
            <w:pPr>
              <w:keepNext w:val="0"/>
              <w:keepLines w:val="0"/>
              <w:suppressLineNumbers w:val="0"/>
              <w:spacing w:before="0" w:beforeAutospacing="0" w:after="0" w:afterAutospacing="0"/>
              <w:ind w:left="0" w:right="0"/>
              <w:rPr>
                <w:rFonts w:hint="default"/>
                <w:color w:val="auto"/>
                <w:highlight w:val="none"/>
              </w:rPr>
            </w:pPr>
          </w:p>
        </w:tc>
        <w:tc>
          <w:tcPr>
            <w:tcW w:w="1404" w:type="dxa"/>
            <w:vAlign w:val="center"/>
          </w:tcPr>
          <w:p w14:paraId="7A335523">
            <w:pPr>
              <w:keepNext w:val="0"/>
              <w:keepLines w:val="0"/>
              <w:suppressLineNumbers w:val="0"/>
              <w:spacing w:before="0" w:beforeAutospacing="0" w:after="0" w:afterAutospacing="0"/>
              <w:ind w:left="0" w:right="0"/>
              <w:rPr>
                <w:rFonts w:hint="default"/>
                <w:color w:val="auto"/>
                <w:highlight w:val="none"/>
              </w:rPr>
            </w:pPr>
          </w:p>
        </w:tc>
        <w:tc>
          <w:tcPr>
            <w:tcW w:w="2203" w:type="dxa"/>
            <w:gridSpan w:val="2"/>
            <w:vAlign w:val="center"/>
          </w:tcPr>
          <w:p w14:paraId="57F3470A">
            <w:pPr>
              <w:keepNext w:val="0"/>
              <w:keepLines w:val="0"/>
              <w:suppressLineNumbers w:val="0"/>
              <w:spacing w:before="0" w:beforeAutospacing="0" w:after="0" w:afterAutospacing="0"/>
              <w:ind w:left="0" w:right="0"/>
              <w:rPr>
                <w:rFonts w:hint="default"/>
                <w:color w:val="auto"/>
                <w:highlight w:val="none"/>
              </w:rPr>
            </w:pPr>
          </w:p>
        </w:tc>
      </w:tr>
    </w:tbl>
    <w:p w14:paraId="6452A758">
      <w:pPr>
        <w:ind w:left="0" w:leftChars="0" w:firstLine="0" w:firstLineChars="0"/>
        <w:rPr>
          <w:color w:val="auto"/>
          <w:highlight w:val="none"/>
        </w:rPr>
      </w:pPr>
      <w:r>
        <w:rPr>
          <w:rFonts w:hint="eastAsia"/>
          <w:color w:val="auto"/>
          <w:szCs w:val="21"/>
          <w:highlight w:val="none"/>
        </w:rPr>
        <w:t>说明</w:t>
      </w:r>
      <w:r>
        <w:rPr>
          <w:rFonts w:hint="eastAsia"/>
          <w:color w:val="auto"/>
          <w:highlight w:val="none"/>
        </w:rPr>
        <w:t>：</w:t>
      </w:r>
      <w:r>
        <w:rPr>
          <w:rFonts w:hint="eastAsia"/>
          <w:color w:val="auto"/>
          <w:szCs w:val="21"/>
          <w:highlight w:val="none"/>
        </w:rPr>
        <w:t>主要人员证书、</w:t>
      </w:r>
      <w:r>
        <w:rPr>
          <w:rFonts w:hint="eastAsia"/>
          <w:color w:val="auto"/>
          <w:highlight w:val="none"/>
        </w:rPr>
        <w:t>类似项目证明资料等按第二章第42.1款或第四章要求提供。</w:t>
      </w:r>
    </w:p>
    <w:p w14:paraId="3417BB92">
      <w:pPr>
        <w:rPr>
          <w:color w:val="auto"/>
          <w:highlight w:val="none"/>
        </w:rPr>
      </w:pPr>
    </w:p>
    <w:p w14:paraId="2E2D7185">
      <w:pPr>
        <w:pStyle w:val="26"/>
        <w:rPr>
          <w:bCs/>
          <w:color w:val="auto"/>
          <w:highlight w:val="none"/>
        </w:rPr>
      </w:pPr>
      <w:r>
        <w:rPr>
          <w:rFonts w:hint="eastAsia"/>
          <w:color w:val="auto"/>
          <w:highlight w:val="none"/>
        </w:rPr>
        <w:t>供应商名称：</w:t>
      </w:r>
    </w:p>
    <w:p w14:paraId="62865F76">
      <w:pPr>
        <w:rPr>
          <w:color w:val="auto"/>
          <w:highlight w:val="none"/>
        </w:rPr>
      </w:pPr>
      <w:r>
        <w:rPr>
          <w:rFonts w:hint="eastAsia"/>
          <w:color w:val="auto"/>
          <w:highlight w:val="none"/>
        </w:rPr>
        <w:t>法定代表人或其委托代理人(签字)：_</w:t>
      </w:r>
    </w:p>
    <w:p w14:paraId="56CE67C7">
      <w:pPr>
        <w:rPr>
          <w:color w:val="auto"/>
          <w:highlight w:val="none"/>
        </w:rPr>
      </w:pPr>
      <w:r>
        <w:rPr>
          <w:rFonts w:hint="eastAsia"/>
          <w:color w:val="auto"/>
          <w:highlight w:val="none"/>
        </w:rPr>
        <w:t>日期：  年  月  日</w:t>
      </w:r>
    </w:p>
    <w:p w14:paraId="1D5A0F32">
      <w:pPr>
        <w:adjustRightInd w:val="0"/>
        <w:snapToGrid w:val="0"/>
        <w:spacing w:line="360" w:lineRule="auto"/>
        <w:ind w:firstLine="0" w:firstLineChars="0"/>
        <w:jc w:val="center"/>
        <w:rPr>
          <w:rFonts w:ascii="宋体" w:hAnsi="宋体" w:cs="宋体"/>
          <w:b/>
          <w:color w:val="auto"/>
          <w:sz w:val="30"/>
          <w:szCs w:val="30"/>
          <w:highlight w:val="none"/>
        </w:rPr>
      </w:pPr>
      <w:r>
        <w:rPr>
          <w:rFonts w:hint="eastAsia"/>
          <w:color w:val="auto"/>
          <w:highlight w:val="none"/>
        </w:rPr>
        <w:br w:type="page"/>
      </w:r>
      <w:r>
        <w:rPr>
          <w:rFonts w:hint="eastAsia" w:ascii="宋体" w:hAnsi="宋体" w:cs="宋体"/>
          <w:b/>
          <w:color w:val="auto"/>
          <w:sz w:val="30"/>
          <w:szCs w:val="30"/>
          <w:highlight w:val="none"/>
        </w:rPr>
        <w:t>四、技术/商务响应与偏离表</w:t>
      </w:r>
    </w:p>
    <w:p w14:paraId="5AA404E1">
      <w:pPr>
        <w:adjustRightInd w:val="0"/>
        <w:snapToGrid w:val="0"/>
        <w:spacing w:line="240" w:lineRule="auto"/>
        <w:ind w:left="-88" w:leftChars="-42" w:firstLine="315" w:firstLineChars="150"/>
        <w:rPr>
          <w:rFonts w:ascii="宋体" w:hAnsi="宋体" w:cs="宋体"/>
          <w:color w:val="auto"/>
          <w:szCs w:val="21"/>
          <w:highlight w:val="none"/>
          <w:u w:val="single"/>
        </w:rPr>
      </w:pPr>
    </w:p>
    <w:tbl>
      <w:tblPr>
        <w:tblStyle w:val="43"/>
        <w:tblW w:w="857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22"/>
        <w:gridCol w:w="1653"/>
        <w:gridCol w:w="2232"/>
        <w:gridCol w:w="2232"/>
        <w:gridCol w:w="1190"/>
        <w:gridCol w:w="648"/>
      </w:tblGrid>
      <w:tr w14:paraId="747596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828" w:hRule="atLeast"/>
          <w:jc w:val="center"/>
        </w:trPr>
        <w:tc>
          <w:tcPr>
            <w:tcW w:w="622" w:type="dxa"/>
            <w:vAlign w:val="center"/>
          </w:tcPr>
          <w:p w14:paraId="6142A5CE">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bCs/>
                <w:color w:val="auto"/>
                <w:szCs w:val="21"/>
                <w:highlight w:val="none"/>
              </w:rPr>
            </w:pPr>
            <w:r>
              <w:rPr>
                <w:rFonts w:hint="eastAsia" w:ascii="宋体" w:hAnsi="宋体" w:cs="宋体"/>
                <w:bCs/>
                <w:color w:val="auto"/>
                <w:szCs w:val="21"/>
                <w:highlight w:val="none"/>
              </w:rPr>
              <w:t>序号</w:t>
            </w:r>
          </w:p>
        </w:tc>
        <w:tc>
          <w:tcPr>
            <w:tcW w:w="1653" w:type="dxa"/>
            <w:vAlign w:val="center"/>
          </w:tcPr>
          <w:p w14:paraId="78D5BAFA">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磋商文件条目号</w:t>
            </w:r>
          </w:p>
        </w:tc>
        <w:tc>
          <w:tcPr>
            <w:tcW w:w="2232" w:type="dxa"/>
            <w:vAlign w:val="center"/>
          </w:tcPr>
          <w:p w14:paraId="65053869">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r>
              <w:rPr>
                <w:rFonts w:hint="eastAsia" w:cs="宋体"/>
                <w:color w:val="auto"/>
                <w:szCs w:val="21"/>
                <w:highlight w:val="none"/>
                <w:lang w:val="en-US" w:eastAsia="zh-CN"/>
              </w:rPr>
              <w:t>采购文件</w:t>
            </w:r>
            <w:r>
              <w:rPr>
                <w:rFonts w:hint="eastAsia" w:ascii="宋体" w:hAnsi="宋体" w:cs="宋体"/>
                <w:color w:val="auto"/>
                <w:szCs w:val="21"/>
                <w:highlight w:val="none"/>
              </w:rPr>
              <w:t>/商务</w:t>
            </w:r>
            <w:r>
              <w:rPr>
                <w:rFonts w:hint="eastAsia" w:cs="宋体"/>
                <w:color w:val="auto"/>
                <w:szCs w:val="21"/>
                <w:highlight w:val="none"/>
                <w:lang w:val="en-US" w:eastAsia="zh-CN"/>
              </w:rPr>
              <w:t>技术</w:t>
            </w:r>
            <w:r>
              <w:rPr>
                <w:rFonts w:hint="eastAsia" w:ascii="宋体" w:hAnsi="宋体" w:cs="宋体"/>
                <w:color w:val="auto"/>
                <w:szCs w:val="21"/>
                <w:highlight w:val="none"/>
              </w:rPr>
              <w:t>条款</w:t>
            </w:r>
          </w:p>
        </w:tc>
        <w:tc>
          <w:tcPr>
            <w:tcW w:w="2232" w:type="dxa"/>
            <w:vAlign w:val="center"/>
          </w:tcPr>
          <w:p w14:paraId="54EABE9E">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r>
              <w:rPr>
                <w:rFonts w:hint="eastAsia" w:cs="宋体"/>
                <w:color w:val="auto"/>
                <w:szCs w:val="21"/>
                <w:highlight w:val="none"/>
                <w:lang w:val="en-US" w:eastAsia="zh-CN"/>
              </w:rPr>
              <w:t>投标</w:t>
            </w:r>
            <w:r>
              <w:rPr>
                <w:rFonts w:hint="eastAsia" w:ascii="宋体" w:hAnsi="宋体" w:cs="宋体"/>
                <w:color w:val="auto"/>
                <w:szCs w:val="21"/>
                <w:highlight w:val="none"/>
              </w:rPr>
              <w:t>文件/商务</w:t>
            </w:r>
            <w:r>
              <w:rPr>
                <w:rFonts w:hint="eastAsia" w:cs="宋体"/>
                <w:color w:val="auto"/>
                <w:szCs w:val="21"/>
                <w:highlight w:val="none"/>
                <w:lang w:val="en-US" w:eastAsia="zh-CN"/>
              </w:rPr>
              <w:t>技术</w:t>
            </w:r>
            <w:r>
              <w:rPr>
                <w:rFonts w:hint="eastAsia" w:ascii="宋体" w:hAnsi="宋体" w:cs="宋体"/>
                <w:color w:val="auto"/>
                <w:szCs w:val="21"/>
                <w:highlight w:val="none"/>
              </w:rPr>
              <w:t>条款</w:t>
            </w:r>
          </w:p>
        </w:tc>
        <w:tc>
          <w:tcPr>
            <w:tcW w:w="1190" w:type="dxa"/>
            <w:vAlign w:val="center"/>
          </w:tcPr>
          <w:p w14:paraId="5F55B19F">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响应与偏离</w:t>
            </w:r>
          </w:p>
        </w:tc>
        <w:tc>
          <w:tcPr>
            <w:tcW w:w="648" w:type="dxa"/>
            <w:vAlign w:val="center"/>
          </w:tcPr>
          <w:p w14:paraId="7B955806">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r>
              <w:rPr>
                <w:rFonts w:hint="eastAsia" w:ascii="宋体" w:hAnsi="宋体" w:cs="宋体"/>
                <w:color w:val="auto"/>
                <w:szCs w:val="21"/>
                <w:highlight w:val="none"/>
              </w:rPr>
              <w:t>说明</w:t>
            </w:r>
          </w:p>
        </w:tc>
      </w:tr>
      <w:tr w14:paraId="1934FB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89" w:hRule="atLeast"/>
          <w:jc w:val="center"/>
        </w:trPr>
        <w:tc>
          <w:tcPr>
            <w:tcW w:w="622" w:type="dxa"/>
          </w:tcPr>
          <w:p w14:paraId="10134327">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1653" w:type="dxa"/>
            <w:vAlign w:val="center"/>
          </w:tcPr>
          <w:p w14:paraId="29A263F9">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2232" w:type="dxa"/>
            <w:vAlign w:val="center"/>
          </w:tcPr>
          <w:p w14:paraId="603F6C8D">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2232" w:type="dxa"/>
            <w:vAlign w:val="center"/>
          </w:tcPr>
          <w:p w14:paraId="41F0F585">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1190" w:type="dxa"/>
            <w:vAlign w:val="center"/>
          </w:tcPr>
          <w:p w14:paraId="5CB20F16">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648" w:type="dxa"/>
            <w:vAlign w:val="center"/>
          </w:tcPr>
          <w:p w14:paraId="7D75D7FC">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r>
      <w:tr w14:paraId="5FDB85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89" w:hRule="atLeast"/>
          <w:jc w:val="center"/>
        </w:trPr>
        <w:tc>
          <w:tcPr>
            <w:tcW w:w="622" w:type="dxa"/>
          </w:tcPr>
          <w:p w14:paraId="1F80F86F">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1653" w:type="dxa"/>
            <w:vAlign w:val="center"/>
          </w:tcPr>
          <w:p w14:paraId="6BBF327D">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2232" w:type="dxa"/>
            <w:vAlign w:val="center"/>
          </w:tcPr>
          <w:p w14:paraId="3EDEF888">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2232" w:type="dxa"/>
            <w:vAlign w:val="center"/>
          </w:tcPr>
          <w:p w14:paraId="79CFF85F">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1190" w:type="dxa"/>
            <w:vAlign w:val="center"/>
          </w:tcPr>
          <w:p w14:paraId="46FEFB27">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648" w:type="dxa"/>
            <w:vAlign w:val="center"/>
          </w:tcPr>
          <w:p w14:paraId="337D62E1">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r>
      <w:tr w14:paraId="3C864D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89" w:hRule="atLeast"/>
          <w:jc w:val="center"/>
        </w:trPr>
        <w:tc>
          <w:tcPr>
            <w:tcW w:w="622" w:type="dxa"/>
          </w:tcPr>
          <w:p w14:paraId="3738BDF9">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1653" w:type="dxa"/>
            <w:vAlign w:val="center"/>
          </w:tcPr>
          <w:p w14:paraId="3D894656">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2232" w:type="dxa"/>
            <w:vAlign w:val="center"/>
          </w:tcPr>
          <w:p w14:paraId="321E0362">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2232" w:type="dxa"/>
            <w:vAlign w:val="center"/>
          </w:tcPr>
          <w:p w14:paraId="2457114D">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1190" w:type="dxa"/>
            <w:vAlign w:val="center"/>
          </w:tcPr>
          <w:p w14:paraId="72374637">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648" w:type="dxa"/>
            <w:vAlign w:val="center"/>
          </w:tcPr>
          <w:p w14:paraId="3445941D">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r>
      <w:tr w14:paraId="7C63DE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89" w:hRule="atLeast"/>
          <w:jc w:val="center"/>
        </w:trPr>
        <w:tc>
          <w:tcPr>
            <w:tcW w:w="622" w:type="dxa"/>
          </w:tcPr>
          <w:p w14:paraId="5C1C4356">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1653" w:type="dxa"/>
            <w:vAlign w:val="center"/>
          </w:tcPr>
          <w:p w14:paraId="001A3534">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2232" w:type="dxa"/>
            <w:vAlign w:val="center"/>
          </w:tcPr>
          <w:p w14:paraId="669D6237">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2232" w:type="dxa"/>
            <w:vAlign w:val="center"/>
          </w:tcPr>
          <w:p w14:paraId="48FE3BF8">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1190" w:type="dxa"/>
            <w:vAlign w:val="center"/>
          </w:tcPr>
          <w:p w14:paraId="1D2DB36E">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c>
          <w:tcPr>
            <w:tcW w:w="648" w:type="dxa"/>
            <w:vAlign w:val="center"/>
          </w:tcPr>
          <w:p w14:paraId="336B3161">
            <w:pPr>
              <w:keepNext w:val="0"/>
              <w:keepLines w:val="0"/>
              <w:suppressLineNumbers w:val="0"/>
              <w:adjustRightInd w:val="0"/>
              <w:snapToGrid w:val="0"/>
              <w:spacing w:before="0" w:beforeAutospacing="0" w:after="0" w:afterAutospacing="0" w:line="240" w:lineRule="auto"/>
              <w:ind w:left="-88" w:leftChars="-42" w:right="0" w:firstLine="0" w:firstLineChars="0"/>
              <w:jc w:val="center"/>
              <w:rPr>
                <w:rFonts w:hint="default" w:ascii="宋体" w:hAnsi="宋体" w:cs="宋体"/>
                <w:color w:val="auto"/>
                <w:szCs w:val="21"/>
                <w:highlight w:val="none"/>
              </w:rPr>
            </w:pPr>
          </w:p>
        </w:tc>
      </w:tr>
      <w:tr w14:paraId="674162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869" w:hRule="atLeast"/>
          <w:jc w:val="center"/>
        </w:trPr>
        <w:tc>
          <w:tcPr>
            <w:tcW w:w="8577" w:type="dxa"/>
            <w:gridSpan w:val="6"/>
          </w:tcPr>
          <w:p w14:paraId="5B480DEE">
            <w:pPr>
              <w:keepNext w:val="0"/>
              <w:keepLines w:val="0"/>
              <w:suppressLineNumbers w:val="0"/>
              <w:adjustRightInd w:val="0"/>
              <w:snapToGrid w:val="0"/>
              <w:spacing w:before="0" w:beforeAutospacing="0" w:after="0" w:afterAutospacing="0" w:line="240" w:lineRule="auto"/>
              <w:ind w:left="-88" w:leftChars="-42" w:right="0" w:firstLine="211" w:firstLineChars="100"/>
              <w:rPr>
                <w:rFonts w:hint="default" w:ascii="宋体" w:hAnsi="宋体" w:cs="宋体"/>
                <w:color w:val="auto"/>
                <w:szCs w:val="21"/>
                <w:highlight w:val="none"/>
              </w:rPr>
            </w:pPr>
            <w:r>
              <w:rPr>
                <w:rFonts w:hint="eastAsia" w:ascii="宋体" w:hAnsi="宋体" w:cs="宋体"/>
                <w:b/>
                <w:bCs/>
                <w:color w:val="auto"/>
                <w:szCs w:val="21"/>
                <w:highlight w:val="none"/>
              </w:rPr>
              <w:t>我公司承诺对以上其他未列明的技术或商务条款，均全部响应，无偏离。</w:t>
            </w:r>
          </w:p>
        </w:tc>
      </w:tr>
    </w:tbl>
    <w:p w14:paraId="1C082038">
      <w:pPr>
        <w:adjustRightInd w:val="0"/>
        <w:snapToGrid w:val="0"/>
        <w:spacing w:line="360" w:lineRule="auto"/>
        <w:ind w:left="-88" w:leftChars="-42" w:firstLine="0" w:firstLineChars="0"/>
        <w:rPr>
          <w:rFonts w:hint="eastAsia" w:ascii="宋体" w:hAnsi="宋体" w:cs="宋体"/>
          <w:color w:val="auto"/>
          <w:szCs w:val="21"/>
          <w:highlight w:val="none"/>
        </w:rPr>
      </w:pPr>
    </w:p>
    <w:p w14:paraId="51F81B5D">
      <w:pPr>
        <w:adjustRightInd w:val="0"/>
        <w:snapToGrid w:val="0"/>
        <w:spacing w:line="360" w:lineRule="auto"/>
        <w:ind w:left="-88" w:leftChars="-42" w:firstLine="0" w:firstLineChars="0"/>
        <w:rPr>
          <w:rFonts w:ascii="宋体" w:hAnsi="宋体" w:cs="宋体"/>
          <w:color w:val="auto"/>
          <w:szCs w:val="21"/>
          <w:highlight w:val="none"/>
        </w:rPr>
      </w:pPr>
      <w:r>
        <w:rPr>
          <w:rFonts w:hint="eastAsia" w:ascii="宋体" w:hAnsi="宋体" w:cs="宋体"/>
          <w:color w:val="auto"/>
          <w:szCs w:val="21"/>
          <w:highlight w:val="none"/>
        </w:rPr>
        <w:t>说明：1、“响应与偏离”应注明“响应”或“偏离”。</w:t>
      </w:r>
    </w:p>
    <w:p w14:paraId="1CA52C0D">
      <w:pPr>
        <w:adjustRightInd w:val="0"/>
        <w:snapToGrid w:val="0"/>
        <w:spacing w:line="360" w:lineRule="auto"/>
        <w:ind w:firstLine="0" w:firstLineChars="0"/>
        <w:rPr>
          <w:rFonts w:ascii="宋体" w:hAnsi="宋体" w:cs="宋体"/>
          <w:color w:val="auto"/>
          <w:szCs w:val="21"/>
          <w:highlight w:val="none"/>
        </w:rPr>
      </w:pPr>
      <w:r>
        <w:rPr>
          <w:rFonts w:hint="eastAsia" w:ascii="宋体" w:hAnsi="宋体" w:cs="宋体"/>
          <w:color w:val="auto"/>
          <w:szCs w:val="21"/>
          <w:highlight w:val="none"/>
        </w:rPr>
        <w:t>2、属磋商文件规定可能变动的内容在“说明”栏中注明。</w:t>
      </w:r>
    </w:p>
    <w:p w14:paraId="097E1FF8">
      <w:pPr>
        <w:rPr>
          <w:color w:val="auto"/>
          <w:highlight w:val="none"/>
        </w:rPr>
      </w:pPr>
    </w:p>
    <w:p w14:paraId="5BB31637">
      <w:pPr>
        <w:pStyle w:val="26"/>
        <w:ind w:firstLine="480"/>
        <w:rPr>
          <w:color w:val="auto"/>
          <w:highlight w:val="none"/>
        </w:rPr>
      </w:pPr>
    </w:p>
    <w:p w14:paraId="3557BA65">
      <w:pPr>
        <w:rPr>
          <w:color w:val="auto"/>
          <w:highlight w:val="none"/>
        </w:rPr>
      </w:pPr>
    </w:p>
    <w:p w14:paraId="62A5FAE9">
      <w:pPr>
        <w:rPr>
          <w:color w:val="auto"/>
          <w:highlight w:val="none"/>
        </w:rPr>
      </w:pPr>
    </w:p>
    <w:p w14:paraId="3B537E4D">
      <w:pPr>
        <w:rPr>
          <w:color w:val="auto"/>
          <w:highlight w:val="none"/>
        </w:rPr>
      </w:pPr>
    </w:p>
    <w:p w14:paraId="1BEEF69E">
      <w:pPr>
        <w:rPr>
          <w:color w:val="auto"/>
          <w:highlight w:val="none"/>
        </w:rPr>
      </w:pPr>
    </w:p>
    <w:p w14:paraId="563DF8D3">
      <w:pPr>
        <w:rPr>
          <w:color w:val="auto"/>
          <w:highlight w:val="none"/>
        </w:rPr>
      </w:pPr>
    </w:p>
    <w:p w14:paraId="11CD2E71">
      <w:pPr>
        <w:rPr>
          <w:color w:val="auto"/>
          <w:highlight w:val="none"/>
        </w:rPr>
      </w:pPr>
    </w:p>
    <w:p w14:paraId="2133E807">
      <w:pPr>
        <w:pStyle w:val="26"/>
        <w:ind w:firstLine="480" w:firstLineChars="200"/>
        <w:rPr>
          <w:bCs/>
          <w:color w:val="auto"/>
          <w:highlight w:val="none"/>
        </w:rPr>
      </w:pPr>
      <w:r>
        <w:rPr>
          <w:rFonts w:hint="eastAsia"/>
          <w:color w:val="auto"/>
          <w:highlight w:val="none"/>
        </w:rPr>
        <w:t>供应商名称：</w:t>
      </w:r>
    </w:p>
    <w:p w14:paraId="560ABEFF">
      <w:pPr>
        <w:rPr>
          <w:color w:val="auto"/>
          <w:highlight w:val="none"/>
        </w:rPr>
      </w:pPr>
      <w:r>
        <w:rPr>
          <w:rFonts w:hint="eastAsia"/>
          <w:color w:val="auto"/>
          <w:highlight w:val="none"/>
        </w:rPr>
        <w:t>法定代表人或其委托代理人(签字)：</w:t>
      </w:r>
    </w:p>
    <w:p w14:paraId="3914C2D8">
      <w:pPr>
        <w:rPr>
          <w:color w:val="auto"/>
          <w:highlight w:val="none"/>
        </w:rPr>
      </w:pPr>
      <w:r>
        <w:rPr>
          <w:rFonts w:hint="eastAsia"/>
          <w:color w:val="auto"/>
          <w:highlight w:val="none"/>
        </w:rPr>
        <w:t>日    期：  年  月  日</w:t>
      </w:r>
    </w:p>
    <w:p w14:paraId="73F7CE55">
      <w:pPr>
        <w:rPr>
          <w:color w:val="auto"/>
          <w:highlight w:val="none"/>
        </w:rPr>
      </w:pPr>
    </w:p>
    <w:p w14:paraId="5B9C1BC3">
      <w:pPr>
        <w:rPr>
          <w:color w:val="auto"/>
          <w:highlight w:val="none"/>
        </w:rPr>
      </w:pPr>
    </w:p>
    <w:p w14:paraId="43EAB10F">
      <w:pPr>
        <w:spacing w:line="240" w:lineRule="auto"/>
        <w:ind w:firstLine="803" w:firstLineChars="0"/>
        <w:jc w:val="center"/>
        <w:rPr>
          <w:rFonts w:ascii="宋体" w:hAnsi="宋体" w:cs="宋体"/>
          <w:b/>
          <w:color w:val="auto"/>
          <w:sz w:val="32"/>
          <w:szCs w:val="32"/>
          <w:highlight w:val="none"/>
        </w:rPr>
      </w:pPr>
      <w:r>
        <w:rPr>
          <w:rFonts w:hint="eastAsia" w:ascii="宋体" w:hAnsi="宋体" w:cs="宋体"/>
          <w:b/>
          <w:bCs/>
          <w:color w:val="auto"/>
          <w:sz w:val="32"/>
          <w:szCs w:val="32"/>
          <w:highlight w:val="none"/>
        </w:rPr>
        <w:t>五、</w:t>
      </w:r>
      <w:r>
        <w:rPr>
          <w:rFonts w:hint="eastAsia" w:ascii="宋体" w:hAnsi="宋体" w:cs="宋体"/>
          <w:b/>
          <w:color w:val="auto"/>
          <w:sz w:val="32"/>
          <w:szCs w:val="32"/>
          <w:highlight w:val="none"/>
        </w:rPr>
        <w:t>报价一览表及报价文件</w:t>
      </w:r>
    </w:p>
    <w:p w14:paraId="2AC6CDD0">
      <w:pPr>
        <w:tabs>
          <w:tab w:val="left" w:pos="1680"/>
        </w:tabs>
        <w:adjustRightInd w:val="0"/>
        <w:snapToGrid w:val="0"/>
        <w:spacing w:line="240" w:lineRule="auto"/>
        <w:ind w:firstLine="0" w:firstLineChars="0"/>
        <w:rPr>
          <w:rFonts w:ascii="宋体" w:hAnsi="宋体" w:cs="宋体"/>
          <w:bCs/>
          <w:color w:val="auto"/>
          <w:sz w:val="30"/>
          <w:szCs w:val="30"/>
          <w:highlight w:val="none"/>
        </w:rPr>
      </w:pPr>
      <w:r>
        <w:rPr>
          <w:rFonts w:hint="eastAsia" w:ascii="宋体" w:hAnsi="宋体" w:cs="宋体"/>
          <w:color w:val="auto"/>
          <w:sz w:val="30"/>
          <w:szCs w:val="30"/>
          <w:highlight w:val="none"/>
        </w:rPr>
        <w:t>附件8-1</w:t>
      </w:r>
      <w:r>
        <w:rPr>
          <w:rFonts w:hint="eastAsia" w:ascii="宋体" w:hAnsi="宋体" w:cs="宋体"/>
          <w:color w:val="auto"/>
          <w:sz w:val="30"/>
          <w:szCs w:val="30"/>
          <w:highlight w:val="none"/>
        </w:rPr>
        <w:tab/>
      </w:r>
    </w:p>
    <w:p w14:paraId="71E71058">
      <w:pPr>
        <w:adjustRightInd w:val="0"/>
        <w:snapToGrid w:val="0"/>
        <w:spacing w:line="240" w:lineRule="auto"/>
        <w:ind w:firstLine="0" w:firstLineChars="0"/>
        <w:jc w:val="center"/>
        <w:rPr>
          <w:rFonts w:hint="eastAsia" w:ascii="宋体" w:hAnsi="宋体" w:cs="宋体"/>
          <w:b/>
          <w:bCs/>
          <w:color w:val="auto"/>
          <w:sz w:val="30"/>
          <w:szCs w:val="30"/>
          <w:highlight w:val="none"/>
        </w:rPr>
      </w:pPr>
    </w:p>
    <w:p w14:paraId="5C136162">
      <w:pPr>
        <w:adjustRightInd w:val="0"/>
        <w:snapToGrid w:val="0"/>
        <w:spacing w:line="240" w:lineRule="auto"/>
        <w:ind w:firstLine="0" w:firstLineChars="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报价一览表</w:t>
      </w:r>
    </w:p>
    <w:p w14:paraId="3FA5CBCD">
      <w:pPr>
        <w:pStyle w:val="3"/>
        <w:rPr>
          <w:rFonts w:hint="eastAsia"/>
          <w:color w:val="auto"/>
          <w:highlight w:val="none"/>
        </w:rPr>
      </w:pPr>
    </w:p>
    <w:tbl>
      <w:tblPr>
        <w:tblStyle w:val="43"/>
        <w:tblW w:w="913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3495"/>
        <w:gridCol w:w="1740"/>
        <w:gridCol w:w="2385"/>
      </w:tblGrid>
      <w:tr w14:paraId="40E8DE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517" w:type="dxa"/>
            <w:vMerge w:val="restart"/>
            <w:tcBorders>
              <w:top w:val="double" w:color="auto" w:sz="4" w:space="0"/>
              <w:left w:val="double" w:color="auto" w:sz="4" w:space="0"/>
              <w:bottom w:val="single" w:color="auto" w:sz="6" w:space="0"/>
              <w:right w:val="single" w:color="auto" w:sz="6" w:space="0"/>
            </w:tcBorders>
            <w:noWrap/>
            <w:vAlign w:val="center"/>
          </w:tcPr>
          <w:p w14:paraId="50B1571A">
            <w:pPr>
              <w:keepNext w:val="0"/>
              <w:keepLines w:val="0"/>
              <w:suppressLineNumbers w:val="0"/>
              <w:spacing w:before="0" w:beforeAutospacing="0" w:after="0" w:afterAutospacing="0"/>
              <w:ind w:left="0" w:leftChars="0" w:right="0" w:firstLine="0" w:firstLineChars="0"/>
              <w:jc w:val="center"/>
              <w:rPr>
                <w:rFonts w:hint="default"/>
                <w:color w:val="auto"/>
                <w:highlight w:val="none"/>
              </w:rPr>
            </w:pPr>
            <w:r>
              <w:rPr>
                <w:rFonts w:hint="eastAsia"/>
                <w:color w:val="auto"/>
                <w:highlight w:val="none"/>
              </w:rPr>
              <w:t>项目名称</w:t>
            </w:r>
          </w:p>
        </w:tc>
        <w:tc>
          <w:tcPr>
            <w:tcW w:w="3495" w:type="dxa"/>
            <w:vMerge w:val="restart"/>
            <w:tcBorders>
              <w:top w:val="double" w:color="auto" w:sz="4" w:space="0"/>
              <w:left w:val="single" w:color="auto" w:sz="6" w:space="0"/>
              <w:bottom w:val="single" w:color="auto" w:sz="6" w:space="0"/>
              <w:right w:val="single" w:color="auto" w:sz="6" w:space="0"/>
            </w:tcBorders>
            <w:noWrap/>
            <w:vAlign w:val="center"/>
          </w:tcPr>
          <w:p w14:paraId="259D7CD8">
            <w:pPr>
              <w:keepNext w:val="0"/>
              <w:keepLines w:val="0"/>
              <w:suppressLineNumbers w:val="0"/>
              <w:spacing w:before="0" w:beforeAutospacing="0" w:after="0" w:afterAutospacing="0"/>
              <w:ind w:left="0" w:right="0"/>
              <w:rPr>
                <w:rFonts w:hint="default"/>
                <w:color w:val="auto"/>
                <w:highlight w:val="none"/>
              </w:rPr>
            </w:pPr>
          </w:p>
        </w:tc>
        <w:tc>
          <w:tcPr>
            <w:tcW w:w="1740" w:type="dxa"/>
            <w:tcBorders>
              <w:top w:val="double" w:color="auto" w:sz="4" w:space="0"/>
              <w:left w:val="single" w:color="auto" w:sz="6" w:space="0"/>
              <w:bottom w:val="single" w:color="auto" w:sz="6" w:space="0"/>
              <w:right w:val="single" w:color="auto" w:sz="6" w:space="0"/>
            </w:tcBorders>
            <w:noWrap/>
            <w:vAlign w:val="center"/>
          </w:tcPr>
          <w:p w14:paraId="57EEB948">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采购</w:t>
            </w:r>
            <w:r>
              <w:rPr>
                <w:rFonts w:hint="eastAsia"/>
                <w:color w:val="auto"/>
                <w:highlight w:val="none"/>
                <w:lang w:eastAsia="zh-CN"/>
              </w:rPr>
              <w:t>项目</w:t>
            </w:r>
            <w:r>
              <w:rPr>
                <w:rFonts w:hint="eastAsia"/>
                <w:color w:val="auto"/>
                <w:highlight w:val="none"/>
              </w:rPr>
              <w:t>编号</w:t>
            </w:r>
          </w:p>
        </w:tc>
        <w:tc>
          <w:tcPr>
            <w:tcW w:w="2385" w:type="dxa"/>
            <w:tcBorders>
              <w:top w:val="double" w:color="auto" w:sz="4" w:space="0"/>
              <w:left w:val="single" w:color="auto" w:sz="6" w:space="0"/>
              <w:bottom w:val="single" w:color="auto" w:sz="6" w:space="0"/>
              <w:right w:val="double" w:color="auto" w:sz="4" w:space="0"/>
            </w:tcBorders>
            <w:noWrap/>
            <w:vAlign w:val="center"/>
          </w:tcPr>
          <w:p w14:paraId="3BE69984">
            <w:pPr>
              <w:keepNext w:val="0"/>
              <w:keepLines w:val="0"/>
              <w:suppressLineNumbers w:val="0"/>
              <w:spacing w:before="0" w:beforeAutospacing="0" w:after="0" w:afterAutospacing="0"/>
              <w:ind w:left="0" w:right="0"/>
              <w:rPr>
                <w:rFonts w:hint="default"/>
                <w:color w:val="auto"/>
                <w:highlight w:val="none"/>
              </w:rPr>
            </w:pPr>
          </w:p>
        </w:tc>
      </w:tr>
      <w:tr w14:paraId="39CA03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517" w:type="dxa"/>
            <w:vMerge w:val="continue"/>
            <w:tcBorders>
              <w:top w:val="single" w:color="auto" w:sz="6" w:space="0"/>
              <w:left w:val="double" w:color="auto" w:sz="4" w:space="0"/>
              <w:bottom w:val="single" w:color="auto" w:sz="6" w:space="0"/>
              <w:right w:val="single" w:color="auto" w:sz="6" w:space="0"/>
            </w:tcBorders>
            <w:noWrap/>
            <w:vAlign w:val="center"/>
          </w:tcPr>
          <w:p w14:paraId="2BD5ECEB">
            <w:pPr>
              <w:keepNext w:val="0"/>
              <w:keepLines w:val="0"/>
              <w:suppressLineNumbers w:val="0"/>
              <w:spacing w:before="0" w:beforeAutospacing="0" w:after="0" w:afterAutospacing="0"/>
              <w:ind w:left="0" w:right="0"/>
              <w:jc w:val="center"/>
              <w:rPr>
                <w:rFonts w:hint="default"/>
                <w:color w:val="auto"/>
                <w:highlight w:val="none"/>
              </w:rPr>
            </w:pPr>
          </w:p>
        </w:tc>
        <w:tc>
          <w:tcPr>
            <w:tcW w:w="3495" w:type="dxa"/>
            <w:vMerge w:val="continue"/>
            <w:tcBorders>
              <w:top w:val="single" w:color="auto" w:sz="6" w:space="0"/>
              <w:left w:val="single" w:color="auto" w:sz="6" w:space="0"/>
              <w:bottom w:val="single" w:color="auto" w:sz="6" w:space="0"/>
              <w:right w:val="single" w:color="auto" w:sz="6" w:space="0"/>
            </w:tcBorders>
            <w:noWrap/>
            <w:vAlign w:val="center"/>
          </w:tcPr>
          <w:p w14:paraId="47A70BEE">
            <w:pPr>
              <w:keepNext w:val="0"/>
              <w:keepLines w:val="0"/>
              <w:suppressLineNumbers w:val="0"/>
              <w:spacing w:before="0" w:beforeAutospacing="0" w:after="0" w:afterAutospacing="0"/>
              <w:ind w:left="0" w:right="0"/>
              <w:rPr>
                <w:rFonts w:hint="default"/>
                <w:color w:val="auto"/>
                <w:highlight w:val="none"/>
              </w:rPr>
            </w:pPr>
          </w:p>
        </w:tc>
        <w:tc>
          <w:tcPr>
            <w:tcW w:w="1740" w:type="dxa"/>
            <w:tcBorders>
              <w:top w:val="single" w:color="auto" w:sz="6" w:space="0"/>
              <w:left w:val="single" w:color="auto" w:sz="6" w:space="0"/>
              <w:bottom w:val="single" w:color="auto" w:sz="6" w:space="0"/>
              <w:right w:val="single" w:color="auto" w:sz="6" w:space="0"/>
            </w:tcBorders>
            <w:noWrap/>
            <w:vAlign w:val="center"/>
          </w:tcPr>
          <w:p w14:paraId="5C4AABFB">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委托代理编号</w:t>
            </w:r>
          </w:p>
        </w:tc>
        <w:tc>
          <w:tcPr>
            <w:tcW w:w="2385" w:type="dxa"/>
            <w:tcBorders>
              <w:top w:val="single" w:color="auto" w:sz="6" w:space="0"/>
              <w:left w:val="single" w:color="auto" w:sz="6" w:space="0"/>
              <w:bottom w:val="single" w:color="auto" w:sz="6" w:space="0"/>
              <w:right w:val="double" w:color="auto" w:sz="4" w:space="0"/>
            </w:tcBorders>
            <w:noWrap/>
            <w:vAlign w:val="center"/>
          </w:tcPr>
          <w:p w14:paraId="71949572">
            <w:pPr>
              <w:keepNext w:val="0"/>
              <w:keepLines w:val="0"/>
              <w:suppressLineNumbers w:val="0"/>
              <w:spacing w:before="0" w:beforeAutospacing="0" w:after="0" w:afterAutospacing="0"/>
              <w:ind w:left="0" w:right="0"/>
              <w:rPr>
                <w:rFonts w:hint="default"/>
                <w:color w:val="auto"/>
                <w:highlight w:val="none"/>
              </w:rPr>
            </w:pPr>
          </w:p>
        </w:tc>
      </w:tr>
      <w:tr w14:paraId="4C6FFA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517" w:type="dxa"/>
            <w:tcBorders>
              <w:top w:val="single" w:color="auto" w:sz="6" w:space="0"/>
              <w:left w:val="double" w:color="auto" w:sz="4" w:space="0"/>
              <w:right w:val="single" w:color="auto" w:sz="6" w:space="0"/>
            </w:tcBorders>
            <w:noWrap/>
            <w:vAlign w:val="center"/>
          </w:tcPr>
          <w:p w14:paraId="7DB369A2">
            <w:pPr>
              <w:keepNext w:val="0"/>
              <w:keepLines w:val="0"/>
              <w:suppressLineNumbers w:val="0"/>
              <w:spacing w:before="0" w:beforeAutospacing="0" w:after="0" w:afterAutospacing="0"/>
              <w:ind w:left="0" w:leftChars="0" w:right="0" w:firstLine="0" w:firstLineChars="0"/>
              <w:jc w:val="center"/>
              <w:rPr>
                <w:rFonts w:hint="default"/>
                <w:color w:val="auto"/>
                <w:highlight w:val="none"/>
              </w:rPr>
            </w:pPr>
            <w:r>
              <w:rPr>
                <w:rFonts w:hint="eastAsia"/>
                <w:color w:val="auto"/>
                <w:highlight w:val="none"/>
              </w:rPr>
              <w:t>服务内容</w:t>
            </w:r>
          </w:p>
        </w:tc>
        <w:tc>
          <w:tcPr>
            <w:tcW w:w="7620" w:type="dxa"/>
            <w:gridSpan w:val="3"/>
            <w:tcBorders>
              <w:top w:val="single" w:color="auto" w:sz="6" w:space="0"/>
              <w:left w:val="single" w:color="auto" w:sz="6" w:space="0"/>
              <w:bottom w:val="single" w:color="auto" w:sz="6" w:space="0"/>
              <w:right w:val="double" w:color="auto" w:sz="4" w:space="0"/>
            </w:tcBorders>
            <w:noWrap/>
            <w:vAlign w:val="center"/>
          </w:tcPr>
          <w:p w14:paraId="39CCCD93">
            <w:pPr>
              <w:keepNext w:val="0"/>
              <w:keepLines w:val="0"/>
              <w:suppressLineNumbers w:val="0"/>
              <w:spacing w:before="0" w:beforeAutospacing="0" w:after="0" w:afterAutospacing="0"/>
              <w:ind w:left="0" w:right="0"/>
              <w:rPr>
                <w:rFonts w:hint="default"/>
                <w:color w:val="auto"/>
                <w:highlight w:val="none"/>
              </w:rPr>
            </w:pPr>
          </w:p>
        </w:tc>
      </w:tr>
      <w:tr w14:paraId="6C5102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6" w:hRule="atLeast"/>
          <w:jc w:val="center"/>
        </w:trPr>
        <w:tc>
          <w:tcPr>
            <w:tcW w:w="1517" w:type="dxa"/>
            <w:tcBorders>
              <w:top w:val="single" w:color="auto" w:sz="6" w:space="0"/>
              <w:left w:val="double" w:color="auto" w:sz="4" w:space="0"/>
              <w:right w:val="single" w:color="auto" w:sz="6" w:space="0"/>
            </w:tcBorders>
            <w:noWrap/>
            <w:vAlign w:val="center"/>
          </w:tcPr>
          <w:p w14:paraId="3E210307">
            <w:pPr>
              <w:keepNext w:val="0"/>
              <w:keepLines w:val="0"/>
              <w:suppressLineNumbers w:val="0"/>
              <w:spacing w:before="0" w:beforeAutospacing="0" w:after="0" w:afterAutospacing="0"/>
              <w:ind w:left="0" w:leftChars="0" w:right="0" w:firstLine="0" w:firstLineChars="0"/>
              <w:jc w:val="both"/>
              <w:rPr>
                <w:rFonts w:hint="default" w:eastAsia="宋体"/>
                <w:color w:val="auto"/>
                <w:highlight w:val="none"/>
                <w:lang w:val="en-US" w:eastAsia="zh-CN"/>
              </w:rPr>
            </w:pPr>
            <w:r>
              <w:rPr>
                <w:rFonts w:hint="eastAsia"/>
                <w:color w:val="auto"/>
                <w:highlight w:val="none"/>
              </w:rPr>
              <w:t>总报价</w:t>
            </w:r>
            <w:r>
              <w:rPr>
                <w:rFonts w:hint="eastAsia"/>
                <w:color w:val="auto"/>
                <w:highlight w:val="none"/>
                <w:lang w:val="en-US" w:eastAsia="zh-CN"/>
              </w:rPr>
              <w:t>(含税）</w:t>
            </w:r>
          </w:p>
        </w:tc>
        <w:tc>
          <w:tcPr>
            <w:tcW w:w="7620" w:type="dxa"/>
            <w:gridSpan w:val="3"/>
            <w:tcBorders>
              <w:top w:val="single" w:color="auto" w:sz="6" w:space="0"/>
              <w:left w:val="single" w:color="auto" w:sz="6" w:space="0"/>
              <w:bottom w:val="single" w:color="auto" w:sz="6" w:space="0"/>
              <w:right w:val="double" w:color="auto" w:sz="4" w:space="0"/>
            </w:tcBorders>
            <w:noWrap/>
            <w:vAlign w:val="center"/>
          </w:tcPr>
          <w:p w14:paraId="0A1C4424">
            <w:pPr>
              <w:keepNext w:val="0"/>
              <w:keepLines w:val="0"/>
              <w:suppressLineNumbers w:val="0"/>
              <w:spacing w:before="0" w:beforeAutospacing="0" w:after="0" w:afterAutospacing="0"/>
              <w:ind w:left="0" w:leftChars="0" w:right="0" w:firstLine="0" w:firstLineChars="0"/>
              <w:rPr>
                <w:rFonts w:hint="default"/>
                <w:color w:val="auto"/>
                <w:highlight w:val="none"/>
              </w:rPr>
            </w:pPr>
            <w:r>
              <w:rPr>
                <w:rFonts w:hint="eastAsia"/>
                <w:color w:val="auto"/>
                <w:highlight w:val="none"/>
              </w:rPr>
              <w:t>大写：</w:t>
            </w:r>
          </w:p>
          <w:p w14:paraId="6E909C62">
            <w:pPr>
              <w:keepNext w:val="0"/>
              <w:keepLines w:val="0"/>
              <w:suppressLineNumbers w:val="0"/>
              <w:spacing w:before="0" w:beforeAutospacing="0" w:after="0" w:afterAutospacing="0"/>
              <w:ind w:left="0" w:right="0" w:firstLine="0" w:firstLineChars="0"/>
              <w:rPr>
                <w:rFonts w:hint="eastAsia"/>
                <w:color w:val="auto"/>
                <w:highlight w:val="none"/>
                <w:lang w:val="en-US" w:eastAsia="zh-CN"/>
              </w:rPr>
            </w:pPr>
            <w:r>
              <w:rPr>
                <w:rFonts w:hint="eastAsia"/>
                <w:color w:val="auto"/>
                <w:highlight w:val="none"/>
              </w:rPr>
              <w:t>小写：</w:t>
            </w:r>
            <w:r>
              <w:rPr>
                <w:rFonts w:hint="eastAsia"/>
                <w:color w:val="auto"/>
                <w:highlight w:val="none"/>
                <w:lang w:val="en-US" w:eastAsia="zh-CN"/>
              </w:rPr>
              <w:t xml:space="preserve"> </w:t>
            </w:r>
          </w:p>
          <w:p w14:paraId="145EC7D1">
            <w:pPr>
              <w:keepNext w:val="0"/>
              <w:keepLines w:val="0"/>
              <w:suppressLineNumbers w:val="0"/>
              <w:spacing w:before="0" w:beforeAutospacing="0" w:after="0" w:afterAutospacing="0"/>
              <w:ind w:left="0" w:right="0"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注：其中月度服务费        元/月。</w:t>
            </w:r>
          </w:p>
          <w:p w14:paraId="3F934802">
            <w:pPr>
              <w:keepNext w:val="0"/>
              <w:keepLines w:val="0"/>
              <w:suppressLineNumbers w:val="0"/>
              <w:spacing w:before="0" w:beforeAutospacing="0" w:after="0" w:afterAutospacing="0"/>
              <w:ind w:left="0" w:leftChars="0" w:right="0" w:firstLine="0" w:firstLineChars="0"/>
              <w:rPr>
                <w:rFonts w:hint="default" w:eastAsia="宋体"/>
                <w:color w:val="auto"/>
                <w:highlight w:val="none"/>
                <w:lang w:val="en-US" w:eastAsia="zh-CN"/>
              </w:rPr>
            </w:pPr>
          </w:p>
        </w:tc>
      </w:tr>
      <w:tr w14:paraId="0DDAE1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17" w:type="dxa"/>
            <w:tcBorders>
              <w:top w:val="single" w:color="auto" w:sz="6" w:space="0"/>
              <w:left w:val="double" w:color="auto" w:sz="4" w:space="0"/>
              <w:bottom w:val="single" w:color="auto" w:sz="6" w:space="0"/>
              <w:right w:val="single" w:color="auto" w:sz="6" w:space="0"/>
            </w:tcBorders>
            <w:noWrap/>
            <w:vAlign w:val="center"/>
          </w:tcPr>
          <w:p w14:paraId="235788C5">
            <w:pPr>
              <w:keepNext w:val="0"/>
              <w:keepLines w:val="0"/>
              <w:suppressLineNumbers w:val="0"/>
              <w:spacing w:before="0" w:beforeAutospacing="0" w:after="0" w:afterAutospacing="0"/>
              <w:ind w:left="0" w:leftChars="0" w:right="0" w:firstLine="0" w:firstLineChars="0"/>
              <w:jc w:val="center"/>
              <w:rPr>
                <w:rFonts w:hint="eastAsia" w:eastAsia="宋体"/>
                <w:color w:val="auto"/>
                <w:highlight w:val="none"/>
                <w:lang w:eastAsia="zh-CN"/>
              </w:rPr>
            </w:pPr>
            <w:r>
              <w:rPr>
                <w:rFonts w:hint="eastAsia"/>
                <w:color w:val="auto"/>
                <w:highlight w:val="none"/>
              </w:rPr>
              <w:t>服务</w:t>
            </w:r>
            <w:r>
              <w:rPr>
                <w:rFonts w:hint="eastAsia"/>
                <w:color w:val="auto"/>
                <w:highlight w:val="none"/>
                <w:lang w:val="en-US" w:eastAsia="zh-CN"/>
              </w:rPr>
              <w:t>期限</w:t>
            </w:r>
          </w:p>
        </w:tc>
        <w:tc>
          <w:tcPr>
            <w:tcW w:w="7620" w:type="dxa"/>
            <w:gridSpan w:val="3"/>
            <w:tcBorders>
              <w:top w:val="single" w:color="auto" w:sz="6" w:space="0"/>
              <w:left w:val="single" w:color="auto" w:sz="6" w:space="0"/>
              <w:bottom w:val="single" w:color="auto" w:sz="6" w:space="0"/>
              <w:right w:val="double" w:color="auto" w:sz="4" w:space="0"/>
            </w:tcBorders>
            <w:noWrap/>
            <w:vAlign w:val="center"/>
          </w:tcPr>
          <w:p w14:paraId="6E1323AE">
            <w:pPr>
              <w:keepNext w:val="0"/>
              <w:keepLines w:val="0"/>
              <w:suppressLineNumbers w:val="0"/>
              <w:spacing w:before="0" w:beforeAutospacing="0" w:after="0" w:afterAutospacing="0"/>
              <w:ind w:left="0" w:right="0"/>
              <w:rPr>
                <w:rFonts w:hint="default"/>
                <w:color w:val="auto"/>
                <w:highlight w:val="none"/>
              </w:rPr>
            </w:pPr>
          </w:p>
        </w:tc>
      </w:tr>
      <w:tr w14:paraId="3B832F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517" w:type="dxa"/>
            <w:tcBorders>
              <w:top w:val="single" w:color="auto" w:sz="6" w:space="0"/>
              <w:left w:val="double" w:color="auto" w:sz="4" w:space="0"/>
              <w:bottom w:val="single" w:color="auto" w:sz="6" w:space="0"/>
              <w:right w:val="single" w:color="auto" w:sz="6" w:space="0"/>
            </w:tcBorders>
            <w:noWrap/>
            <w:vAlign w:val="center"/>
          </w:tcPr>
          <w:p w14:paraId="5E019F20">
            <w:pPr>
              <w:keepNext w:val="0"/>
              <w:keepLines w:val="0"/>
              <w:suppressLineNumbers w:val="0"/>
              <w:spacing w:before="0" w:beforeAutospacing="0" w:after="0" w:afterAutospacing="0"/>
              <w:ind w:left="0" w:leftChars="0" w:right="0" w:firstLine="0" w:firstLineChars="0"/>
              <w:jc w:val="center"/>
              <w:rPr>
                <w:rFonts w:hint="default"/>
                <w:color w:val="auto"/>
                <w:highlight w:val="none"/>
              </w:rPr>
            </w:pPr>
            <w:r>
              <w:rPr>
                <w:rFonts w:hint="eastAsia"/>
                <w:color w:val="auto"/>
                <w:highlight w:val="none"/>
              </w:rPr>
              <w:t>项目负责人</w:t>
            </w:r>
          </w:p>
        </w:tc>
        <w:tc>
          <w:tcPr>
            <w:tcW w:w="7620" w:type="dxa"/>
            <w:gridSpan w:val="3"/>
            <w:tcBorders>
              <w:top w:val="single" w:color="auto" w:sz="6" w:space="0"/>
              <w:left w:val="single" w:color="auto" w:sz="6" w:space="0"/>
              <w:bottom w:val="single" w:color="auto" w:sz="6" w:space="0"/>
              <w:right w:val="double" w:color="auto" w:sz="4" w:space="0"/>
            </w:tcBorders>
            <w:noWrap/>
            <w:vAlign w:val="center"/>
          </w:tcPr>
          <w:p w14:paraId="6A14C111">
            <w:pPr>
              <w:keepNext w:val="0"/>
              <w:keepLines w:val="0"/>
              <w:suppressLineNumbers w:val="0"/>
              <w:spacing w:before="0" w:beforeAutospacing="0" w:after="0" w:afterAutospacing="0"/>
              <w:ind w:left="0" w:right="0"/>
              <w:rPr>
                <w:rFonts w:hint="default"/>
                <w:color w:val="auto"/>
                <w:highlight w:val="none"/>
              </w:rPr>
            </w:pPr>
          </w:p>
        </w:tc>
      </w:tr>
      <w:tr w14:paraId="67D39A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517" w:type="dxa"/>
            <w:tcBorders>
              <w:top w:val="single" w:color="auto" w:sz="6" w:space="0"/>
              <w:left w:val="double" w:color="auto" w:sz="4" w:space="0"/>
              <w:bottom w:val="double" w:color="auto" w:sz="4" w:space="0"/>
              <w:right w:val="single" w:color="auto" w:sz="6" w:space="0"/>
            </w:tcBorders>
            <w:noWrap/>
            <w:vAlign w:val="center"/>
          </w:tcPr>
          <w:p w14:paraId="760F5CE8">
            <w:pPr>
              <w:keepNext w:val="0"/>
              <w:keepLines w:val="0"/>
              <w:suppressLineNumbers w:val="0"/>
              <w:spacing w:before="0" w:beforeAutospacing="0" w:after="0" w:afterAutospacing="0"/>
              <w:ind w:left="0" w:right="0"/>
              <w:jc w:val="both"/>
              <w:rPr>
                <w:rFonts w:hint="default"/>
                <w:color w:val="auto"/>
                <w:highlight w:val="none"/>
              </w:rPr>
            </w:pPr>
            <w:r>
              <w:rPr>
                <w:rFonts w:hint="eastAsia"/>
                <w:color w:val="auto"/>
                <w:highlight w:val="none"/>
              </w:rPr>
              <w:t>备注</w:t>
            </w:r>
          </w:p>
        </w:tc>
        <w:tc>
          <w:tcPr>
            <w:tcW w:w="7620" w:type="dxa"/>
            <w:gridSpan w:val="3"/>
            <w:tcBorders>
              <w:top w:val="single" w:color="auto" w:sz="6" w:space="0"/>
              <w:left w:val="single" w:color="auto" w:sz="6" w:space="0"/>
              <w:bottom w:val="double" w:color="auto" w:sz="4" w:space="0"/>
              <w:right w:val="double" w:color="auto" w:sz="4" w:space="0"/>
            </w:tcBorders>
            <w:noWrap/>
            <w:vAlign w:val="center"/>
          </w:tcPr>
          <w:p w14:paraId="2CE59023">
            <w:pPr>
              <w:keepNext w:val="0"/>
              <w:keepLines w:val="0"/>
              <w:suppressLineNumbers w:val="0"/>
              <w:spacing w:before="0" w:beforeAutospacing="0" w:after="0" w:afterAutospacing="0"/>
              <w:ind w:left="0" w:right="0"/>
              <w:rPr>
                <w:rFonts w:hint="default"/>
                <w:color w:val="auto"/>
                <w:highlight w:val="none"/>
              </w:rPr>
            </w:pPr>
          </w:p>
        </w:tc>
      </w:tr>
    </w:tbl>
    <w:p w14:paraId="7F11993E">
      <w:pPr>
        <w:rPr>
          <w:color w:val="auto"/>
          <w:highlight w:val="none"/>
        </w:rPr>
      </w:pPr>
    </w:p>
    <w:p w14:paraId="27D09800">
      <w:pPr>
        <w:rPr>
          <w:color w:val="auto"/>
          <w:highlight w:val="none"/>
        </w:rPr>
      </w:pPr>
      <w:r>
        <w:rPr>
          <w:rFonts w:hint="eastAsia"/>
          <w:color w:val="auto"/>
          <w:highlight w:val="none"/>
        </w:rPr>
        <w:t>供应商（盖单位章）：</w:t>
      </w:r>
    </w:p>
    <w:p w14:paraId="37573437">
      <w:pPr>
        <w:rPr>
          <w:color w:val="auto"/>
          <w:highlight w:val="none"/>
        </w:rPr>
      </w:pPr>
      <w:r>
        <w:rPr>
          <w:rFonts w:hint="eastAsia"/>
          <w:color w:val="auto"/>
          <w:highlight w:val="none"/>
        </w:rPr>
        <w:t>法定代表人或其委托代理人签字：</w:t>
      </w:r>
    </w:p>
    <w:p w14:paraId="0615574C">
      <w:pPr>
        <w:rPr>
          <w:color w:val="auto"/>
          <w:highlight w:val="none"/>
        </w:rPr>
      </w:pPr>
      <w:r>
        <w:rPr>
          <w:rFonts w:hint="eastAsia"/>
          <w:color w:val="auto"/>
          <w:highlight w:val="none"/>
        </w:rPr>
        <w:t>日期： 年 月 日</w:t>
      </w:r>
    </w:p>
    <w:p w14:paraId="2DF3FF08">
      <w:pPr>
        <w:rPr>
          <w:color w:val="auto"/>
          <w:highlight w:val="none"/>
        </w:rPr>
        <w:sectPr>
          <w:footerReference r:id="rId15" w:type="default"/>
          <w:pgSz w:w="11906" w:h="16838"/>
          <w:pgMar w:top="1474" w:right="1474" w:bottom="232" w:left="1588" w:header="851" w:footer="992" w:gutter="0"/>
          <w:pgNumType w:fmt="decimal"/>
          <w:cols w:space="720" w:num="1"/>
          <w:docGrid w:type="lines" w:linePitch="312" w:charSpace="0"/>
        </w:sectPr>
      </w:pPr>
    </w:p>
    <w:p w14:paraId="1EB38A05">
      <w:pPr>
        <w:adjustRightInd w:val="0"/>
        <w:snapToGrid w:val="0"/>
        <w:spacing w:line="240" w:lineRule="auto"/>
        <w:ind w:firstLine="0" w:firstLineChars="0"/>
        <w:rPr>
          <w:rFonts w:ascii="宋体" w:hAnsi="宋体" w:cs="宋体"/>
          <w:color w:val="auto"/>
          <w:sz w:val="30"/>
          <w:szCs w:val="30"/>
          <w:highlight w:val="none"/>
        </w:rPr>
      </w:pPr>
      <w:r>
        <w:rPr>
          <w:rFonts w:hint="eastAsia" w:ascii="宋体" w:hAnsi="宋体" w:cs="宋体"/>
          <w:color w:val="auto"/>
          <w:sz w:val="30"/>
          <w:szCs w:val="30"/>
          <w:highlight w:val="none"/>
        </w:rPr>
        <w:t>附件8-2</w:t>
      </w:r>
    </w:p>
    <w:p w14:paraId="4B1D2D8F">
      <w:pPr>
        <w:tabs>
          <w:tab w:val="left" w:pos="3600"/>
        </w:tabs>
        <w:adjustRightInd w:val="0"/>
        <w:snapToGrid w:val="0"/>
        <w:spacing w:line="240" w:lineRule="auto"/>
        <w:ind w:firstLine="0" w:firstLineChars="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分项价格表</w:t>
      </w:r>
    </w:p>
    <w:p w14:paraId="3B476D37">
      <w:pPr>
        <w:pStyle w:val="2"/>
        <w:rPr>
          <w:rFonts w:hint="eastAsia"/>
          <w:color w:val="auto"/>
          <w:highlight w:val="none"/>
        </w:rPr>
      </w:pPr>
    </w:p>
    <w:p w14:paraId="6DEEA70C">
      <w:pPr>
        <w:keepNext/>
        <w:keepLines/>
        <w:widowControl w:val="0"/>
        <w:spacing w:line="360" w:lineRule="auto"/>
        <w:ind w:firstLine="482" w:firstLineChars="200"/>
        <w:jc w:val="both"/>
        <w:outlineLvl w:val="1"/>
        <w:rPr>
          <w:rFonts w:ascii="Arial" w:hAnsi="Arial" w:eastAsia="宋体" w:cs="宋体"/>
          <w:b/>
          <w:bCs/>
          <w:color w:val="auto"/>
          <w:kern w:val="2"/>
          <w:sz w:val="24"/>
          <w:szCs w:val="32"/>
          <w:highlight w:val="none"/>
          <w:lang w:val="en-US" w:eastAsia="zh-CN" w:bidi="ar-SA"/>
        </w:rPr>
      </w:pPr>
      <w:r>
        <w:rPr>
          <w:rFonts w:hint="eastAsia" w:ascii="Arial" w:hAnsi="Arial" w:cs="宋体"/>
          <w:b/>
          <w:bCs/>
          <w:color w:val="auto"/>
          <w:kern w:val="2"/>
          <w:sz w:val="24"/>
          <w:szCs w:val="32"/>
          <w:highlight w:val="none"/>
          <w:u w:val="single"/>
          <w:lang w:val="en-US" w:eastAsia="zh-CN" w:bidi="ar-SA"/>
        </w:rPr>
        <w:t>新河大厦保安保洁业务委托服务采购项目</w:t>
      </w:r>
      <w:r>
        <w:rPr>
          <w:rFonts w:hint="eastAsia" w:ascii="Arial" w:hAnsi="Arial" w:eastAsia="宋体" w:cs="宋体"/>
          <w:b/>
          <w:bCs/>
          <w:color w:val="auto"/>
          <w:kern w:val="2"/>
          <w:sz w:val="24"/>
          <w:szCs w:val="32"/>
          <w:highlight w:val="none"/>
          <w:u w:val="single"/>
          <w:lang w:val="en-US" w:eastAsia="zh-CN" w:bidi="ar-SA"/>
        </w:rPr>
        <w:t>：</w:t>
      </w:r>
    </w:p>
    <w:tbl>
      <w:tblPr>
        <w:tblStyle w:val="43"/>
        <w:tblW w:w="9197" w:type="dxa"/>
        <w:tblInd w:w="100" w:type="dxa"/>
        <w:tblLayout w:type="fixed"/>
        <w:tblCellMar>
          <w:top w:w="0" w:type="dxa"/>
          <w:left w:w="0" w:type="dxa"/>
          <w:bottom w:w="0" w:type="dxa"/>
          <w:right w:w="0" w:type="dxa"/>
        </w:tblCellMar>
      </w:tblPr>
      <w:tblGrid>
        <w:gridCol w:w="741"/>
        <w:gridCol w:w="1632"/>
        <w:gridCol w:w="734"/>
        <w:gridCol w:w="795"/>
        <w:gridCol w:w="2181"/>
        <w:gridCol w:w="1778"/>
        <w:gridCol w:w="1336"/>
      </w:tblGrid>
      <w:tr w14:paraId="61065EC0">
        <w:tblPrEx>
          <w:tblCellMar>
            <w:top w:w="0" w:type="dxa"/>
            <w:left w:w="0" w:type="dxa"/>
            <w:bottom w:w="0" w:type="dxa"/>
            <w:right w:w="0" w:type="dxa"/>
          </w:tblCellMar>
        </w:tblPrEx>
        <w:trPr>
          <w:trHeight w:val="740" w:hRule="exact"/>
        </w:trPr>
        <w:tc>
          <w:tcPr>
            <w:tcW w:w="741" w:type="dxa"/>
            <w:tcBorders>
              <w:top w:val="double" w:color="000000" w:sz="4" w:space="0"/>
              <w:left w:val="double" w:color="000000" w:sz="4" w:space="0"/>
              <w:bottom w:val="single" w:color="000000" w:sz="6" w:space="0"/>
              <w:right w:val="single" w:color="000000" w:sz="6" w:space="0"/>
            </w:tcBorders>
            <w:noWrap w:val="0"/>
            <w:vAlign w:val="top"/>
          </w:tcPr>
          <w:p w14:paraId="6E356DAA">
            <w:pPr>
              <w:keepNext w:val="0"/>
              <w:keepLines w:val="0"/>
              <w:suppressLineNumbers w:val="0"/>
              <w:autoSpaceDE w:val="0"/>
              <w:autoSpaceDN w:val="0"/>
              <w:snapToGrid w:val="0"/>
              <w:spacing w:before="0" w:beforeAutospacing="0" w:after="0" w:afterAutospacing="0" w:line="360" w:lineRule="auto"/>
              <w:ind w:left="136" w:right="-20" w:firstLine="0" w:firstLineChars="0"/>
              <w:jc w:val="left"/>
              <w:rPr>
                <w:rFonts w:hint="eastAsia" w:ascii="宋体" w:hAnsi="宋体" w:eastAsia="宋体" w:cs="Times New Roman"/>
                <w:color w:val="auto"/>
                <w:kern w:val="0"/>
                <w:position w:val="-1"/>
                <w:szCs w:val="21"/>
                <w:highlight w:val="none"/>
              </w:rPr>
            </w:pPr>
            <w:r>
              <w:rPr>
                <w:rFonts w:hint="eastAsia" w:ascii="宋体" w:hAnsi="宋体" w:eastAsia="宋体" w:cs="Times New Roman"/>
                <w:color w:val="auto"/>
                <w:kern w:val="0"/>
                <w:position w:val="-1"/>
                <w:szCs w:val="21"/>
                <w:highlight w:val="none"/>
              </w:rPr>
              <w:t>序号</w:t>
            </w:r>
          </w:p>
        </w:tc>
        <w:tc>
          <w:tcPr>
            <w:tcW w:w="1632" w:type="dxa"/>
            <w:tcBorders>
              <w:top w:val="double" w:color="000000" w:sz="4" w:space="0"/>
              <w:left w:val="single" w:color="000000" w:sz="6" w:space="0"/>
              <w:bottom w:val="single" w:color="000000" w:sz="6" w:space="0"/>
              <w:right w:val="single" w:color="000000" w:sz="6" w:space="0"/>
            </w:tcBorders>
            <w:noWrap w:val="0"/>
            <w:vAlign w:val="center"/>
          </w:tcPr>
          <w:p w14:paraId="7A6F50EE">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eastAsia" w:ascii="宋体" w:hAnsi="宋体" w:eastAsia="宋体" w:cs="Times New Roman"/>
                <w:color w:val="auto"/>
                <w:kern w:val="0"/>
                <w:position w:val="-1"/>
                <w:szCs w:val="21"/>
                <w:highlight w:val="none"/>
              </w:rPr>
            </w:pPr>
            <w:r>
              <w:rPr>
                <w:rFonts w:hint="eastAsia" w:ascii="宋体" w:hAnsi="宋体" w:eastAsia="宋体" w:cs="宋体"/>
                <w:color w:val="auto"/>
                <w:szCs w:val="21"/>
                <w:highlight w:val="none"/>
              </w:rPr>
              <w:t>服务名称</w:t>
            </w:r>
          </w:p>
        </w:tc>
        <w:tc>
          <w:tcPr>
            <w:tcW w:w="734" w:type="dxa"/>
            <w:tcBorders>
              <w:top w:val="double" w:color="000000" w:sz="4" w:space="0"/>
              <w:left w:val="single" w:color="000000" w:sz="6" w:space="0"/>
              <w:bottom w:val="single" w:color="000000" w:sz="6" w:space="0"/>
              <w:right w:val="single" w:color="000000" w:sz="6" w:space="0"/>
            </w:tcBorders>
            <w:noWrap w:val="0"/>
            <w:vAlign w:val="center"/>
          </w:tcPr>
          <w:p w14:paraId="76119C79">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计量</w:t>
            </w:r>
          </w:p>
          <w:p w14:paraId="1BD33AC7">
            <w:pPr>
              <w:keepNext w:val="0"/>
              <w:keepLines w:val="0"/>
              <w:suppressLineNumbers w:val="0"/>
              <w:adjustRightInd w:val="0"/>
              <w:snapToGrid w:val="0"/>
              <w:spacing w:before="0" w:beforeAutospacing="0" w:after="0" w:afterAutospacing="0" w:line="360" w:lineRule="auto"/>
              <w:ind w:left="0" w:leftChars="0" w:right="0" w:firstLine="0" w:firstLineChars="0"/>
              <w:jc w:val="center"/>
              <w:rPr>
                <w:rFonts w:hint="eastAsia" w:ascii="宋体" w:hAnsi="宋体" w:eastAsia="宋体" w:cs="Times New Roman"/>
                <w:color w:val="auto"/>
                <w:kern w:val="0"/>
                <w:position w:val="-1"/>
                <w:szCs w:val="21"/>
                <w:highlight w:val="none"/>
              </w:rPr>
            </w:pPr>
            <w:r>
              <w:rPr>
                <w:rFonts w:hint="eastAsia" w:ascii="宋体" w:hAnsi="宋体" w:eastAsia="宋体" w:cs="宋体"/>
                <w:color w:val="auto"/>
                <w:szCs w:val="21"/>
                <w:highlight w:val="none"/>
              </w:rPr>
              <w:t>单位</w:t>
            </w:r>
          </w:p>
        </w:tc>
        <w:tc>
          <w:tcPr>
            <w:tcW w:w="795" w:type="dxa"/>
            <w:tcBorders>
              <w:top w:val="double" w:color="000000" w:sz="4" w:space="0"/>
              <w:left w:val="single" w:color="000000" w:sz="6" w:space="0"/>
              <w:bottom w:val="single" w:color="000000" w:sz="6" w:space="0"/>
              <w:right w:val="single" w:color="000000" w:sz="6" w:space="0"/>
            </w:tcBorders>
            <w:noWrap w:val="0"/>
            <w:vAlign w:val="top"/>
          </w:tcPr>
          <w:p w14:paraId="1EBD15D7">
            <w:pPr>
              <w:keepNext w:val="0"/>
              <w:keepLines w:val="0"/>
              <w:suppressLineNumbers w:val="0"/>
              <w:autoSpaceDE w:val="0"/>
              <w:autoSpaceDN w:val="0"/>
              <w:snapToGrid w:val="0"/>
              <w:spacing w:before="0" w:beforeAutospacing="0" w:after="0" w:afterAutospacing="0" w:line="360" w:lineRule="auto"/>
              <w:ind w:left="0" w:leftChars="0" w:right="-20" w:firstLine="0" w:firstLineChars="0"/>
              <w:jc w:val="center"/>
              <w:rPr>
                <w:rFonts w:hint="eastAsia" w:ascii="宋体" w:hAnsi="宋体" w:eastAsia="宋体" w:cs="Times New Roman"/>
                <w:color w:val="auto"/>
                <w:kern w:val="0"/>
                <w:position w:val="-1"/>
                <w:szCs w:val="21"/>
                <w:highlight w:val="none"/>
              </w:rPr>
            </w:pPr>
            <w:r>
              <w:rPr>
                <w:rFonts w:hint="eastAsia" w:ascii="宋体" w:hAnsi="宋体" w:eastAsia="宋体" w:cs="Times New Roman"/>
                <w:color w:val="auto"/>
                <w:kern w:val="0"/>
                <w:position w:val="-1"/>
                <w:szCs w:val="21"/>
                <w:highlight w:val="none"/>
              </w:rPr>
              <w:t>数量</w:t>
            </w:r>
          </w:p>
        </w:tc>
        <w:tc>
          <w:tcPr>
            <w:tcW w:w="2181" w:type="dxa"/>
            <w:tcBorders>
              <w:top w:val="double" w:color="000000" w:sz="4" w:space="0"/>
              <w:left w:val="single" w:color="000000" w:sz="6" w:space="0"/>
              <w:bottom w:val="single" w:color="000000" w:sz="6" w:space="0"/>
              <w:right w:val="single" w:color="000000" w:sz="6" w:space="0"/>
            </w:tcBorders>
            <w:noWrap w:val="0"/>
            <w:vAlign w:val="top"/>
          </w:tcPr>
          <w:p w14:paraId="390C8288">
            <w:pPr>
              <w:keepNext w:val="0"/>
              <w:keepLines w:val="0"/>
              <w:suppressLineNumbers w:val="0"/>
              <w:autoSpaceDE w:val="0"/>
              <w:autoSpaceDN w:val="0"/>
              <w:snapToGrid w:val="0"/>
              <w:spacing w:before="0" w:beforeAutospacing="0" w:after="0" w:afterAutospacing="0" w:line="360" w:lineRule="auto"/>
              <w:ind w:left="174" w:right="-20" w:firstLine="0" w:firstLineChars="0"/>
              <w:jc w:val="left"/>
              <w:rPr>
                <w:rFonts w:hint="eastAsia" w:ascii="宋体" w:hAnsi="宋体" w:eastAsia="宋体" w:cs="Times New Roman"/>
                <w:color w:val="auto"/>
                <w:kern w:val="0"/>
                <w:position w:val="-1"/>
                <w:szCs w:val="21"/>
                <w:highlight w:val="none"/>
              </w:rPr>
            </w:pPr>
            <w:r>
              <w:rPr>
                <w:rFonts w:hint="eastAsia" w:ascii="宋体" w:hAnsi="宋体" w:eastAsia="宋体" w:cs="Times New Roman"/>
                <w:color w:val="auto"/>
                <w:kern w:val="0"/>
                <w:position w:val="-1"/>
                <w:szCs w:val="21"/>
                <w:highlight w:val="none"/>
              </w:rPr>
              <w:t>单价（元</w:t>
            </w:r>
            <w:r>
              <w:rPr>
                <w:rFonts w:hint="eastAsia" w:cs="Times New Roman"/>
                <w:color w:val="auto"/>
                <w:kern w:val="0"/>
                <w:position w:val="-1"/>
                <w:szCs w:val="21"/>
                <w:highlight w:val="none"/>
                <w:lang w:val="en-US" w:eastAsia="zh-CN"/>
              </w:rPr>
              <w:t>/月/人</w:t>
            </w:r>
            <w:r>
              <w:rPr>
                <w:rFonts w:hint="eastAsia" w:ascii="宋体" w:hAnsi="宋体" w:eastAsia="宋体" w:cs="Times New Roman"/>
                <w:color w:val="auto"/>
                <w:kern w:val="0"/>
                <w:position w:val="-1"/>
                <w:szCs w:val="21"/>
                <w:highlight w:val="none"/>
              </w:rPr>
              <w:t>）</w:t>
            </w:r>
          </w:p>
        </w:tc>
        <w:tc>
          <w:tcPr>
            <w:tcW w:w="1778" w:type="dxa"/>
            <w:tcBorders>
              <w:top w:val="double" w:color="000000" w:sz="4" w:space="0"/>
              <w:left w:val="single" w:color="000000" w:sz="6" w:space="0"/>
              <w:bottom w:val="single" w:color="000000" w:sz="6" w:space="0"/>
              <w:right w:val="single" w:color="000000" w:sz="6" w:space="0"/>
            </w:tcBorders>
            <w:noWrap w:val="0"/>
            <w:vAlign w:val="top"/>
          </w:tcPr>
          <w:p w14:paraId="261B26CD">
            <w:pPr>
              <w:keepNext w:val="0"/>
              <w:keepLines w:val="0"/>
              <w:suppressLineNumbers w:val="0"/>
              <w:autoSpaceDE w:val="0"/>
              <w:autoSpaceDN w:val="0"/>
              <w:snapToGrid w:val="0"/>
              <w:spacing w:before="0" w:beforeAutospacing="0" w:after="0" w:afterAutospacing="0" w:line="360" w:lineRule="auto"/>
              <w:ind w:left="318" w:right="-20" w:firstLine="0" w:firstLineChars="0"/>
              <w:jc w:val="left"/>
              <w:rPr>
                <w:rFonts w:hint="eastAsia" w:ascii="宋体" w:hAnsi="宋体" w:eastAsia="宋体" w:cs="Times New Roman"/>
                <w:color w:val="auto"/>
                <w:kern w:val="0"/>
                <w:position w:val="-1"/>
                <w:szCs w:val="21"/>
                <w:highlight w:val="none"/>
              </w:rPr>
            </w:pPr>
            <w:r>
              <w:rPr>
                <w:rFonts w:hint="eastAsia" w:ascii="宋体" w:hAnsi="宋体" w:eastAsia="宋体" w:cs="Times New Roman"/>
                <w:color w:val="auto"/>
                <w:kern w:val="0"/>
                <w:position w:val="-1"/>
                <w:szCs w:val="21"/>
                <w:highlight w:val="none"/>
              </w:rPr>
              <w:t>总价（元</w:t>
            </w:r>
            <w:r>
              <w:rPr>
                <w:rFonts w:hint="eastAsia" w:cs="Times New Roman"/>
                <w:color w:val="auto"/>
                <w:kern w:val="0"/>
                <w:position w:val="-1"/>
                <w:szCs w:val="21"/>
                <w:highlight w:val="none"/>
                <w:lang w:val="en-US" w:eastAsia="zh-CN"/>
              </w:rPr>
              <w:t>/年</w:t>
            </w:r>
            <w:r>
              <w:rPr>
                <w:rFonts w:hint="eastAsia" w:ascii="宋体" w:hAnsi="宋体" w:eastAsia="宋体" w:cs="Times New Roman"/>
                <w:color w:val="auto"/>
                <w:kern w:val="0"/>
                <w:position w:val="-1"/>
                <w:szCs w:val="21"/>
                <w:highlight w:val="none"/>
              </w:rPr>
              <w:t>）</w:t>
            </w:r>
          </w:p>
        </w:tc>
        <w:tc>
          <w:tcPr>
            <w:tcW w:w="1336" w:type="dxa"/>
            <w:tcBorders>
              <w:top w:val="double" w:color="000000" w:sz="4" w:space="0"/>
              <w:left w:val="single" w:color="000000" w:sz="6" w:space="0"/>
              <w:bottom w:val="single" w:color="000000" w:sz="6" w:space="0"/>
              <w:right w:val="double" w:color="000000" w:sz="4" w:space="0"/>
            </w:tcBorders>
            <w:noWrap w:val="0"/>
            <w:vAlign w:val="top"/>
          </w:tcPr>
          <w:p w14:paraId="46024B36">
            <w:pPr>
              <w:keepNext w:val="0"/>
              <w:keepLines w:val="0"/>
              <w:suppressLineNumbers w:val="0"/>
              <w:autoSpaceDE w:val="0"/>
              <w:autoSpaceDN w:val="0"/>
              <w:snapToGrid w:val="0"/>
              <w:spacing w:before="0" w:beforeAutospacing="0" w:after="0" w:afterAutospacing="0" w:line="360" w:lineRule="auto"/>
              <w:ind w:left="422" w:right="-20" w:firstLine="0" w:firstLineChars="0"/>
              <w:jc w:val="left"/>
              <w:rPr>
                <w:rFonts w:hint="eastAsia" w:ascii="宋体" w:hAnsi="宋体" w:eastAsia="宋体" w:cs="Times New Roman"/>
                <w:color w:val="auto"/>
                <w:kern w:val="0"/>
                <w:position w:val="-1"/>
                <w:szCs w:val="21"/>
                <w:highlight w:val="none"/>
              </w:rPr>
            </w:pPr>
            <w:r>
              <w:rPr>
                <w:rFonts w:hint="eastAsia" w:ascii="宋体" w:hAnsi="宋体" w:eastAsia="宋体" w:cs="Times New Roman"/>
                <w:color w:val="auto"/>
                <w:kern w:val="0"/>
                <w:position w:val="-1"/>
                <w:szCs w:val="21"/>
                <w:highlight w:val="none"/>
              </w:rPr>
              <w:t>备注</w:t>
            </w:r>
          </w:p>
        </w:tc>
      </w:tr>
      <w:tr w14:paraId="66B33890">
        <w:tblPrEx>
          <w:tblCellMar>
            <w:top w:w="0" w:type="dxa"/>
            <w:left w:w="0" w:type="dxa"/>
            <w:bottom w:w="0" w:type="dxa"/>
            <w:right w:w="0" w:type="dxa"/>
          </w:tblCellMar>
        </w:tblPrEx>
        <w:trPr>
          <w:trHeight w:val="411" w:hRule="exact"/>
        </w:trPr>
        <w:tc>
          <w:tcPr>
            <w:tcW w:w="741" w:type="dxa"/>
            <w:tcBorders>
              <w:top w:val="single" w:color="000000" w:sz="6" w:space="0"/>
              <w:left w:val="double" w:color="000000" w:sz="4" w:space="0"/>
              <w:bottom w:val="single" w:color="000000" w:sz="6" w:space="0"/>
              <w:right w:val="single" w:color="000000" w:sz="6" w:space="0"/>
            </w:tcBorders>
            <w:noWrap w:val="0"/>
            <w:vAlign w:val="top"/>
          </w:tcPr>
          <w:p w14:paraId="1ED16961">
            <w:pPr>
              <w:keepNext w:val="0"/>
              <w:keepLines w:val="0"/>
              <w:suppressLineNumbers w:val="0"/>
              <w:autoSpaceDE w:val="0"/>
              <w:autoSpaceDN w:val="0"/>
              <w:snapToGrid w:val="0"/>
              <w:spacing w:before="0" w:beforeAutospacing="0" w:after="0" w:afterAutospacing="0" w:line="360" w:lineRule="auto"/>
              <w:ind w:left="258" w:right="241" w:firstLine="0" w:firstLineChars="0"/>
              <w:jc w:val="center"/>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1</w:t>
            </w:r>
          </w:p>
        </w:tc>
        <w:tc>
          <w:tcPr>
            <w:tcW w:w="1632" w:type="dxa"/>
            <w:tcBorders>
              <w:top w:val="single" w:color="000000" w:sz="6" w:space="0"/>
              <w:left w:val="single" w:color="000000" w:sz="6" w:space="0"/>
              <w:bottom w:val="single" w:color="000000" w:sz="6" w:space="0"/>
              <w:right w:val="single" w:color="000000" w:sz="6" w:space="0"/>
            </w:tcBorders>
            <w:noWrap w:val="0"/>
            <w:vAlign w:val="top"/>
          </w:tcPr>
          <w:p w14:paraId="7C2DA009">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734" w:type="dxa"/>
            <w:tcBorders>
              <w:top w:val="single" w:color="000000" w:sz="6" w:space="0"/>
              <w:left w:val="single" w:color="000000" w:sz="6" w:space="0"/>
              <w:bottom w:val="single" w:color="000000" w:sz="6" w:space="0"/>
              <w:right w:val="single" w:color="000000" w:sz="6" w:space="0"/>
            </w:tcBorders>
            <w:noWrap w:val="0"/>
            <w:vAlign w:val="top"/>
          </w:tcPr>
          <w:p w14:paraId="7451A48C">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795" w:type="dxa"/>
            <w:tcBorders>
              <w:top w:val="single" w:color="000000" w:sz="6" w:space="0"/>
              <w:left w:val="single" w:color="000000" w:sz="6" w:space="0"/>
              <w:bottom w:val="single" w:color="000000" w:sz="6" w:space="0"/>
              <w:right w:val="single" w:color="000000" w:sz="6" w:space="0"/>
            </w:tcBorders>
            <w:noWrap w:val="0"/>
            <w:vAlign w:val="top"/>
          </w:tcPr>
          <w:p w14:paraId="06F33F24">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2181" w:type="dxa"/>
            <w:tcBorders>
              <w:top w:val="single" w:color="000000" w:sz="6" w:space="0"/>
              <w:left w:val="single" w:color="000000" w:sz="6" w:space="0"/>
              <w:bottom w:val="single" w:color="000000" w:sz="6" w:space="0"/>
              <w:right w:val="single" w:color="000000" w:sz="6" w:space="0"/>
            </w:tcBorders>
            <w:noWrap w:val="0"/>
            <w:vAlign w:val="top"/>
          </w:tcPr>
          <w:p w14:paraId="61E18609">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1778" w:type="dxa"/>
            <w:tcBorders>
              <w:top w:val="single" w:color="000000" w:sz="6" w:space="0"/>
              <w:left w:val="single" w:color="000000" w:sz="6" w:space="0"/>
              <w:bottom w:val="single" w:color="000000" w:sz="6" w:space="0"/>
              <w:right w:val="single" w:color="000000" w:sz="6" w:space="0"/>
            </w:tcBorders>
            <w:noWrap w:val="0"/>
            <w:vAlign w:val="top"/>
          </w:tcPr>
          <w:p w14:paraId="39007CA4">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1336" w:type="dxa"/>
            <w:vMerge w:val="restart"/>
            <w:tcBorders>
              <w:top w:val="single" w:color="000000" w:sz="6" w:space="0"/>
              <w:left w:val="single" w:color="000000" w:sz="6" w:space="0"/>
              <w:right w:val="double" w:color="000000" w:sz="4" w:space="0"/>
            </w:tcBorders>
            <w:noWrap w:val="0"/>
            <w:vAlign w:val="top"/>
          </w:tcPr>
          <w:p w14:paraId="2554BA12">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CN"/>
              </w:rPr>
              <w:t>价格含税费、人员工资、社会保险费、利润、管理费等完成项目所需的其他所有费用。</w:t>
            </w:r>
          </w:p>
        </w:tc>
      </w:tr>
      <w:tr w14:paraId="7D3E119E">
        <w:tblPrEx>
          <w:tblCellMar>
            <w:top w:w="0" w:type="dxa"/>
            <w:left w:w="0" w:type="dxa"/>
            <w:bottom w:w="0" w:type="dxa"/>
            <w:right w:w="0" w:type="dxa"/>
          </w:tblCellMar>
        </w:tblPrEx>
        <w:trPr>
          <w:trHeight w:val="410" w:hRule="exact"/>
        </w:trPr>
        <w:tc>
          <w:tcPr>
            <w:tcW w:w="741" w:type="dxa"/>
            <w:tcBorders>
              <w:top w:val="single" w:color="000000" w:sz="6" w:space="0"/>
              <w:left w:val="double" w:color="000000" w:sz="4" w:space="0"/>
              <w:bottom w:val="single" w:color="000000" w:sz="6" w:space="0"/>
              <w:right w:val="single" w:color="000000" w:sz="6" w:space="0"/>
            </w:tcBorders>
            <w:noWrap w:val="0"/>
            <w:vAlign w:val="top"/>
          </w:tcPr>
          <w:p w14:paraId="5F6C9819">
            <w:pPr>
              <w:keepNext w:val="0"/>
              <w:keepLines w:val="0"/>
              <w:suppressLineNumbers w:val="0"/>
              <w:autoSpaceDE w:val="0"/>
              <w:autoSpaceDN w:val="0"/>
              <w:snapToGrid w:val="0"/>
              <w:spacing w:before="0" w:beforeAutospacing="0" w:after="0" w:afterAutospacing="0" w:line="360" w:lineRule="auto"/>
              <w:ind w:left="258" w:right="241" w:firstLine="0" w:firstLineChars="0"/>
              <w:jc w:val="center"/>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2</w:t>
            </w:r>
          </w:p>
        </w:tc>
        <w:tc>
          <w:tcPr>
            <w:tcW w:w="1632" w:type="dxa"/>
            <w:tcBorders>
              <w:top w:val="single" w:color="000000" w:sz="6" w:space="0"/>
              <w:left w:val="single" w:color="000000" w:sz="6" w:space="0"/>
              <w:bottom w:val="single" w:color="000000" w:sz="6" w:space="0"/>
              <w:right w:val="single" w:color="000000" w:sz="6" w:space="0"/>
            </w:tcBorders>
            <w:noWrap w:val="0"/>
            <w:vAlign w:val="top"/>
          </w:tcPr>
          <w:p w14:paraId="26EEB08A">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734" w:type="dxa"/>
            <w:tcBorders>
              <w:top w:val="single" w:color="000000" w:sz="6" w:space="0"/>
              <w:left w:val="single" w:color="000000" w:sz="6" w:space="0"/>
              <w:bottom w:val="single" w:color="000000" w:sz="6" w:space="0"/>
              <w:right w:val="single" w:color="000000" w:sz="6" w:space="0"/>
            </w:tcBorders>
            <w:noWrap w:val="0"/>
            <w:vAlign w:val="top"/>
          </w:tcPr>
          <w:p w14:paraId="7E3DF594">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795" w:type="dxa"/>
            <w:tcBorders>
              <w:top w:val="single" w:color="000000" w:sz="6" w:space="0"/>
              <w:left w:val="single" w:color="000000" w:sz="6" w:space="0"/>
              <w:bottom w:val="single" w:color="000000" w:sz="6" w:space="0"/>
              <w:right w:val="single" w:color="000000" w:sz="6" w:space="0"/>
            </w:tcBorders>
            <w:noWrap w:val="0"/>
            <w:vAlign w:val="top"/>
          </w:tcPr>
          <w:p w14:paraId="1A5C5222">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2181" w:type="dxa"/>
            <w:tcBorders>
              <w:top w:val="single" w:color="000000" w:sz="6" w:space="0"/>
              <w:left w:val="single" w:color="000000" w:sz="6" w:space="0"/>
              <w:bottom w:val="single" w:color="000000" w:sz="6" w:space="0"/>
              <w:right w:val="single" w:color="000000" w:sz="6" w:space="0"/>
            </w:tcBorders>
            <w:noWrap w:val="0"/>
            <w:vAlign w:val="top"/>
          </w:tcPr>
          <w:p w14:paraId="2C825C6D">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1778" w:type="dxa"/>
            <w:tcBorders>
              <w:top w:val="single" w:color="000000" w:sz="6" w:space="0"/>
              <w:left w:val="single" w:color="000000" w:sz="6" w:space="0"/>
              <w:bottom w:val="single" w:color="000000" w:sz="6" w:space="0"/>
              <w:right w:val="single" w:color="000000" w:sz="6" w:space="0"/>
            </w:tcBorders>
            <w:noWrap w:val="0"/>
            <w:vAlign w:val="top"/>
          </w:tcPr>
          <w:p w14:paraId="4D6375B6">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1336" w:type="dxa"/>
            <w:vMerge w:val="continue"/>
            <w:tcBorders>
              <w:left w:val="single" w:color="000000" w:sz="6" w:space="0"/>
              <w:right w:val="double" w:color="000000" w:sz="4" w:space="0"/>
            </w:tcBorders>
            <w:noWrap w:val="0"/>
            <w:vAlign w:val="top"/>
          </w:tcPr>
          <w:p w14:paraId="14A6C450">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r>
      <w:tr w14:paraId="604924D2">
        <w:tblPrEx>
          <w:tblCellMar>
            <w:top w:w="0" w:type="dxa"/>
            <w:left w:w="0" w:type="dxa"/>
            <w:bottom w:w="0" w:type="dxa"/>
            <w:right w:w="0" w:type="dxa"/>
          </w:tblCellMar>
        </w:tblPrEx>
        <w:trPr>
          <w:trHeight w:val="410" w:hRule="exact"/>
        </w:trPr>
        <w:tc>
          <w:tcPr>
            <w:tcW w:w="741" w:type="dxa"/>
            <w:tcBorders>
              <w:top w:val="single" w:color="000000" w:sz="6" w:space="0"/>
              <w:left w:val="double" w:color="000000" w:sz="4" w:space="0"/>
              <w:bottom w:val="single" w:color="000000" w:sz="6" w:space="0"/>
              <w:right w:val="single" w:color="000000" w:sz="6" w:space="0"/>
            </w:tcBorders>
            <w:noWrap w:val="0"/>
            <w:vAlign w:val="top"/>
          </w:tcPr>
          <w:p w14:paraId="5F258EFF">
            <w:pPr>
              <w:keepNext w:val="0"/>
              <w:keepLines w:val="0"/>
              <w:suppressLineNumbers w:val="0"/>
              <w:autoSpaceDE w:val="0"/>
              <w:autoSpaceDN w:val="0"/>
              <w:snapToGrid w:val="0"/>
              <w:spacing w:before="0" w:beforeAutospacing="0" w:after="0" w:afterAutospacing="0" w:line="360" w:lineRule="auto"/>
              <w:ind w:left="258" w:right="241" w:firstLine="0" w:firstLineChars="0"/>
              <w:jc w:val="center"/>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3</w:t>
            </w:r>
          </w:p>
        </w:tc>
        <w:tc>
          <w:tcPr>
            <w:tcW w:w="1632" w:type="dxa"/>
            <w:tcBorders>
              <w:top w:val="single" w:color="000000" w:sz="6" w:space="0"/>
              <w:left w:val="single" w:color="000000" w:sz="6" w:space="0"/>
              <w:bottom w:val="single" w:color="000000" w:sz="6" w:space="0"/>
              <w:right w:val="single" w:color="000000" w:sz="6" w:space="0"/>
            </w:tcBorders>
            <w:noWrap w:val="0"/>
            <w:vAlign w:val="top"/>
          </w:tcPr>
          <w:p w14:paraId="4A9C976C">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734" w:type="dxa"/>
            <w:tcBorders>
              <w:top w:val="single" w:color="000000" w:sz="6" w:space="0"/>
              <w:left w:val="single" w:color="000000" w:sz="6" w:space="0"/>
              <w:bottom w:val="single" w:color="000000" w:sz="6" w:space="0"/>
              <w:right w:val="single" w:color="000000" w:sz="6" w:space="0"/>
            </w:tcBorders>
            <w:noWrap w:val="0"/>
            <w:vAlign w:val="top"/>
          </w:tcPr>
          <w:p w14:paraId="274B1E75">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795" w:type="dxa"/>
            <w:tcBorders>
              <w:top w:val="single" w:color="000000" w:sz="6" w:space="0"/>
              <w:left w:val="single" w:color="000000" w:sz="6" w:space="0"/>
              <w:bottom w:val="single" w:color="000000" w:sz="6" w:space="0"/>
              <w:right w:val="single" w:color="000000" w:sz="6" w:space="0"/>
            </w:tcBorders>
            <w:noWrap w:val="0"/>
            <w:vAlign w:val="top"/>
          </w:tcPr>
          <w:p w14:paraId="3F5DED16">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2181" w:type="dxa"/>
            <w:tcBorders>
              <w:top w:val="single" w:color="000000" w:sz="6" w:space="0"/>
              <w:left w:val="single" w:color="000000" w:sz="6" w:space="0"/>
              <w:bottom w:val="single" w:color="000000" w:sz="6" w:space="0"/>
              <w:right w:val="single" w:color="000000" w:sz="6" w:space="0"/>
            </w:tcBorders>
            <w:noWrap w:val="0"/>
            <w:vAlign w:val="top"/>
          </w:tcPr>
          <w:p w14:paraId="3E6C610A">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1778" w:type="dxa"/>
            <w:tcBorders>
              <w:top w:val="single" w:color="000000" w:sz="6" w:space="0"/>
              <w:left w:val="single" w:color="000000" w:sz="6" w:space="0"/>
              <w:bottom w:val="single" w:color="000000" w:sz="6" w:space="0"/>
              <w:right w:val="single" w:color="000000" w:sz="6" w:space="0"/>
            </w:tcBorders>
            <w:noWrap w:val="0"/>
            <w:vAlign w:val="top"/>
          </w:tcPr>
          <w:p w14:paraId="1A2AC01F">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1336" w:type="dxa"/>
            <w:vMerge w:val="continue"/>
            <w:tcBorders>
              <w:left w:val="single" w:color="000000" w:sz="6" w:space="0"/>
              <w:right w:val="double" w:color="000000" w:sz="4" w:space="0"/>
            </w:tcBorders>
            <w:noWrap w:val="0"/>
            <w:vAlign w:val="top"/>
          </w:tcPr>
          <w:p w14:paraId="2500AB69">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r>
      <w:tr w14:paraId="073ECCFF">
        <w:tblPrEx>
          <w:tblCellMar>
            <w:top w:w="0" w:type="dxa"/>
            <w:left w:w="0" w:type="dxa"/>
            <w:bottom w:w="0" w:type="dxa"/>
            <w:right w:w="0" w:type="dxa"/>
          </w:tblCellMar>
        </w:tblPrEx>
        <w:trPr>
          <w:trHeight w:val="410" w:hRule="exact"/>
        </w:trPr>
        <w:tc>
          <w:tcPr>
            <w:tcW w:w="741" w:type="dxa"/>
            <w:tcBorders>
              <w:top w:val="single" w:color="000000" w:sz="6" w:space="0"/>
              <w:left w:val="double" w:color="000000" w:sz="4" w:space="0"/>
              <w:bottom w:val="single" w:color="000000" w:sz="6" w:space="0"/>
              <w:right w:val="single" w:color="000000" w:sz="6" w:space="0"/>
            </w:tcBorders>
            <w:noWrap w:val="0"/>
            <w:vAlign w:val="top"/>
          </w:tcPr>
          <w:p w14:paraId="75A164BB">
            <w:pPr>
              <w:keepNext w:val="0"/>
              <w:keepLines w:val="0"/>
              <w:suppressLineNumbers w:val="0"/>
              <w:autoSpaceDE w:val="0"/>
              <w:autoSpaceDN w:val="0"/>
              <w:snapToGrid w:val="0"/>
              <w:spacing w:before="0" w:beforeAutospacing="0" w:after="0" w:afterAutospacing="0" w:line="360" w:lineRule="auto"/>
              <w:ind w:left="258" w:right="241" w:firstLine="0" w:firstLineChars="0"/>
              <w:jc w:val="center"/>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4</w:t>
            </w:r>
          </w:p>
        </w:tc>
        <w:tc>
          <w:tcPr>
            <w:tcW w:w="1632" w:type="dxa"/>
            <w:tcBorders>
              <w:top w:val="single" w:color="000000" w:sz="6" w:space="0"/>
              <w:left w:val="single" w:color="000000" w:sz="6" w:space="0"/>
              <w:bottom w:val="single" w:color="000000" w:sz="6" w:space="0"/>
              <w:right w:val="single" w:color="000000" w:sz="6" w:space="0"/>
            </w:tcBorders>
            <w:noWrap w:val="0"/>
            <w:vAlign w:val="top"/>
          </w:tcPr>
          <w:p w14:paraId="2FFCCE96">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734" w:type="dxa"/>
            <w:tcBorders>
              <w:top w:val="single" w:color="000000" w:sz="6" w:space="0"/>
              <w:left w:val="single" w:color="000000" w:sz="6" w:space="0"/>
              <w:bottom w:val="single" w:color="000000" w:sz="6" w:space="0"/>
              <w:right w:val="single" w:color="000000" w:sz="6" w:space="0"/>
            </w:tcBorders>
            <w:noWrap w:val="0"/>
            <w:vAlign w:val="top"/>
          </w:tcPr>
          <w:p w14:paraId="4C03A1E2">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795" w:type="dxa"/>
            <w:tcBorders>
              <w:top w:val="single" w:color="000000" w:sz="6" w:space="0"/>
              <w:left w:val="single" w:color="000000" w:sz="6" w:space="0"/>
              <w:bottom w:val="single" w:color="000000" w:sz="6" w:space="0"/>
              <w:right w:val="single" w:color="000000" w:sz="6" w:space="0"/>
            </w:tcBorders>
            <w:noWrap w:val="0"/>
            <w:vAlign w:val="top"/>
          </w:tcPr>
          <w:p w14:paraId="6F8E3DFB">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2181" w:type="dxa"/>
            <w:tcBorders>
              <w:top w:val="single" w:color="000000" w:sz="6" w:space="0"/>
              <w:left w:val="single" w:color="000000" w:sz="6" w:space="0"/>
              <w:bottom w:val="single" w:color="000000" w:sz="6" w:space="0"/>
              <w:right w:val="single" w:color="000000" w:sz="6" w:space="0"/>
            </w:tcBorders>
            <w:noWrap w:val="0"/>
            <w:vAlign w:val="top"/>
          </w:tcPr>
          <w:p w14:paraId="6EBF60DF">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1778" w:type="dxa"/>
            <w:tcBorders>
              <w:top w:val="single" w:color="000000" w:sz="6" w:space="0"/>
              <w:left w:val="single" w:color="000000" w:sz="6" w:space="0"/>
              <w:bottom w:val="single" w:color="000000" w:sz="6" w:space="0"/>
              <w:right w:val="single" w:color="000000" w:sz="6" w:space="0"/>
            </w:tcBorders>
            <w:noWrap w:val="0"/>
            <w:vAlign w:val="top"/>
          </w:tcPr>
          <w:p w14:paraId="27752E0A">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1336" w:type="dxa"/>
            <w:vMerge w:val="continue"/>
            <w:tcBorders>
              <w:left w:val="single" w:color="000000" w:sz="6" w:space="0"/>
              <w:right w:val="double" w:color="000000" w:sz="4" w:space="0"/>
            </w:tcBorders>
            <w:noWrap w:val="0"/>
            <w:vAlign w:val="top"/>
          </w:tcPr>
          <w:p w14:paraId="27365553">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r>
      <w:tr w14:paraId="0F1E72E3">
        <w:tblPrEx>
          <w:tblCellMar>
            <w:top w:w="0" w:type="dxa"/>
            <w:left w:w="0" w:type="dxa"/>
            <w:bottom w:w="0" w:type="dxa"/>
            <w:right w:w="0" w:type="dxa"/>
          </w:tblCellMar>
        </w:tblPrEx>
        <w:trPr>
          <w:trHeight w:val="410" w:hRule="exact"/>
        </w:trPr>
        <w:tc>
          <w:tcPr>
            <w:tcW w:w="741" w:type="dxa"/>
            <w:tcBorders>
              <w:top w:val="single" w:color="000000" w:sz="6" w:space="0"/>
              <w:left w:val="double" w:color="000000" w:sz="4" w:space="0"/>
              <w:bottom w:val="single" w:color="000000" w:sz="6" w:space="0"/>
              <w:right w:val="single" w:color="000000" w:sz="6" w:space="0"/>
            </w:tcBorders>
            <w:noWrap w:val="0"/>
            <w:vAlign w:val="top"/>
          </w:tcPr>
          <w:p w14:paraId="1CDC8A66">
            <w:pPr>
              <w:keepNext w:val="0"/>
              <w:keepLines w:val="0"/>
              <w:suppressLineNumbers w:val="0"/>
              <w:autoSpaceDE w:val="0"/>
              <w:autoSpaceDN w:val="0"/>
              <w:snapToGrid w:val="0"/>
              <w:spacing w:before="0" w:beforeAutospacing="0" w:after="0" w:afterAutospacing="0" w:line="360" w:lineRule="auto"/>
              <w:ind w:left="258" w:right="241" w:firstLine="0" w:firstLineChars="0"/>
              <w:jc w:val="center"/>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5</w:t>
            </w:r>
          </w:p>
        </w:tc>
        <w:tc>
          <w:tcPr>
            <w:tcW w:w="1632" w:type="dxa"/>
            <w:tcBorders>
              <w:top w:val="single" w:color="000000" w:sz="6" w:space="0"/>
              <w:left w:val="single" w:color="000000" w:sz="6" w:space="0"/>
              <w:bottom w:val="single" w:color="000000" w:sz="6" w:space="0"/>
              <w:right w:val="single" w:color="000000" w:sz="6" w:space="0"/>
            </w:tcBorders>
            <w:noWrap w:val="0"/>
            <w:vAlign w:val="top"/>
          </w:tcPr>
          <w:p w14:paraId="31F58E94">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734" w:type="dxa"/>
            <w:tcBorders>
              <w:top w:val="single" w:color="000000" w:sz="6" w:space="0"/>
              <w:left w:val="single" w:color="000000" w:sz="6" w:space="0"/>
              <w:bottom w:val="single" w:color="000000" w:sz="6" w:space="0"/>
              <w:right w:val="single" w:color="000000" w:sz="6" w:space="0"/>
            </w:tcBorders>
            <w:noWrap w:val="0"/>
            <w:vAlign w:val="top"/>
          </w:tcPr>
          <w:p w14:paraId="564DBAF3">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795" w:type="dxa"/>
            <w:tcBorders>
              <w:top w:val="single" w:color="000000" w:sz="6" w:space="0"/>
              <w:left w:val="single" w:color="000000" w:sz="6" w:space="0"/>
              <w:bottom w:val="single" w:color="000000" w:sz="6" w:space="0"/>
              <w:right w:val="single" w:color="000000" w:sz="6" w:space="0"/>
            </w:tcBorders>
            <w:noWrap w:val="0"/>
            <w:vAlign w:val="top"/>
          </w:tcPr>
          <w:p w14:paraId="723DB64C">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2181" w:type="dxa"/>
            <w:tcBorders>
              <w:top w:val="single" w:color="000000" w:sz="6" w:space="0"/>
              <w:left w:val="single" w:color="000000" w:sz="6" w:space="0"/>
              <w:bottom w:val="single" w:color="000000" w:sz="6" w:space="0"/>
              <w:right w:val="single" w:color="000000" w:sz="6" w:space="0"/>
            </w:tcBorders>
            <w:noWrap w:val="0"/>
            <w:vAlign w:val="top"/>
          </w:tcPr>
          <w:p w14:paraId="68F4C1D1">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1778" w:type="dxa"/>
            <w:tcBorders>
              <w:top w:val="single" w:color="000000" w:sz="6" w:space="0"/>
              <w:left w:val="single" w:color="000000" w:sz="6" w:space="0"/>
              <w:bottom w:val="single" w:color="000000" w:sz="6" w:space="0"/>
              <w:right w:val="single" w:color="000000" w:sz="6" w:space="0"/>
            </w:tcBorders>
            <w:noWrap w:val="0"/>
            <w:vAlign w:val="top"/>
          </w:tcPr>
          <w:p w14:paraId="60E0BC98">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1336" w:type="dxa"/>
            <w:vMerge w:val="continue"/>
            <w:tcBorders>
              <w:left w:val="single" w:color="000000" w:sz="6" w:space="0"/>
              <w:right w:val="double" w:color="000000" w:sz="4" w:space="0"/>
            </w:tcBorders>
            <w:noWrap w:val="0"/>
            <w:vAlign w:val="top"/>
          </w:tcPr>
          <w:p w14:paraId="3C008691">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r>
      <w:tr w14:paraId="4B2A6C5D">
        <w:tblPrEx>
          <w:tblCellMar>
            <w:top w:w="0" w:type="dxa"/>
            <w:left w:w="0" w:type="dxa"/>
            <w:bottom w:w="0" w:type="dxa"/>
            <w:right w:w="0" w:type="dxa"/>
          </w:tblCellMar>
        </w:tblPrEx>
        <w:trPr>
          <w:trHeight w:val="410" w:hRule="exact"/>
        </w:trPr>
        <w:tc>
          <w:tcPr>
            <w:tcW w:w="741" w:type="dxa"/>
            <w:tcBorders>
              <w:top w:val="single" w:color="000000" w:sz="6" w:space="0"/>
              <w:left w:val="double" w:color="000000" w:sz="4" w:space="0"/>
              <w:bottom w:val="single" w:color="000000" w:sz="6" w:space="0"/>
              <w:right w:val="single" w:color="000000" w:sz="6" w:space="0"/>
            </w:tcBorders>
            <w:noWrap w:val="0"/>
            <w:vAlign w:val="top"/>
          </w:tcPr>
          <w:p w14:paraId="55524625">
            <w:pPr>
              <w:keepNext w:val="0"/>
              <w:keepLines w:val="0"/>
              <w:suppressLineNumbers w:val="0"/>
              <w:autoSpaceDE w:val="0"/>
              <w:autoSpaceDN w:val="0"/>
              <w:snapToGrid w:val="0"/>
              <w:spacing w:before="0" w:beforeAutospacing="0" w:after="0" w:afterAutospacing="0" w:line="360" w:lineRule="auto"/>
              <w:ind w:left="138" w:right="-20" w:firstLine="0" w:firstLineChars="0"/>
              <w:jc w:val="left"/>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w:t>
            </w:r>
          </w:p>
        </w:tc>
        <w:tc>
          <w:tcPr>
            <w:tcW w:w="1632" w:type="dxa"/>
            <w:tcBorders>
              <w:top w:val="single" w:color="000000" w:sz="6" w:space="0"/>
              <w:left w:val="single" w:color="000000" w:sz="6" w:space="0"/>
              <w:bottom w:val="single" w:color="000000" w:sz="6" w:space="0"/>
              <w:right w:val="single" w:color="000000" w:sz="6" w:space="0"/>
            </w:tcBorders>
            <w:noWrap w:val="0"/>
            <w:vAlign w:val="top"/>
          </w:tcPr>
          <w:p w14:paraId="1EC7F89F">
            <w:pPr>
              <w:keepNext w:val="0"/>
              <w:keepLines w:val="0"/>
              <w:suppressLineNumbers w:val="0"/>
              <w:autoSpaceDE w:val="0"/>
              <w:autoSpaceDN w:val="0"/>
              <w:snapToGrid w:val="0"/>
              <w:spacing w:before="0" w:beforeAutospacing="0" w:after="0" w:afterAutospacing="0" w:line="360" w:lineRule="auto"/>
              <w:ind w:left="527" w:right="507" w:firstLine="0" w:firstLineChars="0"/>
              <w:jc w:val="center"/>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w:t>
            </w:r>
          </w:p>
        </w:tc>
        <w:tc>
          <w:tcPr>
            <w:tcW w:w="734" w:type="dxa"/>
            <w:tcBorders>
              <w:top w:val="single" w:color="000000" w:sz="6" w:space="0"/>
              <w:left w:val="single" w:color="000000" w:sz="6" w:space="0"/>
              <w:bottom w:val="single" w:color="000000" w:sz="6" w:space="0"/>
              <w:right w:val="single" w:color="000000" w:sz="6" w:space="0"/>
            </w:tcBorders>
            <w:noWrap w:val="0"/>
            <w:vAlign w:val="top"/>
          </w:tcPr>
          <w:p w14:paraId="78192EF1">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795" w:type="dxa"/>
            <w:tcBorders>
              <w:top w:val="single" w:color="000000" w:sz="6" w:space="0"/>
              <w:left w:val="single" w:color="000000" w:sz="6" w:space="0"/>
              <w:bottom w:val="single" w:color="000000" w:sz="6" w:space="0"/>
              <w:right w:val="single" w:color="000000" w:sz="6" w:space="0"/>
            </w:tcBorders>
            <w:noWrap w:val="0"/>
            <w:vAlign w:val="top"/>
          </w:tcPr>
          <w:p w14:paraId="76359DDF">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2181" w:type="dxa"/>
            <w:tcBorders>
              <w:top w:val="single" w:color="000000" w:sz="6" w:space="0"/>
              <w:left w:val="single" w:color="000000" w:sz="6" w:space="0"/>
              <w:bottom w:val="single" w:color="000000" w:sz="6" w:space="0"/>
              <w:right w:val="single" w:color="000000" w:sz="6" w:space="0"/>
            </w:tcBorders>
            <w:noWrap w:val="0"/>
            <w:vAlign w:val="top"/>
          </w:tcPr>
          <w:p w14:paraId="4F77990C">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1778" w:type="dxa"/>
            <w:tcBorders>
              <w:top w:val="single" w:color="000000" w:sz="6" w:space="0"/>
              <w:left w:val="single" w:color="000000" w:sz="6" w:space="0"/>
              <w:bottom w:val="single" w:color="000000" w:sz="6" w:space="0"/>
              <w:right w:val="single" w:color="000000" w:sz="6" w:space="0"/>
            </w:tcBorders>
            <w:noWrap w:val="0"/>
            <w:vAlign w:val="top"/>
          </w:tcPr>
          <w:p w14:paraId="542B8B67">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1336" w:type="dxa"/>
            <w:vMerge w:val="continue"/>
            <w:tcBorders>
              <w:left w:val="single" w:color="000000" w:sz="6" w:space="0"/>
              <w:right w:val="double" w:color="000000" w:sz="4" w:space="0"/>
            </w:tcBorders>
            <w:noWrap w:val="0"/>
            <w:vAlign w:val="top"/>
          </w:tcPr>
          <w:p w14:paraId="62990B58">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r>
      <w:tr w14:paraId="3374EC70">
        <w:tblPrEx>
          <w:tblCellMar>
            <w:top w:w="0" w:type="dxa"/>
            <w:left w:w="0" w:type="dxa"/>
            <w:bottom w:w="0" w:type="dxa"/>
            <w:right w:w="0" w:type="dxa"/>
          </w:tblCellMar>
        </w:tblPrEx>
        <w:trPr>
          <w:trHeight w:val="1130" w:hRule="exact"/>
        </w:trPr>
        <w:tc>
          <w:tcPr>
            <w:tcW w:w="6083" w:type="dxa"/>
            <w:gridSpan w:val="5"/>
            <w:tcBorders>
              <w:top w:val="single" w:color="000000" w:sz="6" w:space="0"/>
              <w:left w:val="double" w:color="000000" w:sz="4" w:space="0"/>
              <w:bottom w:val="double" w:color="000000" w:sz="4" w:space="0"/>
              <w:right w:val="single" w:color="000000" w:sz="6" w:space="0"/>
            </w:tcBorders>
            <w:noWrap w:val="0"/>
            <w:vAlign w:val="center"/>
          </w:tcPr>
          <w:p w14:paraId="6DAB0C91">
            <w:pPr>
              <w:keepNext w:val="0"/>
              <w:keepLines w:val="0"/>
              <w:suppressLineNumbers w:val="0"/>
              <w:autoSpaceDE w:val="0"/>
              <w:autoSpaceDN w:val="0"/>
              <w:snapToGrid w:val="0"/>
              <w:spacing w:before="0" w:beforeAutospacing="0" w:after="0" w:afterAutospacing="0" w:line="360" w:lineRule="auto"/>
              <w:ind w:left="0" w:right="2423"/>
              <w:jc w:val="both"/>
              <w:rPr>
                <w:rFonts w:hint="eastAsia" w:cs="Times New Roman"/>
                <w:color w:val="auto"/>
                <w:kern w:val="0"/>
                <w:position w:val="-1"/>
                <w:szCs w:val="21"/>
                <w:highlight w:val="none"/>
                <w:lang w:val="en-US" w:eastAsia="zh-CN"/>
              </w:rPr>
            </w:pPr>
            <w:r>
              <w:rPr>
                <w:rFonts w:hint="eastAsia" w:ascii="宋体" w:hAnsi="宋体" w:eastAsia="宋体" w:cs="Times New Roman"/>
                <w:color w:val="auto"/>
                <w:kern w:val="0"/>
                <w:position w:val="-1"/>
                <w:szCs w:val="21"/>
                <w:highlight w:val="none"/>
              </w:rPr>
              <w:t>合计报价</w:t>
            </w:r>
            <w:r>
              <w:rPr>
                <w:rFonts w:hint="eastAsia" w:cs="Times New Roman"/>
                <w:color w:val="auto"/>
                <w:kern w:val="0"/>
                <w:position w:val="-1"/>
                <w:szCs w:val="21"/>
                <w:highlight w:val="none"/>
                <w:lang w:eastAsia="zh-CN"/>
              </w:rPr>
              <w:t>（</w:t>
            </w:r>
            <w:r>
              <w:rPr>
                <w:rFonts w:hint="eastAsia" w:cs="Times New Roman"/>
                <w:color w:val="auto"/>
                <w:kern w:val="0"/>
                <w:position w:val="-1"/>
                <w:szCs w:val="21"/>
                <w:highlight w:val="none"/>
                <w:lang w:val="en-US" w:eastAsia="zh-CN"/>
              </w:rPr>
              <w:t>含税价）：</w:t>
            </w:r>
          </w:p>
          <w:p w14:paraId="161B6957">
            <w:pPr>
              <w:keepNext w:val="0"/>
              <w:keepLines w:val="0"/>
              <w:suppressLineNumbers w:val="0"/>
              <w:autoSpaceDE w:val="0"/>
              <w:autoSpaceDN w:val="0"/>
              <w:snapToGrid w:val="0"/>
              <w:spacing w:before="0" w:beforeAutospacing="0" w:after="0" w:afterAutospacing="0" w:line="360" w:lineRule="auto"/>
              <w:ind w:left="0" w:right="2423"/>
              <w:jc w:val="both"/>
              <w:rPr>
                <w:rFonts w:hint="default" w:ascii="宋体" w:hAnsi="宋体" w:eastAsia="宋体" w:cs="Times New Roman"/>
                <w:color w:val="auto"/>
                <w:kern w:val="0"/>
                <w:position w:val="-1"/>
                <w:szCs w:val="21"/>
                <w:highlight w:val="none"/>
                <w:lang w:val="en-US"/>
              </w:rPr>
            </w:pPr>
            <w:r>
              <w:rPr>
                <w:rFonts w:hint="eastAsia" w:cs="Times New Roman"/>
                <w:color w:val="auto"/>
                <w:kern w:val="0"/>
                <w:position w:val="-1"/>
                <w:szCs w:val="21"/>
                <w:highlight w:val="none"/>
                <w:lang w:val="en-US" w:eastAsia="zh-CN"/>
              </w:rPr>
              <w:t>其中税率：    %</w:t>
            </w:r>
          </w:p>
        </w:tc>
        <w:tc>
          <w:tcPr>
            <w:tcW w:w="1778" w:type="dxa"/>
            <w:tcBorders>
              <w:top w:val="single" w:color="000000" w:sz="6" w:space="0"/>
              <w:left w:val="single" w:color="000000" w:sz="6" w:space="0"/>
              <w:bottom w:val="double" w:color="000000" w:sz="4" w:space="0"/>
              <w:right w:val="single" w:color="000000" w:sz="6" w:space="0"/>
            </w:tcBorders>
            <w:noWrap w:val="0"/>
            <w:vAlign w:val="top"/>
          </w:tcPr>
          <w:p w14:paraId="57EB116A">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c>
          <w:tcPr>
            <w:tcW w:w="1336" w:type="dxa"/>
            <w:vMerge w:val="continue"/>
            <w:tcBorders>
              <w:left w:val="single" w:color="000000" w:sz="6" w:space="0"/>
              <w:bottom w:val="double" w:color="000000" w:sz="4" w:space="0"/>
              <w:right w:val="double" w:color="000000" w:sz="4" w:space="0"/>
            </w:tcBorders>
            <w:noWrap w:val="0"/>
            <w:vAlign w:val="top"/>
          </w:tcPr>
          <w:p w14:paraId="7ADC1E94">
            <w:pPr>
              <w:keepNext w:val="0"/>
              <w:keepLines w:val="0"/>
              <w:suppressLineNumbers w:val="0"/>
              <w:autoSpaceDE w:val="0"/>
              <w:autoSpaceDN w:val="0"/>
              <w:snapToGrid w:val="0"/>
              <w:spacing w:before="0" w:beforeAutospacing="0" w:after="0" w:afterAutospacing="0" w:line="360" w:lineRule="auto"/>
              <w:ind w:left="0" w:right="0" w:firstLine="0" w:firstLineChars="0"/>
              <w:jc w:val="left"/>
              <w:rPr>
                <w:rFonts w:hint="default" w:ascii="宋体" w:hAnsi="宋体" w:eastAsia="宋体" w:cs="Times New Roman"/>
                <w:color w:val="auto"/>
                <w:kern w:val="0"/>
                <w:szCs w:val="21"/>
                <w:highlight w:val="none"/>
              </w:rPr>
            </w:pPr>
          </w:p>
        </w:tc>
      </w:tr>
    </w:tbl>
    <w:p w14:paraId="381DE3E6">
      <w:pPr>
        <w:spacing w:line="360" w:lineRule="exact"/>
        <w:ind w:firstLine="211" w:firstLineChars="100"/>
        <w:rPr>
          <w:rFonts w:hint="eastAsia" w:ascii="宋体" w:hAnsi="宋体" w:eastAsia="宋体" w:cs="宋体"/>
          <w:b/>
          <w:bCs/>
          <w:color w:val="auto"/>
          <w:highlight w:val="none"/>
          <w:u w:val="single"/>
          <w:lang w:eastAsia="zh-CN"/>
        </w:rPr>
      </w:pPr>
    </w:p>
    <w:p w14:paraId="5ED81ACE">
      <w:pPr>
        <w:adjustRightInd w:val="0"/>
        <w:snapToGrid w:val="0"/>
        <w:spacing w:line="360" w:lineRule="auto"/>
        <w:ind w:firstLine="0" w:firstLineChars="0"/>
        <w:rPr>
          <w:color w:val="auto"/>
          <w:highlight w:val="none"/>
          <w:u w:val="single"/>
        </w:rPr>
      </w:pPr>
      <w:r>
        <w:rPr>
          <w:rFonts w:hint="eastAsia"/>
          <w:color w:val="auto"/>
          <w:highlight w:val="none"/>
        </w:rPr>
        <w:t>报价金额合计：</w:t>
      </w:r>
      <w:r>
        <w:rPr>
          <w:rFonts w:hint="eastAsia" w:ascii="宋体" w:hAnsi="宋体" w:eastAsia="宋体" w:cs="宋体"/>
          <w:color w:val="auto"/>
          <w:szCs w:val="21"/>
          <w:highlight w:val="none"/>
        </w:rPr>
        <w:t>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p w14:paraId="58056AA3">
      <w:pPr>
        <w:rPr>
          <w:rFonts w:hint="default" w:ascii="宋体" w:hAnsi="宋体" w:eastAsia="宋体" w:cs="宋体"/>
          <w:b/>
          <w:bCs/>
          <w:color w:val="auto"/>
          <w:kern w:val="0"/>
          <w:highlight w:val="none"/>
          <w:lang w:val="en-US" w:eastAsia="zh-CN"/>
        </w:rPr>
      </w:pPr>
      <w:r>
        <w:rPr>
          <w:rFonts w:hint="eastAsia" w:ascii="宋体" w:hAnsi="宋体" w:eastAsia="宋体" w:cs="宋体"/>
          <w:b/>
          <w:bCs/>
          <w:color w:val="auto"/>
          <w:highlight w:val="none"/>
        </w:rPr>
        <w:t>说明：</w:t>
      </w:r>
      <w:r>
        <w:rPr>
          <w:rFonts w:hint="eastAsia" w:ascii="宋体" w:hAnsi="宋体" w:eastAsia="宋体" w:cs="宋体"/>
          <w:b/>
          <w:bCs/>
          <w:color w:val="auto"/>
          <w:kern w:val="0"/>
          <w:highlight w:val="none"/>
        </w:rPr>
        <w:t>1、</w:t>
      </w:r>
      <w:r>
        <w:rPr>
          <w:rFonts w:hint="eastAsia" w:ascii="宋体" w:hAnsi="宋体" w:eastAsia="宋体" w:cs="宋体"/>
          <w:b/>
          <w:bCs/>
          <w:color w:val="auto"/>
          <w:kern w:val="0"/>
          <w:highlight w:val="none"/>
          <w:lang w:val="en-US" w:eastAsia="zh-CN"/>
        </w:rPr>
        <w:t>应按第四章采购需求规定的《人员配备表》进行分项报价，如未按该要求报价，供应商应在第二轮报价时无条件进行调整，按《人员配备表》进行分项报价。</w:t>
      </w:r>
    </w:p>
    <w:p w14:paraId="3BDF019A">
      <w:pPr>
        <w:rPr>
          <w:color w:val="auto"/>
          <w:kern w:val="0"/>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kern w:val="0"/>
          <w:highlight w:val="none"/>
        </w:rPr>
        <w:t>、本表包含磋商文件第四章《采购需求》或其他部分对该项目所有要求的详细报价。“合计”及“报价金额合计”应与附件8</w:t>
      </w:r>
      <w:r>
        <w:rPr>
          <w:rFonts w:hint="eastAsia" w:cs="宋体"/>
          <w:color w:val="auto"/>
          <w:kern w:val="0"/>
          <w:highlight w:val="none"/>
          <w:lang w:val="en-US" w:eastAsia="zh-CN"/>
        </w:rPr>
        <w:t>-1</w:t>
      </w:r>
      <w:r>
        <w:rPr>
          <w:rFonts w:hint="eastAsia" w:ascii="宋体" w:hAnsi="宋体" w:eastAsia="宋体" w:cs="宋体"/>
          <w:color w:val="auto"/>
          <w:kern w:val="0"/>
          <w:highlight w:val="none"/>
        </w:rPr>
        <w:t>《报价一览表》“报价”一致；栏目“单价”为综合单价，应包含所有隐含的管理费、税金和利润等其他费用，并在“具体要求说明”中注明分类项取费标准和其他费用的计费率和金额</w:t>
      </w:r>
      <w:r>
        <w:rPr>
          <w:rFonts w:hint="eastAsia"/>
          <w:color w:val="auto"/>
          <w:kern w:val="0"/>
          <w:highlight w:val="none"/>
        </w:rPr>
        <w:t>。</w:t>
      </w:r>
    </w:p>
    <w:p w14:paraId="1ECAF41C">
      <w:pPr>
        <w:numPr>
          <w:ilvl w:val="0"/>
          <w:numId w:val="0"/>
        </w:numPr>
        <w:ind w:firstLine="422" w:firstLineChars="200"/>
        <w:rPr>
          <w:rFonts w:hint="eastAsia" w:eastAsia="宋体"/>
          <w:b/>
          <w:bCs/>
          <w:color w:val="auto"/>
          <w:kern w:val="0"/>
          <w:highlight w:val="none"/>
          <w:lang w:val="en-US" w:eastAsia="zh-CN"/>
        </w:rPr>
      </w:pPr>
      <w:r>
        <w:rPr>
          <w:rFonts w:hint="eastAsia" w:ascii="宋体" w:eastAsia="宋体"/>
          <w:b/>
          <w:bCs/>
          <w:color w:val="auto"/>
          <w:kern w:val="0"/>
          <w:highlight w:val="none"/>
          <w:lang w:val="en-US" w:eastAsia="zh-CN"/>
        </w:rPr>
        <w:t>3、</w:t>
      </w:r>
      <w:r>
        <w:rPr>
          <w:rFonts w:hint="eastAsia"/>
          <w:b/>
          <w:bCs/>
          <w:color w:val="auto"/>
          <w:kern w:val="0"/>
          <w:highlight w:val="none"/>
          <w:lang w:val="en-US" w:eastAsia="zh-CN"/>
        </w:rPr>
        <w:t>供应商</w:t>
      </w:r>
      <w:r>
        <w:rPr>
          <w:rFonts w:hint="eastAsia" w:ascii="宋体" w:eastAsia="宋体"/>
          <w:b/>
          <w:bCs/>
          <w:color w:val="auto"/>
          <w:kern w:val="0"/>
          <w:highlight w:val="none"/>
          <w:lang w:val="en-US" w:eastAsia="zh-CN"/>
        </w:rPr>
        <w:t>须明确其投标报价相应的增值税税率</w:t>
      </w:r>
      <w:r>
        <w:rPr>
          <w:rFonts w:hint="eastAsia"/>
          <w:b/>
          <w:bCs/>
          <w:color w:val="auto"/>
          <w:kern w:val="0"/>
          <w:highlight w:val="none"/>
          <w:lang w:val="en-US" w:eastAsia="zh-CN"/>
        </w:rPr>
        <w:t>，最终开具的发票应</w:t>
      </w:r>
      <w:r>
        <w:rPr>
          <w:rFonts w:hint="eastAsia" w:ascii="宋体" w:eastAsia="宋体"/>
          <w:b/>
          <w:bCs/>
          <w:color w:val="auto"/>
          <w:kern w:val="0"/>
          <w:highlight w:val="none"/>
          <w:lang w:val="en-US" w:eastAsia="zh-CN"/>
        </w:rPr>
        <w:t>符合</w:t>
      </w:r>
      <w:r>
        <w:rPr>
          <w:rFonts w:hint="eastAsia"/>
          <w:b/>
          <w:bCs/>
          <w:color w:val="auto"/>
          <w:kern w:val="0"/>
          <w:highlight w:val="none"/>
          <w:lang w:val="en-US" w:eastAsia="zh-CN"/>
        </w:rPr>
        <w:t>采购人财务部要求及</w:t>
      </w:r>
      <w:r>
        <w:rPr>
          <w:rFonts w:hint="eastAsia" w:ascii="宋体" w:eastAsia="宋体"/>
          <w:b/>
          <w:bCs/>
          <w:color w:val="auto"/>
          <w:kern w:val="0"/>
          <w:highlight w:val="none"/>
          <w:lang w:val="en-US" w:eastAsia="zh-CN"/>
        </w:rPr>
        <w:t>现行的税法政策规定。若</w:t>
      </w:r>
      <w:r>
        <w:rPr>
          <w:rFonts w:hint="eastAsia"/>
          <w:b/>
          <w:bCs/>
          <w:color w:val="auto"/>
          <w:kern w:val="0"/>
          <w:highlight w:val="none"/>
          <w:lang w:val="en-US" w:eastAsia="zh-CN"/>
        </w:rPr>
        <w:t>成交供应商</w:t>
      </w:r>
      <w:r>
        <w:rPr>
          <w:rFonts w:hint="eastAsia" w:ascii="宋体" w:eastAsia="宋体"/>
          <w:b/>
          <w:bCs/>
          <w:color w:val="auto"/>
          <w:kern w:val="0"/>
          <w:highlight w:val="none"/>
          <w:lang w:val="en-US" w:eastAsia="zh-CN"/>
        </w:rPr>
        <w:t>为增值税一般纳税人，应依法向采购</w:t>
      </w:r>
      <w:r>
        <w:rPr>
          <w:rFonts w:hint="eastAsia"/>
          <w:b/>
          <w:bCs/>
          <w:color w:val="auto"/>
          <w:kern w:val="0"/>
          <w:highlight w:val="none"/>
          <w:lang w:val="en-US" w:eastAsia="zh-CN"/>
        </w:rPr>
        <w:t>人</w:t>
      </w:r>
      <w:r>
        <w:rPr>
          <w:rFonts w:hint="eastAsia" w:ascii="宋体" w:eastAsia="宋体"/>
          <w:b/>
          <w:bCs/>
          <w:color w:val="auto"/>
          <w:kern w:val="0"/>
          <w:highlight w:val="none"/>
          <w:lang w:val="en-US" w:eastAsia="zh-CN"/>
        </w:rPr>
        <w:t>开具相应税率的增值税专用发票，符合现行的税法政策规定。</w:t>
      </w:r>
    </w:p>
    <w:p w14:paraId="796CDB96">
      <w:pPr>
        <w:rPr>
          <w:color w:val="auto"/>
          <w:highlight w:val="none"/>
        </w:rPr>
      </w:pPr>
    </w:p>
    <w:p w14:paraId="21AD6151">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76F27207">
      <w:pPr>
        <w:adjustRightInd w:val="0"/>
        <w:snapToGrid w:val="0"/>
        <w:spacing w:line="360" w:lineRule="auto"/>
        <w:ind w:left="-88" w:leftChars="-42" w:firstLine="0" w:firstLineChars="0"/>
        <w:jc w:val="center"/>
        <w:rPr>
          <w:rFonts w:hint="eastAsia" w:ascii="宋体" w:hAnsi="宋体" w:cs="宋体"/>
          <w:b/>
          <w:color w:val="auto"/>
          <w:sz w:val="32"/>
          <w:szCs w:val="32"/>
          <w:highlight w:val="none"/>
        </w:rPr>
      </w:pPr>
    </w:p>
    <w:p w14:paraId="1D7A20BB">
      <w:pPr>
        <w:adjustRightInd w:val="0"/>
        <w:snapToGrid w:val="0"/>
        <w:spacing w:line="360" w:lineRule="auto"/>
        <w:ind w:left="-88" w:leftChars="-42" w:firstLine="0" w:firstLineChars="0"/>
        <w:jc w:val="center"/>
        <w:rPr>
          <w:rFonts w:ascii="宋体" w:hAnsi="宋体" w:cs="宋体"/>
          <w:color w:val="auto"/>
          <w:sz w:val="28"/>
          <w:szCs w:val="28"/>
          <w:highlight w:val="none"/>
        </w:rPr>
      </w:pPr>
      <w:r>
        <w:rPr>
          <w:rFonts w:hint="eastAsia" w:ascii="宋体" w:hAnsi="宋体" w:cs="宋体"/>
          <w:b/>
          <w:color w:val="auto"/>
          <w:sz w:val="32"/>
          <w:szCs w:val="32"/>
          <w:highlight w:val="none"/>
        </w:rPr>
        <w:t>六</w:t>
      </w:r>
      <w:r>
        <w:rPr>
          <w:rFonts w:hint="eastAsia" w:ascii="宋体" w:hAnsi="宋体" w:cs="宋体"/>
          <w:b/>
          <w:bCs/>
          <w:color w:val="auto"/>
          <w:sz w:val="32"/>
          <w:szCs w:val="32"/>
          <w:highlight w:val="none"/>
        </w:rPr>
        <w:t>、供应商认为需要提供的其</w:t>
      </w:r>
      <w:r>
        <w:rPr>
          <w:rFonts w:hint="eastAsia" w:ascii="宋体" w:hAnsi="宋体" w:cs="宋体"/>
          <w:b/>
          <w:bCs/>
          <w:color w:val="auto"/>
          <w:sz w:val="32"/>
          <w:szCs w:val="32"/>
          <w:highlight w:val="none"/>
          <w:lang w:val="en-US" w:eastAsia="zh-CN"/>
        </w:rPr>
        <w:t>他</w:t>
      </w:r>
      <w:r>
        <w:rPr>
          <w:rFonts w:hint="eastAsia" w:ascii="宋体" w:hAnsi="宋体" w:cs="宋体"/>
          <w:b/>
          <w:bCs/>
          <w:color w:val="auto"/>
          <w:sz w:val="32"/>
          <w:szCs w:val="32"/>
          <w:highlight w:val="none"/>
        </w:rPr>
        <w:t>资料</w:t>
      </w:r>
    </w:p>
    <w:p w14:paraId="638C1FCA">
      <w:pPr>
        <w:adjustRightInd w:val="0"/>
        <w:snapToGrid w:val="0"/>
        <w:spacing w:line="360" w:lineRule="auto"/>
        <w:ind w:firstLine="420" w:firstLineChars="200"/>
        <w:rPr>
          <w:rFonts w:ascii="宋体" w:hAnsi="宋体" w:cs="宋体"/>
          <w:color w:val="auto"/>
          <w:highlight w:val="none"/>
        </w:rPr>
      </w:pPr>
    </w:p>
    <w:p w14:paraId="6FDE0CF4">
      <w:pPr>
        <w:rPr>
          <w:color w:val="auto"/>
          <w:highlight w:val="none"/>
        </w:rPr>
      </w:pPr>
    </w:p>
    <w:p w14:paraId="6D2FF282">
      <w:pPr>
        <w:rPr>
          <w:color w:val="auto"/>
          <w:highlight w:val="none"/>
        </w:rPr>
      </w:pPr>
    </w:p>
    <w:p w14:paraId="246CE644">
      <w:pPr>
        <w:rPr>
          <w:color w:val="auto"/>
          <w:highlight w:val="none"/>
        </w:rPr>
      </w:pPr>
    </w:p>
    <w:p w14:paraId="2DDF9186">
      <w:pPr>
        <w:rPr>
          <w:color w:val="auto"/>
          <w:highlight w:val="none"/>
        </w:rPr>
      </w:pPr>
    </w:p>
    <w:p w14:paraId="55940EC8">
      <w:pPr>
        <w:rPr>
          <w:color w:val="auto"/>
          <w:highlight w:val="none"/>
        </w:rPr>
      </w:pPr>
    </w:p>
    <w:p w14:paraId="7C82BEDD">
      <w:pPr>
        <w:rPr>
          <w:color w:val="auto"/>
          <w:highlight w:val="none"/>
        </w:rPr>
      </w:pPr>
    </w:p>
    <w:p w14:paraId="5791BA9D">
      <w:pPr>
        <w:rPr>
          <w:color w:val="auto"/>
          <w:highlight w:val="none"/>
        </w:rPr>
      </w:pPr>
    </w:p>
    <w:p w14:paraId="71CB8A1D">
      <w:pPr>
        <w:rPr>
          <w:color w:val="auto"/>
          <w:highlight w:val="none"/>
        </w:rPr>
      </w:pPr>
    </w:p>
    <w:p w14:paraId="7C19E436">
      <w:pPr>
        <w:rPr>
          <w:color w:val="auto"/>
          <w:highlight w:val="none"/>
        </w:rPr>
      </w:pPr>
    </w:p>
    <w:p w14:paraId="65B4AD86">
      <w:pPr>
        <w:rPr>
          <w:color w:val="auto"/>
          <w:highlight w:val="none"/>
        </w:rPr>
      </w:pPr>
    </w:p>
    <w:p w14:paraId="205E3EA8">
      <w:pPr>
        <w:rPr>
          <w:color w:val="auto"/>
          <w:highlight w:val="none"/>
        </w:rPr>
      </w:pPr>
    </w:p>
    <w:p w14:paraId="35931A61">
      <w:pPr>
        <w:rPr>
          <w:color w:val="auto"/>
          <w:highlight w:val="none"/>
        </w:rPr>
      </w:pPr>
    </w:p>
    <w:p w14:paraId="520699B1">
      <w:pPr>
        <w:rPr>
          <w:color w:val="auto"/>
          <w:highlight w:val="none"/>
        </w:rPr>
      </w:pPr>
    </w:p>
    <w:p w14:paraId="3A0B8C17">
      <w:pPr>
        <w:rPr>
          <w:color w:val="auto"/>
          <w:highlight w:val="none"/>
        </w:rPr>
      </w:pPr>
    </w:p>
    <w:p w14:paraId="4DE02529">
      <w:pPr>
        <w:rPr>
          <w:color w:val="auto"/>
          <w:highlight w:val="none"/>
        </w:rPr>
      </w:pPr>
    </w:p>
    <w:p w14:paraId="268AD0CF">
      <w:pPr>
        <w:rPr>
          <w:color w:val="auto"/>
          <w:highlight w:val="none"/>
        </w:rPr>
      </w:pPr>
    </w:p>
    <w:p w14:paraId="2A8AC5E4">
      <w:pPr>
        <w:rPr>
          <w:color w:val="auto"/>
          <w:highlight w:val="none"/>
        </w:rPr>
      </w:pPr>
    </w:p>
    <w:p w14:paraId="62300F4E">
      <w:pPr>
        <w:rPr>
          <w:color w:val="auto"/>
          <w:highlight w:val="none"/>
        </w:rPr>
      </w:pPr>
    </w:p>
    <w:p w14:paraId="593A9D14">
      <w:pPr>
        <w:rPr>
          <w:color w:val="auto"/>
          <w:highlight w:val="none"/>
        </w:rPr>
      </w:pPr>
    </w:p>
    <w:p w14:paraId="007CEEA2">
      <w:pPr>
        <w:rPr>
          <w:color w:val="auto"/>
          <w:highlight w:val="none"/>
        </w:rPr>
      </w:pPr>
    </w:p>
    <w:p w14:paraId="54F28511">
      <w:pPr>
        <w:rPr>
          <w:color w:val="auto"/>
          <w:highlight w:val="none"/>
        </w:rPr>
      </w:pPr>
    </w:p>
    <w:p w14:paraId="372A3968">
      <w:pPr>
        <w:rPr>
          <w:color w:val="auto"/>
          <w:highlight w:val="none"/>
        </w:rPr>
      </w:pPr>
    </w:p>
    <w:p w14:paraId="2574712F">
      <w:pPr>
        <w:rPr>
          <w:color w:val="auto"/>
          <w:highlight w:val="none"/>
        </w:rPr>
      </w:pPr>
    </w:p>
    <w:p w14:paraId="74738C93">
      <w:pPr>
        <w:adjustRightInd w:val="0"/>
        <w:snapToGrid w:val="0"/>
        <w:spacing w:beforeLines="50" w:line="360" w:lineRule="auto"/>
        <w:ind w:firstLine="0" w:firstLineChars="0"/>
        <w:jc w:val="center"/>
        <w:rPr>
          <w:rFonts w:ascii="宋体" w:hAnsi="宋体" w:cs="宋体"/>
          <w:b/>
          <w:color w:val="auto"/>
          <w:sz w:val="32"/>
          <w:szCs w:val="32"/>
          <w:highlight w:val="none"/>
        </w:rPr>
      </w:pPr>
      <w:r>
        <w:rPr>
          <w:rFonts w:hint="eastAsia"/>
          <w:bCs/>
          <w:color w:val="auto"/>
          <w:szCs w:val="21"/>
          <w:highlight w:val="none"/>
        </w:rPr>
        <w:br w:type="page"/>
      </w:r>
      <w:r>
        <w:rPr>
          <w:rFonts w:hint="eastAsia" w:ascii="宋体" w:hAnsi="宋体" w:cs="宋体"/>
          <w:b/>
          <w:color w:val="auto"/>
          <w:sz w:val="32"/>
          <w:szCs w:val="32"/>
          <w:highlight w:val="none"/>
        </w:rPr>
        <w:t>七、最后报价</w:t>
      </w:r>
    </w:p>
    <w:p w14:paraId="6E3827B8">
      <w:pPr>
        <w:adjustRightInd w:val="0"/>
        <w:snapToGrid w:val="0"/>
        <w:spacing w:line="240" w:lineRule="auto"/>
        <w:ind w:left="-88" w:leftChars="-42" w:firstLine="0" w:firstLineChars="0"/>
        <w:rPr>
          <w:rFonts w:ascii="宋体" w:hAnsi="宋体" w:cs="宋体"/>
          <w:color w:val="auto"/>
          <w:szCs w:val="21"/>
          <w:highlight w:val="none"/>
        </w:rPr>
      </w:pPr>
    </w:p>
    <w:p w14:paraId="09C6ABCD">
      <w:pPr>
        <w:adjustRightInd w:val="0"/>
        <w:snapToGrid w:val="0"/>
        <w:spacing w:line="360" w:lineRule="auto"/>
        <w:ind w:firstLine="0" w:firstLineChars="0"/>
        <w:rPr>
          <w:rFonts w:ascii="宋体" w:hAnsi="宋体" w:cs="宋体"/>
          <w:color w:val="auto"/>
          <w:szCs w:val="21"/>
          <w:highlight w:val="none"/>
        </w:rPr>
      </w:pPr>
      <w:r>
        <w:rPr>
          <w:rFonts w:hint="eastAsia" w:ascii="宋体" w:hAnsi="宋体" w:cs="宋体"/>
          <w:color w:val="auto"/>
          <w:szCs w:val="21"/>
          <w:highlight w:val="none"/>
        </w:rPr>
        <w:t>说明：</w:t>
      </w:r>
    </w:p>
    <w:p w14:paraId="0CBDF4B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1、最后报价按第二章磋商须知第30条规定提供，格式按附件8-1、8-2提供，自行准备。</w:t>
      </w:r>
    </w:p>
    <w:p w14:paraId="28153B0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2、不装入文件、现场递交。进行最后报价时由供应商法定代表人或其委托代理人填写并签字确认。</w:t>
      </w:r>
    </w:p>
    <w:p w14:paraId="620AE521">
      <w:pPr>
        <w:widowControl/>
        <w:spacing w:before="100" w:beforeAutospacing="1" w:after="100" w:afterAutospacing="1" w:line="408" w:lineRule="auto"/>
        <w:ind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(最后报价待评标小组要求进行报价时现场提供，应当提前准备已签字盖章的最后报价</w:t>
      </w:r>
      <w:r>
        <w:rPr>
          <w:rFonts w:hint="eastAsia" w:ascii="宋体" w:hAnsi="宋体" w:eastAsia="宋体" w:cs="宋体"/>
          <w:color w:val="auto"/>
          <w:szCs w:val="21"/>
          <w:highlight w:val="none"/>
        </w:rPr>
        <w:t>一览表和分项价格表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不得装入投标文件内。</w:t>
      </w:r>
      <w:r>
        <w:rPr>
          <w:rFonts w:hint="eastAsia" w:ascii="宋体" w:hAnsi="宋体" w:eastAsia="宋体" w:cs="宋体"/>
          <w:b/>
          <w:bCs/>
          <w:color w:val="auto"/>
          <w:szCs w:val="21"/>
          <w:highlight w:val="none"/>
        </w:rPr>
        <w:t>不与响应文件一起递交</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w:t>
      </w:r>
    </w:p>
    <w:p w14:paraId="50CC5500">
      <w:pPr>
        <w:rPr>
          <w:color w:val="auto"/>
          <w:highlight w:val="none"/>
        </w:rPr>
      </w:pPr>
    </w:p>
    <w:p w14:paraId="1B175474">
      <w:pPr>
        <w:pStyle w:val="60"/>
        <w:rPr>
          <w:color w:val="auto"/>
          <w:highlight w:val="none"/>
        </w:rPr>
      </w:pPr>
    </w:p>
    <w:p w14:paraId="247C7AF4">
      <w:pPr>
        <w:rPr>
          <w:color w:val="auto"/>
          <w:highlight w:val="none"/>
        </w:rPr>
      </w:pPr>
    </w:p>
    <w:p w14:paraId="25D32565">
      <w:pPr>
        <w:rPr>
          <w:color w:val="auto"/>
          <w:highlight w:val="none"/>
        </w:rPr>
      </w:pPr>
    </w:p>
    <w:p w14:paraId="5D278000">
      <w:pPr>
        <w:rPr>
          <w:color w:val="auto"/>
          <w:highlight w:val="none"/>
        </w:rPr>
      </w:pPr>
    </w:p>
    <w:sectPr>
      <w:pgSz w:w="11906" w:h="16838"/>
      <w:pgMar w:top="1474" w:right="1474" w:bottom="232" w:left="1588"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长城仿宋">
    <w:altName w:val="仿宋"/>
    <w:panose1 w:val="00000000000000000000"/>
    <w:charset w:val="86"/>
    <w:family w:val="modern"/>
    <w:pitch w:val="default"/>
    <w:sig w:usb0="00000000" w:usb1="00000000" w:usb2="00000010" w:usb3="00000000" w:csb0="00040000" w:csb1="00000000"/>
  </w:font>
  <w:font w:name="MS Sans Serif">
    <w:altName w:val="Arial"/>
    <w:panose1 w:val="020B0500000000000000"/>
    <w:charset w:val="00"/>
    <w:family w:val="swiss"/>
    <w:pitch w:val="default"/>
    <w:sig w:usb0="00000000" w:usb1="00000000" w:usb2="00000000" w:usb3="00000000" w:csb0="00000001" w:csb1="00000000"/>
  </w:font>
  <w:font w:name="Arail">
    <w:altName w:val="Times New Roman"/>
    <w:panose1 w:val="00000000000000000000"/>
    <w:charset w:val="00"/>
    <w:family w:val="roman"/>
    <w:pitch w:val="default"/>
    <w:sig w:usb0="00000000" w:usb1="00000000" w:usb2="00000000" w:usb3="00000000" w:csb0="00040001" w:csb1="00000000"/>
  </w:font>
  <w:font w:name="Sylfaen">
    <w:panose1 w:val="010A0502050306030303"/>
    <w:charset w:val="00"/>
    <w:family w:val="roman"/>
    <w:pitch w:val="default"/>
    <w:sig w:usb0="04000687" w:usb1="00000000" w:usb2="00000000" w:usb3="00000000" w:csb0="2000009F" w:csb1="00000000"/>
  </w:font>
  <w:font w:name="Wingdings 2">
    <w:altName w:val="Wingdings"/>
    <w:panose1 w:val="05020102010507070707"/>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C395C">
    <w:pPr>
      <w:pStyle w:val="30"/>
      <w:ind w:firstLine="360"/>
      <w:rPr>
        <w:rStyle w:val="47"/>
      </w:rPr>
    </w:pPr>
    <w:r>
      <w:rPr>
        <w:sz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86221C">
                          <w:pPr>
                            <w:pStyle w:val="30"/>
                            <w:ind w:firstLine="360"/>
                          </w:pPr>
                          <w:r>
                            <w:fldChar w:fldCharType="begin"/>
                          </w:r>
                          <w:r>
                            <w:rPr>
                              <w:rStyle w:val="47"/>
                            </w:rPr>
                            <w:instrText xml:space="preserve">PAGE  </w:instrText>
                          </w:r>
                          <w:r>
                            <w:fldChar w:fldCharType="separate"/>
                          </w:r>
                          <w:r>
                            <w:rPr>
                              <w:rStyle w:val="47"/>
                            </w:rPr>
                            <w:t>15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E86221C">
                    <w:pPr>
                      <w:pStyle w:val="30"/>
                      <w:ind w:firstLine="360"/>
                    </w:pPr>
                    <w:r>
                      <w:fldChar w:fldCharType="begin"/>
                    </w:r>
                    <w:r>
                      <w:rPr>
                        <w:rStyle w:val="47"/>
                      </w:rPr>
                      <w:instrText xml:space="preserve">PAGE  </w:instrText>
                    </w:r>
                    <w:r>
                      <w:fldChar w:fldCharType="separate"/>
                    </w:r>
                    <w:r>
                      <w:rPr>
                        <w:rStyle w:val="47"/>
                      </w:rPr>
                      <w:t>15</w:t>
                    </w:r>
                    <w:r>
                      <w:fldChar w:fldCharType="end"/>
                    </w:r>
                  </w:p>
                </w:txbxContent>
              </v:textbox>
            </v:shape>
          </w:pict>
        </mc:Fallback>
      </mc:AlternateContent>
    </w:r>
  </w:p>
  <w:p w14:paraId="1E1353E2">
    <w:pPr>
      <w:pStyle w:val="3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FFCA1">
    <w:pPr>
      <w:pStyle w:val="30"/>
      <w:ind w:firstLine="360"/>
      <w:rPr>
        <w:rStyle w:val="47"/>
      </w:rPr>
    </w:pPr>
    <w:r>
      <w:fldChar w:fldCharType="begin"/>
    </w:r>
    <w:r>
      <w:rPr>
        <w:rStyle w:val="47"/>
      </w:rPr>
      <w:instrText xml:space="preserve">PAGE  </w:instrText>
    </w:r>
    <w:r>
      <w:fldChar w:fldCharType="end"/>
    </w:r>
  </w:p>
  <w:p w14:paraId="3DBFA683">
    <w:pPr>
      <w:pStyle w:val="3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23576">
    <w:pPr>
      <w:pStyle w:val="3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6BE66">
    <w:pPr>
      <w:pStyle w:val="30"/>
      <w:ind w:firstLine="360"/>
      <w:rPr>
        <w:rStyle w:val="47"/>
      </w:rPr>
    </w:pPr>
  </w:p>
  <w:p w14:paraId="74BF6F5B">
    <w:pPr>
      <w:pStyle w:val="30"/>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52EF3">
    <w:pPr>
      <w:pStyle w:val="30"/>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575E6">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54014F">
                          <w:pPr>
                            <w:pStyle w:val="3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4D54014F">
                    <w:pPr>
                      <w:pStyle w:val="3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63AF3">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4A3D7C">
                          <w:pPr>
                            <w:pStyle w:val="3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2D4A3D7C">
                    <w:pPr>
                      <w:pStyle w:val="3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9E1BE">
    <w:pPr>
      <w:pStyle w:val="30"/>
      <w:ind w:firstLine="360"/>
      <w:rPr>
        <w:rStyle w:val="47"/>
      </w:rPr>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00EE48">
                          <w:pPr>
                            <w:pStyle w:val="30"/>
                          </w:pPr>
                          <w:r>
                            <w:fldChar w:fldCharType="begin"/>
                          </w:r>
                          <w:r>
                            <w:instrText xml:space="preserve"> PAGE  \* MERGEFORMAT </w:instrText>
                          </w:r>
                          <w:r>
                            <w:fldChar w:fldCharType="separate"/>
                          </w:r>
                          <w:r>
                            <w:t>14</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PAdavrIAQAAmQMAAA4AAAAAAAAAAQAgAAAAHgEAAGRycy9lMm9Eb2Mu&#10;eG1sUEsFBgAAAAAGAAYAWQEAAFgFAAAAAA==&#10;">
              <v:fill on="f" focussize="0,0"/>
              <v:stroke on="f"/>
              <v:imagedata o:title=""/>
              <o:lock v:ext="edit" aspectratio="f"/>
              <v:textbox inset="0mm,0mm,0mm,0mm" style="mso-fit-shape-to-text:t;">
                <w:txbxContent>
                  <w:p w14:paraId="7E00EE48">
                    <w:pPr>
                      <w:pStyle w:val="30"/>
                    </w:pPr>
                    <w:r>
                      <w:fldChar w:fldCharType="begin"/>
                    </w:r>
                    <w:r>
                      <w:instrText xml:space="preserve"> PAGE  \* MERGEFORMAT </w:instrText>
                    </w:r>
                    <w:r>
                      <w:fldChar w:fldCharType="separate"/>
                    </w:r>
                    <w:r>
                      <w:t>14</w:t>
                    </w:r>
                    <w:r>
                      <w:fldChar w:fldCharType="end"/>
                    </w:r>
                  </w:p>
                </w:txbxContent>
              </v:textbox>
            </v:shape>
          </w:pict>
        </mc:Fallback>
      </mc:AlternateContent>
    </w:r>
  </w:p>
  <w:p w14:paraId="209F25B2">
    <w:pPr>
      <w:pStyle w:val="30"/>
      <w:ind w:firstLine="360"/>
    </w:pPr>
  </w:p>
  <w:p w14:paraId="6546DE2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7F5FB">
    <w:pPr>
      <w:pStyle w:val="31"/>
      <w:pBdr>
        <w:bottom w:val="thinThickSmallGap" w:color="auto" w:sz="12" w:space="1"/>
      </w:pBdr>
      <w:spacing w:line="240" w:lineRule="auto"/>
      <w:ind w:left="0" w:leftChars="0" w:firstLine="0" w:firstLineChars="0"/>
      <w:jc w:val="left"/>
    </w:pPr>
    <w:r>
      <w:rPr>
        <w:rFonts w:hint="eastAsia" w:cs="宋体"/>
        <w:b/>
        <w:iCs/>
        <w:lang w:eastAsia="zh-CN"/>
      </w:rPr>
      <w:t>新河大厦保安保洁业务委托服务采购项目</w:t>
    </w:r>
    <w:r>
      <w:rPr>
        <w:rFonts w:hint="eastAsia" w:ascii="宋体" w:hAnsi="宋体" w:cs="宋体"/>
        <w:b/>
        <w:iCs/>
      </w:rPr>
      <w:t xml:space="preserve"> </w:t>
    </w:r>
    <w:r>
      <w:rPr>
        <w:rFonts w:hint="eastAsia" w:ascii="仿宋" w:hAnsi="仿宋" w:eastAsia="仿宋"/>
        <w:b/>
        <w:i/>
        <w:lang w:val="en-US" w:eastAsia="zh-CN"/>
      </w:rPr>
      <w:t xml:space="preserve">     </w:t>
    </w:r>
    <w:r>
      <w:rPr>
        <w:rFonts w:hint="eastAsia" w:ascii="仿宋" w:hAnsi="仿宋" w:eastAsia="仿宋"/>
        <w:b/>
        <w:i/>
      </w:rPr>
      <w:t xml:space="preserve">   </w:t>
    </w:r>
    <w:r>
      <w:rPr>
        <w:rFonts w:hint="eastAsia" w:ascii="仿宋" w:hAnsi="仿宋" w:eastAsia="仿宋"/>
        <w:b/>
        <w:i/>
        <w:lang w:val="en-US" w:eastAsia="zh-CN"/>
      </w:rPr>
      <w:t xml:space="preserve"> </w:t>
    </w:r>
    <w:r>
      <w:rPr>
        <w:rFonts w:hint="eastAsia" w:cs="宋体"/>
        <w:b/>
        <w:iCs/>
        <w:lang w:val="en-US" w:eastAsia="zh-CN"/>
      </w:rPr>
      <w:t xml:space="preserve">                               </w:t>
    </w:r>
    <w:r>
      <w:rPr>
        <w:rFonts w:hint="eastAsia" w:ascii="宋体" w:hAnsi="宋体" w:cs="宋体"/>
        <w:b/>
        <w:iCs/>
      </w:rPr>
      <w:t xml:space="preserve">竞争性磋商文件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0B637">
    <w:pPr>
      <w:pStyle w:val="3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3DCF4">
    <w:pPr>
      <w:pStyle w:val="31"/>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5E5CC4"/>
    <w:multiLevelType w:val="singleLevel"/>
    <w:tmpl w:val="E55E5CC4"/>
    <w:lvl w:ilvl="0" w:tentative="0">
      <w:start w:val="3"/>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2ZjVjYzkyZDNkN2FkMTA1MmI2NmZmOWU3MTM5YjkifQ=="/>
  </w:docVars>
  <w:rsids>
    <w:rsidRoot w:val="00172A27"/>
    <w:rsid w:val="000015BC"/>
    <w:rsid w:val="00004A7C"/>
    <w:rsid w:val="00013371"/>
    <w:rsid w:val="000156E2"/>
    <w:rsid w:val="000177D6"/>
    <w:rsid w:val="00022CB8"/>
    <w:rsid w:val="00024344"/>
    <w:rsid w:val="00025986"/>
    <w:rsid w:val="00026B4C"/>
    <w:rsid w:val="00026FD7"/>
    <w:rsid w:val="00027406"/>
    <w:rsid w:val="0002779F"/>
    <w:rsid w:val="00027D5B"/>
    <w:rsid w:val="000313EC"/>
    <w:rsid w:val="00031A91"/>
    <w:rsid w:val="00034641"/>
    <w:rsid w:val="0003465E"/>
    <w:rsid w:val="00035387"/>
    <w:rsid w:val="000358C7"/>
    <w:rsid w:val="00035DCB"/>
    <w:rsid w:val="00037E98"/>
    <w:rsid w:val="00040D86"/>
    <w:rsid w:val="00041065"/>
    <w:rsid w:val="00041CAD"/>
    <w:rsid w:val="000441C7"/>
    <w:rsid w:val="00045C7A"/>
    <w:rsid w:val="000470C6"/>
    <w:rsid w:val="00047730"/>
    <w:rsid w:val="00051361"/>
    <w:rsid w:val="00051E2A"/>
    <w:rsid w:val="000524CC"/>
    <w:rsid w:val="00053BA6"/>
    <w:rsid w:val="00053DE3"/>
    <w:rsid w:val="000640EC"/>
    <w:rsid w:val="000641A5"/>
    <w:rsid w:val="000716AB"/>
    <w:rsid w:val="00075DCA"/>
    <w:rsid w:val="00077022"/>
    <w:rsid w:val="000809E1"/>
    <w:rsid w:val="000818D8"/>
    <w:rsid w:val="00081FA6"/>
    <w:rsid w:val="00082276"/>
    <w:rsid w:val="00083C6E"/>
    <w:rsid w:val="00086A97"/>
    <w:rsid w:val="000911F1"/>
    <w:rsid w:val="00092509"/>
    <w:rsid w:val="000952E7"/>
    <w:rsid w:val="000A2941"/>
    <w:rsid w:val="000A3E58"/>
    <w:rsid w:val="000A604E"/>
    <w:rsid w:val="000B422C"/>
    <w:rsid w:val="000B49A7"/>
    <w:rsid w:val="000B6963"/>
    <w:rsid w:val="000C10CD"/>
    <w:rsid w:val="000C2ACC"/>
    <w:rsid w:val="000C2B71"/>
    <w:rsid w:val="000C3661"/>
    <w:rsid w:val="000C5109"/>
    <w:rsid w:val="000C575C"/>
    <w:rsid w:val="000C5BDA"/>
    <w:rsid w:val="000D7C1B"/>
    <w:rsid w:val="000E1E33"/>
    <w:rsid w:val="000E430C"/>
    <w:rsid w:val="000E4DBE"/>
    <w:rsid w:val="000E5498"/>
    <w:rsid w:val="000E6182"/>
    <w:rsid w:val="000E6F8F"/>
    <w:rsid w:val="000F23B9"/>
    <w:rsid w:val="000F48CA"/>
    <w:rsid w:val="000F533F"/>
    <w:rsid w:val="000F5645"/>
    <w:rsid w:val="000F59D5"/>
    <w:rsid w:val="000F5C1E"/>
    <w:rsid w:val="00100878"/>
    <w:rsid w:val="00101B94"/>
    <w:rsid w:val="00103897"/>
    <w:rsid w:val="00106340"/>
    <w:rsid w:val="00106CB3"/>
    <w:rsid w:val="00107232"/>
    <w:rsid w:val="001103EE"/>
    <w:rsid w:val="00114407"/>
    <w:rsid w:val="0011494C"/>
    <w:rsid w:val="00117E73"/>
    <w:rsid w:val="001256EF"/>
    <w:rsid w:val="00127819"/>
    <w:rsid w:val="001324C6"/>
    <w:rsid w:val="00132F66"/>
    <w:rsid w:val="001344E3"/>
    <w:rsid w:val="00136079"/>
    <w:rsid w:val="001364C1"/>
    <w:rsid w:val="001409DD"/>
    <w:rsid w:val="001416D5"/>
    <w:rsid w:val="00141EA9"/>
    <w:rsid w:val="001423F6"/>
    <w:rsid w:val="0014593E"/>
    <w:rsid w:val="00147E27"/>
    <w:rsid w:val="00154ED0"/>
    <w:rsid w:val="00160437"/>
    <w:rsid w:val="001652A3"/>
    <w:rsid w:val="00167D4D"/>
    <w:rsid w:val="00167E36"/>
    <w:rsid w:val="00170ABA"/>
    <w:rsid w:val="0017108F"/>
    <w:rsid w:val="00172007"/>
    <w:rsid w:val="00172683"/>
    <w:rsid w:val="00172AC1"/>
    <w:rsid w:val="00174093"/>
    <w:rsid w:val="00174AD2"/>
    <w:rsid w:val="00174AF5"/>
    <w:rsid w:val="0017639C"/>
    <w:rsid w:val="00176925"/>
    <w:rsid w:val="0018787D"/>
    <w:rsid w:val="00187EA5"/>
    <w:rsid w:val="00190F87"/>
    <w:rsid w:val="001930CA"/>
    <w:rsid w:val="00193F22"/>
    <w:rsid w:val="00194E27"/>
    <w:rsid w:val="0019582D"/>
    <w:rsid w:val="00197DB3"/>
    <w:rsid w:val="001A0051"/>
    <w:rsid w:val="001A27C7"/>
    <w:rsid w:val="001A57C2"/>
    <w:rsid w:val="001B229F"/>
    <w:rsid w:val="001B266B"/>
    <w:rsid w:val="001B4B37"/>
    <w:rsid w:val="001B56C9"/>
    <w:rsid w:val="001B5D41"/>
    <w:rsid w:val="001B6E2A"/>
    <w:rsid w:val="001B7F3D"/>
    <w:rsid w:val="001B7F8A"/>
    <w:rsid w:val="001C30E6"/>
    <w:rsid w:val="001C598A"/>
    <w:rsid w:val="001C6863"/>
    <w:rsid w:val="001C7DB0"/>
    <w:rsid w:val="001C7EEC"/>
    <w:rsid w:val="001D1504"/>
    <w:rsid w:val="001D1FFB"/>
    <w:rsid w:val="001D23F4"/>
    <w:rsid w:val="001D5C4A"/>
    <w:rsid w:val="001D6192"/>
    <w:rsid w:val="001D6DC2"/>
    <w:rsid w:val="001D7D62"/>
    <w:rsid w:val="001E0AF2"/>
    <w:rsid w:val="001E16C0"/>
    <w:rsid w:val="001E2798"/>
    <w:rsid w:val="001E35D4"/>
    <w:rsid w:val="001E7E5B"/>
    <w:rsid w:val="001F3061"/>
    <w:rsid w:val="001F7515"/>
    <w:rsid w:val="00200EA4"/>
    <w:rsid w:val="002037B4"/>
    <w:rsid w:val="002037DB"/>
    <w:rsid w:val="00205190"/>
    <w:rsid w:val="00206968"/>
    <w:rsid w:val="00206FCE"/>
    <w:rsid w:val="00207162"/>
    <w:rsid w:val="00211C0E"/>
    <w:rsid w:val="00212642"/>
    <w:rsid w:val="002131F5"/>
    <w:rsid w:val="00214C2C"/>
    <w:rsid w:val="002159AF"/>
    <w:rsid w:val="0021675C"/>
    <w:rsid w:val="002223E0"/>
    <w:rsid w:val="00222899"/>
    <w:rsid w:val="00223AAF"/>
    <w:rsid w:val="002240ED"/>
    <w:rsid w:val="00225629"/>
    <w:rsid w:val="00226977"/>
    <w:rsid w:val="002270C6"/>
    <w:rsid w:val="0022782B"/>
    <w:rsid w:val="002314CA"/>
    <w:rsid w:val="0023455F"/>
    <w:rsid w:val="00234E98"/>
    <w:rsid w:val="002355BB"/>
    <w:rsid w:val="002356DF"/>
    <w:rsid w:val="00242EFF"/>
    <w:rsid w:val="002436C2"/>
    <w:rsid w:val="00243709"/>
    <w:rsid w:val="002440C4"/>
    <w:rsid w:val="002446EA"/>
    <w:rsid w:val="00244C86"/>
    <w:rsid w:val="002457F9"/>
    <w:rsid w:val="00245A92"/>
    <w:rsid w:val="002502DD"/>
    <w:rsid w:val="002541B3"/>
    <w:rsid w:val="00260239"/>
    <w:rsid w:val="00260E96"/>
    <w:rsid w:val="00263C15"/>
    <w:rsid w:val="00264B86"/>
    <w:rsid w:val="00266E91"/>
    <w:rsid w:val="00271DF1"/>
    <w:rsid w:val="00276A9C"/>
    <w:rsid w:val="00276E33"/>
    <w:rsid w:val="00277934"/>
    <w:rsid w:val="002809C3"/>
    <w:rsid w:val="00281493"/>
    <w:rsid w:val="00281AFB"/>
    <w:rsid w:val="00285665"/>
    <w:rsid w:val="002859F6"/>
    <w:rsid w:val="002879A0"/>
    <w:rsid w:val="00290F35"/>
    <w:rsid w:val="00291C33"/>
    <w:rsid w:val="002942E2"/>
    <w:rsid w:val="00295E49"/>
    <w:rsid w:val="002A03CB"/>
    <w:rsid w:val="002A41F5"/>
    <w:rsid w:val="002A6ED0"/>
    <w:rsid w:val="002A7115"/>
    <w:rsid w:val="002B4521"/>
    <w:rsid w:val="002B5F66"/>
    <w:rsid w:val="002B6A3B"/>
    <w:rsid w:val="002B6DC1"/>
    <w:rsid w:val="002B7325"/>
    <w:rsid w:val="002C2ECD"/>
    <w:rsid w:val="002C4B46"/>
    <w:rsid w:val="002D54FC"/>
    <w:rsid w:val="002E2AB7"/>
    <w:rsid w:val="002E2BB7"/>
    <w:rsid w:val="002E356B"/>
    <w:rsid w:val="002E5234"/>
    <w:rsid w:val="002E6042"/>
    <w:rsid w:val="002F098F"/>
    <w:rsid w:val="002F0EFC"/>
    <w:rsid w:val="002F1257"/>
    <w:rsid w:val="002F42D5"/>
    <w:rsid w:val="00301894"/>
    <w:rsid w:val="00301B5A"/>
    <w:rsid w:val="0030510F"/>
    <w:rsid w:val="0030672A"/>
    <w:rsid w:val="003070FD"/>
    <w:rsid w:val="003072D6"/>
    <w:rsid w:val="00311078"/>
    <w:rsid w:val="003136E5"/>
    <w:rsid w:val="00313BC8"/>
    <w:rsid w:val="0031417B"/>
    <w:rsid w:val="0031751F"/>
    <w:rsid w:val="00317CD3"/>
    <w:rsid w:val="00321C75"/>
    <w:rsid w:val="0032756E"/>
    <w:rsid w:val="003303DC"/>
    <w:rsid w:val="00331A2E"/>
    <w:rsid w:val="00332937"/>
    <w:rsid w:val="00332C10"/>
    <w:rsid w:val="003333D7"/>
    <w:rsid w:val="00333943"/>
    <w:rsid w:val="0033509E"/>
    <w:rsid w:val="00336E8A"/>
    <w:rsid w:val="00340105"/>
    <w:rsid w:val="003412D4"/>
    <w:rsid w:val="00342089"/>
    <w:rsid w:val="0034404B"/>
    <w:rsid w:val="0034572F"/>
    <w:rsid w:val="003469E4"/>
    <w:rsid w:val="0035131B"/>
    <w:rsid w:val="003524DF"/>
    <w:rsid w:val="0035276C"/>
    <w:rsid w:val="0035331E"/>
    <w:rsid w:val="0035551F"/>
    <w:rsid w:val="003610D2"/>
    <w:rsid w:val="0036567D"/>
    <w:rsid w:val="0037058A"/>
    <w:rsid w:val="00373945"/>
    <w:rsid w:val="00374E53"/>
    <w:rsid w:val="003752C8"/>
    <w:rsid w:val="00376191"/>
    <w:rsid w:val="00382ACA"/>
    <w:rsid w:val="00387693"/>
    <w:rsid w:val="003914B4"/>
    <w:rsid w:val="00391A73"/>
    <w:rsid w:val="003948FD"/>
    <w:rsid w:val="003A6117"/>
    <w:rsid w:val="003B0AFE"/>
    <w:rsid w:val="003B1744"/>
    <w:rsid w:val="003B6A76"/>
    <w:rsid w:val="003B780B"/>
    <w:rsid w:val="003B7F78"/>
    <w:rsid w:val="003C1C58"/>
    <w:rsid w:val="003C3A5C"/>
    <w:rsid w:val="003C3EAB"/>
    <w:rsid w:val="003C6100"/>
    <w:rsid w:val="003C7959"/>
    <w:rsid w:val="003D1521"/>
    <w:rsid w:val="003D23D1"/>
    <w:rsid w:val="003D334C"/>
    <w:rsid w:val="003D76C6"/>
    <w:rsid w:val="003E18E1"/>
    <w:rsid w:val="003E1EFA"/>
    <w:rsid w:val="003E7B33"/>
    <w:rsid w:val="003F06C8"/>
    <w:rsid w:val="003F472F"/>
    <w:rsid w:val="003F4843"/>
    <w:rsid w:val="003F498D"/>
    <w:rsid w:val="003F4E1C"/>
    <w:rsid w:val="003F6A20"/>
    <w:rsid w:val="003F7D02"/>
    <w:rsid w:val="004018F9"/>
    <w:rsid w:val="00407B66"/>
    <w:rsid w:val="00410033"/>
    <w:rsid w:val="0041158C"/>
    <w:rsid w:val="004117F0"/>
    <w:rsid w:val="00411C9F"/>
    <w:rsid w:val="004132DE"/>
    <w:rsid w:val="00417100"/>
    <w:rsid w:val="00422A05"/>
    <w:rsid w:val="004233B4"/>
    <w:rsid w:val="00426945"/>
    <w:rsid w:val="00427983"/>
    <w:rsid w:val="00430191"/>
    <w:rsid w:val="00431725"/>
    <w:rsid w:val="00432850"/>
    <w:rsid w:val="004409B2"/>
    <w:rsid w:val="00441209"/>
    <w:rsid w:val="00450009"/>
    <w:rsid w:val="00453134"/>
    <w:rsid w:val="00454BE4"/>
    <w:rsid w:val="00463088"/>
    <w:rsid w:val="0047047A"/>
    <w:rsid w:val="004728ED"/>
    <w:rsid w:val="00472DF6"/>
    <w:rsid w:val="004748B6"/>
    <w:rsid w:val="00475521"/>
    <w:rsid w:val="00475654"/>
    <w:rsid w:val="004807DF"/>
    <w:rsid w:val="00481283"/>
    <w:rsid w:val="004836CC"/>
    <w:rsid w:val="00483D0A"/>
    <w:rsid w:val="004847D2"/>
    <w:rsid w:val="00485338"/>
    <w:rsid w:val="00485915"/>
    <w:rsid w:val="00485D13"/>
    <w:rsid w:val="0048677F"/>
    <w:rsid w:val="00491260"/>
    <w:rsid w:val="00491AE4"/>
    <w:rsid w:val="004923B6"/>
    <w:rsid w:val="0049391F"/>
    <w:rsid w:val="0049529F"/>
    <w:rsid w:val="00496D5A"/>
    <w:rsid w:val="004A0502"/>
    <w:rsid w:val="004A2C62"/>
    <w:rsid w:val="004A5608"/>
    <w:rsid w:val="004A6058"/>
    <w:rsid w:val="004A7B3D"/>
    <w:rsid w:val="004B27C0"/>
    <w:rsid w:val="004B3FB6"/>
    <w:rsid w:val="004B44CF"/>
    <w:rsid w:val="004B55A5"/>
    <w:rsid w:val="004B7380"/>
    <w:rsid w:val="004C2F23"/>
    <w:rsid w:val="004C3F73"/>
    <w:rsid w:val="004D1DC5"/>
    <w:rsid w:val="004E142C"/>
    <w:rsid w:val="004E1AF9"/>
    <w:rsid w:val="004F07EF"/>
    <w:rsid w:val="004F197F"/>
    <w:rsid w:val="004F46DF"/>
    <w:rsid w:val="004F6493"/>
    <w:rsid w:val="00504192"/>
    <w:rsid w:val="00504385"/>
    <w:rsid w:val="005109DB"/>
    <w:rsid w:val="00515059"/>
    <w:rsid w:val="00515594"/>
    <w:rsid w:val="00522A24"/>
    <w:rsid w:val="00523BED"/>
    <w:rsid w:val="005255EB"/>
    <w:rsid w:val="00526D70"/>
    <w:rsid w:val="0052705B"/>
    <w:rsid w:val="0052793A"/>
    <w:rsid w:val="00527F93"/>
    <w:rsid w:val="00530025"/>
    <w:rsid w:val="00531683"/>
    <w:rsid w:val="00531D6B"/>
    <w:rsid w:val="005325DA"/>
    <w:rsid w:val="005327B1"/>
    <w:rsid w:val="00532F95"/>
    <w:rsid w:val="00535E7A"/>
    <w:rsid w:val="00543765"/>
    <w:rsid w:val="00544918"/>
    <w:rsid w:val="00546417"/>
    <w:rsid w:val="00546A6D"/>
    <w:rsid w:val="00546ABF"/>
    <w:rsid w:val="00546F0D"/>
    <w:rsid w:val="00550DB2"/>
    <w:rsid w:val="00553640"/>
    <w:rsid w:val="00554044"/>
    <w:rsid w:val="00554C89"/>
    <w:rsid w:val="0056147B"/>
    <w:rsid w:val="0056199A"/>
    <w:rsid w:val="00563F1D"/>
    <w:rsid w:val="00566DDF"/>
    <w:rsid w:val="00570CBE"/>
    <w:rsid w:val="00572CB9"/>
    <w:rsid w:val="00575ADE"/>
    <w:rsid w:val="00575F19"/>
    <w:rsid w:val="005770DF"/>
    <w:rsid w:val="00580A65"/>
    <w:rsid w:val="00580D9F"/>
    <w:rsid w:val="00582329"/>
    <w:rsid w:val="00583097"/>
    <w:rsid w:val="00586507"/>
    <w:rsid w:val="0059291C"/>
    <w:rsid w:val="00595909"/>
    <w:rsid w:val="00596362"/>
    <w:rsid w:val="00596918"/>
    <w:rsid w:val="00597073"/>
    <w:rsid w:val="005A14F5"/>
    <w:rsid w:val="005A1532"/>
    <w:rsid w:val="005A22A2"/>
    <w:rsid w:val="005A2A0F"/>
    <w:rsid w:val="005A3292"/>
    <w:rsid w:val="005A3897"/>
    <w:rsid w:val="005A4189"/>
    <w:rsid w:val="005B1852"/>
    <w:rsid w:val="005B1A4E"/>
    <w:rsid w:val="005B38E7"/>
    <w:rsid w:val="005B4969"/>
    <w:rsid w:val="005B534C"/>
    <w:rsid w:val="005B6E25"/>
    <w:rsid w:val="005C02DC"/>
    <w:rsid w:val="005C088A"/>
    <w:rsid w:val="005C23A1"/>
    <w:rsid w:val="005D1128"/>
    <w:rsid w:val="005D3F38"/>
    <w:rsid w:val="005D447C"/>
    <w:rsid w:val="005D6FAF"/>
    <w:rsid w:val="005D7ECA"/>
    <w:rsid w:val="005F23F3"/>
    <w:rsid w:val="005F5575"/>
    <w:rsid w:val="005F5EE7"/>
    <w:rsid w:val="00601F43"/>
    <w:rsid w:val="00602FF0"/>
    <w:rsid w:val="00604017"/>
    <w:rsid w:val="00605A59"/>
    <w:rsid w:val="006077FC"/>
    <w:rsid w:val="006108C2"/>
    <w:rsid w:val="0061139C"/>
    <w:rsid w:val="00612E59"/>
    <w:rsid w:val="006140F3"/>
    <w:rsid w:val="006149C5"/>
    <w:rsid w:val="00615D25"/>
    <w:rsid w:val="00621D98"/>
    <w:rsid w:val="00621E4F"/>
    <w:rsid w:val="006229A8"/>
    <w:rsid w:val="006246A7"/>
    <w:rsid w:val="00626E4B"/>
    <w:rsid w:val="00627302"/>
    <w:rsid w:val="006307FF"/>
    <w:rsid w:val="0063170F"/>
    <w:rsid w:val="006328FF"/>
    <w:rsid w:val="00633421"/>
    <w:rsid w:val="0063686A"/>
    <w:rsid w:val="00636A24"/>
    <w:rsid w:val="0064250B"/>
    <w:rsid w:val="00642761"/>
    <w:rsid w:val="00650AFD"/>
    <w:rsid w:val="0065196E"/>
    <w:rsid w:val="00652A0E"/>
    <w:rsid w:val="00654F84"/>
    <w:rsid w:val="006564CF"/>
    <w:rsid w:val="00657A60"/>
    <w:rsid w:val="00657D26"/>
    <w:rsid w:val="00660C14"/>
    <w:rsid w:val="006627D5"/>
    <w:rsid w:val="0066300B"/>
    <w:rsid w:val="00667A88"/>
    <w:rsid w:val="00672F09"/>
    <w:rsid w:val="00673AC8"/>
    <w:rsid w:val="006751BE"/>
    <w:rsid w:val="00676F7B"/>
    <w:rsid w:val="00677930"/>
    <w:rsid w:val="00682715"/>
    <w:rsid w:val="00682EB1"/>
    <w:rsid w:val="00685F9F"/>
    <w:rsid w:val="00687880"/>
    <w:rsid w:val="00687C90"/>
    <w:rsid w:val="00691C00"/>
    <w:rsid w:val="00692FA7"/>
    <w:rsid w:val="006931C3"/>
    <w:rsid w:val="006932C9"/>
    <w:rsid w:val="00693615"/>
    <w:rsid w:val="00693CB4"/>
    <w:rsid w:val="00695533"/>
    <w:rsid w:val="006956F6"/>
    <w:rsid w:val="006957FF"/>
    <w:rsid w:val="00697422"/>
    <w:rsid w:val="006A1FCD"/>
    <w:rsid w:val="006A4B81"/>
    <w:rsid w:val="006A783B"/>
    <w:rsid w:val="006A797D"/>
    <w:rsid w:val="006B04CA"/>
    <w:rsid w:val="006B0A67"/>
    <w:rsid w:val="006B1413"/>
    <w:rsid w:val="006B7490"/>
    <w:rsid w:val="006C1E31"/>
    <w:rsid w:val="006C5863"/>
    <w:rsid w:val="006C5BCC"/>
    <w:rsid w:val="006C6DB0"/>
    <w:rsid w:val="006D1534"/>
    <w:rsid w:val="006D2B6F"/>
    <w:rsid w:val="006D6A88"/>
    <w:rsid w:val="006D7616"/>
    <w:rsid w:val="006E316E"/>
    <w:rsid w:val="006E5A2C"/>
    <w:rsid w:val="006E64AF"/>
    <w:rsid w:val="006E7B01"/>
    <w:rsid w:val="006F1072"/>
    <w:rsid w:val="006F1452"/>
    <w:rsid w:val="006F6654"/>
    <w:rsid w:val="00705812"/>
    <w:rsid w:val="0071222D"/>
    <w:rsid w:val="007145A9"/>
    <w:rsid w:val="007145DE"/>
    <w:rsid w:val="00714811"/>
    <w:rsid w:val="007155A9"/>
    <w:rsid w:val="00715886"/>
    <w:rsid w:val="00715921"/>
    <w:rsid w:val="00723028"/>
    <w:rsid w:val="0072365F"/>
    <w:rsid w:val="00725169"/>
    <w:rsid w:val="00725B82"/>
    <w:rsid w:val="00727075"/>
    <w:rsid w:val="00731CE2"/>
    <w:rsid w:val="00732078"/>
    <w:rsid w:val="0073326B"/>
    <w:rsid w:val="007352B2"/>
    <w:rsid w:val="007410F1"/>
    <w:rsid w:val="00741768"/>
    <w:rsid w:val="007425AA"/>
    <w:rsid w:val="0074301E"/>
    <w:rsid w:val="00745F3E"/>
    <w:rsid w:val="007466A2"/>
    <w:rsid w:val="0075074F"/>
    <w:rsid w:val="00750B61"/>
    <w:rsid w:val="00750B94"/>
    <w:rsid w:val="00752992"/>
    <w:rsid w:val="00754BFA"/>
    <w:rsid w:val="00754D46"/>
    <w:rsid w:val="00756884"/>
    <w:rsid w:val="007576C6"/>
    <w:rsid w:val="00763EBE"/>
    <w:rsid w:val="00763F0D"/>
    <w:rsid w:val="00767A67"/>
    <w:rsid w:val="0077024A"/>
    <w:rsid w:val="007708C1"/>
    <w:rsid w:val="007708D1"/>
    <w:rsid w:val="00771233"/>
    <w:rsid w:val="0077473E"/>
    <w:rsid w:val="007749B5"/>
    <w:rsid w:val="007756C4"/>
    <w:rsid w:val="00776B96"/>
    <w:rsid w:val="007856CC"/>
    <w:rsid w:val="00786EE8"/>
    <w:rsid w:val="00790D09"/>
    <w:rsid w:val="00793F05"/>
    <w:rsid w:val="007940D5"/>
    <w:rsid w:val="00794207"/>
    <w:rsid w:val="00794980"/>
    <w:rsid w:val="007970D6"/>
    <w:rsid w:val="007A2780"/>
    <w:rsid w:val="007A27C1"/>
    <w:rsid w:val="007A49E7"/>
    <w:rsid w:val="007A5CF1"/>
    <w:rsid w:val="007A6607"/>
    <w:rsid w:val="007A780F"/>
    <w:rsid w:val="007B0B37"/>
    <w:rsid w:val="007B2440"/>
    <w:rsid w:val="007B5392"/>
    <w:rsid w:val="007B6F0E"/>
    <w:rsid w:val="007C01D7"/>
    <w:rsid w:val="007C0604"/>
    <w:rsid w:val="007C0A90"/>
    <w:rsid w:val="007C1379"/>
    <w:rsid w:val="007C504D"/>
    <w:rsid w:val="007C666F"/>
    <w:rsid w:val="007D35CF"/>
    <w:rsid w:val="007D4A43"/>
    <w:rsid w:val="007D6AEC"/>
    <w:rsid w:val="007E397C"/>
    <w:rsid w:val="007E5028"/>
    <w:rsid w:val="007E5C36"/>
    <w:rsid w:val="007E6442"/>
    <w:rsid w:val="007E72DD"/>
    <w:rsid w:val="007F34A8"/>
    <w:rsid w:val="007F769F"/>
    <w:rsid w:val="00800C3F"/>
    <w:rsid w:val="008019EE"/>
    <w:rsid w:val="00801BA0"/>
    <w:rsid w:val="0080209E"/>
    <w:rsid w:val="00803C70"/>
    <w:rsid w:val="00805DF3"/>
    <w:rsid w:val="00805FC3"/>
    <w:rsid w:val="00806A48"/>
    <w:rsid w:val="00807CE3"/>
    <w:rsid w:val="008109A2"/>
    <w:rsid w:val="00812F20"/>
    <w:rsid w:val="00816297"/>
    <w:rsid w:val="0081720C"/>
    <w:rsid w:val="00817C22"/>
    <w:rsid w:val="00820B50"/>
    <w:rsid w:val="008262E8"/>
    <w:rsid w:val="00826DB3"/>
    <w:rsid w:val="0083050D"/>
    <w:rsid w:val="00831D28"/>
    <w:rsid w:val="00833F9F"/>
    <w:rsid w:val="008358F5"/>
    <w:rsid w:val="0084068C"/>
    <w:rsid w:val="008420B3"/>
    <w:rsid w:val="00842ACB"/>
    <w:rsid w:val="00845C9E"/>
    <w:rsid w:val="00846472"/>
    <w:rsid w:val="008466B4"/>
    <w:rsid w:val="00852A20"/>
    <w:rsid w:val="00855284"/>
    <w:rsid w:val="008565B6"/>
    <w:rsid w:val="008572CB"/>
    <w:rsid w:val="0085748B"/>
    <w:rsid w:val="008610EC"/>
    <w:rsid w:val="00861C90"/>
    <w:rsid w:val="00862398"/>
    <w:rsid w:val="00862DCA"/>
    <w:rsid w:val="008632AC"/>
    <w:rsid w:val="008644CB"/>
    <w:rsid w:val="008708E7"/>
    <w:rsid w:val="00870E11"/>
    <w:rsid w:val="008717C0"/>
    <w:rsid w:val="00875E1D"/>
    <w:rsid w:val="00880173"/>
    <w:rsid w:val="00880FC5"/>
    <w:rsid w:val="008827A6"/>
    <w:rsid w:val="008842E6"/>
    <w:rsid w:val="0089267A"/>
    <w:rsid w:val="00892D76"/>
    <w:rsid w:val="00893F22"/>
    <w:rsid w:val="00893F57"/>
    <w:rsid w:val="00894431"/>
    <w:rsid w:val="00895459"/>
    <w:rsid w:val="00897135"/>
    <w:rsid w:val="008A393D"/>
    <w:rsid w:val="008A4DF5"/>
    <w:rsid w:val="008A6CE8"/>
    <w:rsid w:val="008A7546"/>
    <w:rsid w:val="008A7CC6"/>
    <w:rsid w:val="008A7E9B"/>
    <w:rsid w:val="008B6DC9"/>
    <w:rsid w:val="008C53E1"/>
    <w:rsid w:val="008C594B"/>
    <w:rsid w:val="008C6AF4"/>
    <w:rsid w:val="008C7858"/>
    <w:rsid w:val="008D0766"/>
    <w:rsid w:val="008D6322"/>
    <w:rsid w:val="008D73EB"/>
    <w:rsid w:val="008E0FD8"/>
    <w:rsid w:val="008E1DA1"/>
    <w:rsid w:val="008E65B3"/>
    <w:rsid w:val="008E6CAA"/>
    <w:rsid w:val="008F07F0"/>
    <w:rsid w:val="008F0AD3"/>
    <w:rsid w:val="008F15D3"/>
    <w:rsid w:val="008F4153"/>
    <w:rsid w:val="008F588B"/>
    <w:rsid w:val="00901E30"/>
    <w:rsid w:val="00902444"/>
    <w:rsid w:val="00904ED1"/>
    <w:rsid w:val="00905608"/>
    <w:rsid w:val="00907F19"/>
    <w:rsid w:val="0091105C"/>
    <w:rsid w:val="009115DA"/>
    <w:rsid w:val="00914B0C"/>
    <w:rsid w:val="009214D1"/>
    <w:rsid w:val="00923B59"/>
    <w:rsid w:val="009244D3"/>
    <w:rsid w:val="00927AE0"/>
    <w:rsid w:val="00933FE2"/>
    <w:rsid w:val="00935D10"/>
    <w:rsid w:val="00937E6E"/>
    <w:rsid w:val="00941224"/>
    <w:rsid w:val="009440B5"/>
    <w:rsid w:val="00945FD8"/>
    <w:rsid w:val="009513CD"/>
    <w:rsid w:val="009523FD"/>
    <w:rsid w:val="009532D2"/>
    <w:rsid w:val="00955E56"/>
    <w:rsid w:val="009562F0"/>
    <w:rsid w:val="00956A8A"/>
    <w:rsid w:val="00957320"/>
    <w:rsid w:val="00962DA0"/>
    <w:rsid w:val="009646B8"/>
    <w:rsid w:val="009716B0"/>
    <w:rsid w:val="00976258"/>
    <w:rsid w:val="00981256"/>
    <w:rsid w:val="00984D12"/>
    <w:rsid w:val="0098612B"/>
    <w:rsid w:val="009864CB"/>
    <w:rsid w:val="009874F9"/>
    <w:rsid w:val="00987EA0"/>
    <w:rsid w:val="00990CEB"/>
    <w:rsid w:val="009914BD"/>
    <w:rsid w:val="00993169"/>
    <w:rsid w:val="0099340D"/>
    <w:rsid w:val="009A13E7"/>
    <w:rsid w:val="009A1AE6"/>
    <w:rsid w:val="009A5828"/>
    <w:rsid w:val="009A590C"/>
    <w:rsid w:val="009A5BF8"/>
    <w:rsid w:val="009A751B"/>
    <w:rsid w:val="009B1053"/>
    <w:rsid w:val="009B129A"/>
    <w:rsid w:val="009B4D48"/>
    <w:rsid w:val="009B630B"/>
    <w:rsid w:val="009C0915"/>
    <w:rsid w:val="009C15CF"/>
    <w:rsid w:val="009C1C6C"/>
    <w:rsid w:val="009C2C09"/>
    <w:rsid w:val="009C45D4"/>
    <w:rsid w:val="009C50E0"/>
    <w:rsid w:val="009C5C4E"/>
    <w:rsid w:val="009D36C2"/>
    <w:rsid w:val="009D38EA"/>
    <w:rsid w:val="009D52D1"/>
    <w:rsid w:val="009E51AA"/>
    <w:rsid w:val="009E5EEB"/>
    <w:rsid w:val="009F2A1B"/>
    <w:rsid w:val="009F2B85"/>
    <w:rsid w:val="009F3049"/>
    <w:rsid w:val="009F376F"/>
    <w:rsid w:val="009F4D1A"/>
    <w:rsid w:val="009F588C"/>
    <w:rsid w:val="009F6488"/>
    <w:rsid w:val="009F64B9"/>
    <w:rsid w:val="00A026F0"/>
    <w:rsid w:val="00A03045"/>
    <w:rsid w:val="00A1044A"/>
    <w:rsid w:val="00A11037"/>
    <w:rsid w:val="00A125C0"/>
    <w:rsid w:val="00A12AB5"/>
    <w:rsid w:val="00A16084"/>
    <w:rsid w:val="00A1719A"/>
    <w:rsid w:val="00A210A8"/>
    <w:rsid w:val="00A220CD"/>
    <w:rsid w:val="00A23A01"/>
    <w:rsid w:val="00A23CB7"/>
    <w:rsid w:val="00A27EAB"/>
    <w:rsid w:val="00A316DA"/>
    <w:rsid w:val="00A332E1"/>
    <w:rsid w:val="00A375C1"/>
    <w:rsid w:val="00A40014"/>
    <w:rsid w:val="00A40CB1"/>
    <w:rsid w:val="00A42E55"/>
    <w:rsid w:val="00A4677E"/>
    <w:rsid w:val="00A47F15"/>
    <w:rsid w:val="00A60535"/>
    <w:rsid w:val="00A62BE8"/>
    <w:rsid w:val="00A64DD9"/>
    <w:rsid w:val="00A6737B"/>
    <w:rsid w:val="00A73333"/>
    <w:rsid w:val="00A7460A"/>
    <w:rsid w:val="00A74A2F"/>
    <w:rsid w:val="00A74A9F"/>
    <w:rsid w:val="00A75E32"/>
    <w:rsid w:val="00A76091"/>
    <w:rsid w:val="00A84EB2"/>
    <w:rsid w:val="00A91454"/>
    <w:rsid w:val="00A952D4"/>
    <w:rsid w:val="00A97BF2"/>
    <w:rsid w:val="00AA1061"/>
    <w:rsid w:val="00AA149C"/>
    <w:rsid w:val="00AA232A"/>
    <w:rsid w:val="00AA3B30"/>
    <w:rsid w:val="00AA5262"/>
    <w:rsid w:val="00AA5C6A"/>
    <w:rsid w:val="00AA63F2"/>
    <w:rsid w:val="00AA6A1E"/>
    <w:rsid w:val="00AB0586"/>
    <w:rsid w:val="00AB10B3"/>
    <w:rsid w:val="00AB22F3"/>
    <w:rsid w:val="00AB2C4F"/>
    <w:rsid w:val="00AB4824"/>
    <w:rsid w:val="00AB6907"/>
    <w:rsid w:val="00AB7D38"/>
    <w:rsid w:val="00AC06D6"/>
    <w:rsid w:val="00AC29C0"/>
    <w:rsid w:val="00AC3E7C"/>
    <w:rsid w:val="00AC4FB4"/>
    <w:rsid w:val="00AC542B"/>
    <w:rsid w:val="00AC7D43"/>
    <w:rsid w:val="00AC7D59"/>
    <w:rsid w:val="00AD02C0"/>
    <w:rsid w:val="00AD0E2F"/>
    <w:rsid w:val="00AE3743"/>
    <w:rsid w:val="00AE3EBF"/>
    <w:rsid w:val="00AE5B04"/>
    <w:rsid w:val="00AE77E6"/>
    <w:rsid w:val="00AE7FA6"/>
    <w:rsid w:val="00AF46B3"/>
    <w:rsid w:val="00AF4888"/>
    <w:rsid w:val="00B051BE"/>
    <w:rsid w:val="00B06187"/>
    <w:rsid w:val="00B06AFD"/>
    <w:rsid w:val="00B10E7A"/>
    <w:rsid w:val="00B11E3E"/>
    <w:rsid w:val="00B14AB5"/>
    <w:rsid w:val="00B158CD"/>
    <w:rsid w:val="00B15ACE"/>
    <w:rsid w:val="00B17CED"/>
    <w:rsid w:val="00B23F43"/>
    <w:rsid w:val="00B2517F"/>
    <w:rsid w:val="00B26B9C"/>
    <w:rsid w:val="00B273FE"/>
    <w:rsid w:val="00B3052D"/>
    <w:rsid w:val="00B308C9"/>
    <w:rsid w:val="00B30C84"/>
    <w:rsid w:val="00B3186A"/>
    <w:rsid w:val="00B3336F"/>
    <w:rsid w:val="00B34456"/>
    <w:rsid w:val="00B369DC"/>
    <w:rsid w:val="00B40087"/>
    <w:rsid w:val="00B40FD8"/>
    <w:rsid w:val="00B428A4"/>
    <w:rsid w:val="00B4372B"/>
    <w:rsid w:val="00B45DB4"/>
    <w:rsid w:val="00B501C0"/>
    <w:rsid w:val="00B536BC"/>
    <w:rsid w:val="00B53D20"/>
    <w:rsid w:val="00B547CD"/>
    <w:rsid w:val="00B57BDF"/>
    <w:rsid w:val="00B619A2"/>
    <w:rsid w:val="00B61E66"/>
    <w:rsid w:val="00B63832"/>
    <w:rsid w:val="00B66457"/>
    <w:rsid w:val="00B728A0"/>
    <w:rsid w:val="00B729A4"/>
    <w:rsid w:val="00B740BD"/>
    <w:rsid w:val="00B812C2"/>
    <w:rsid w:val="00B82290"/>
    <w:rsid w:val="00B841F8"/>
    <w:rsid w:val="00B8429F"/>
    <w:rsid w:val="00B93134"/>
    <w:rsid w:val="00B94CEC"/>
    <w:rsid w:val="00BA0304"/>
    <w:rsid w:val="00BA0F16"/>
    <w:rsid w:val="00BA0F1F"/>
    <w:rsid w:val="00BA217E"/>
    <w:rsid w:val="00BA4D09"/>
    <w:rsid w:val="00BA4F58"/>
    <w:rsid w:val="00BA5EB4"/>
    <w:rsid w:val="00BB1202"/>
    <w:rsid w:val="00BB3881"/>
    <w:rsid w:val="00BB3D55"/>
    <w:rsid w:val="00BB403C"/>
    <w:rsid w:val="00BB4140"/>
    <w:rsid w:val="00BB4701"/>
    <w:rsid w:val="00BB5DAC"/>
    <w:rsid w:val="00BB75B7"/>
    <w:rsid w:val="00BB7EA0"/>
    <w:rsid w:val="00BC0183"/>
    <w:rsid w:val="00BC21EC"/>
    <w:rsid w:val="00BC55C8"/>
    <w:rsid w:val="00BC55F7"/>
    <w:rsid w:val="00BC6FB5"/>
    <w:rsid w:val="00BD4483"/>
    <w:rsid w:val="00BD4AA2"/>
    <w:rsid w:val="00BD4E66"/>
    <w:rsid w:val="00BD6233"/>
    <w:rsid w:val="00BD79AE"/>
    <w:rsid w:val="00BE2D5E"/>
    <w:rsid w:val="00BE3D6A"/>
    <w:rsid w:val="00BE43D4"/>
    <w:rsid w:val="00BE55E4"/>
    <w:rsid w:val="00BE6F2A"/>
    <w:rsid w:val="00BE73B0"/>
    <w:rsid w:val="00BE7979"/>
    <w:rsid w:val="00BF2EA9"/>
    <w:rsid w:val="00BF61CD"/>
    <w:rsid w:val="00C0044D"/>
    <w:rsid w:val="00C056A2"/>
    <w:rsid w:val="00C060F5"/>
    <w:rsid w:val="00C06B4D"/>
    <w:rsid w:val="00C1200E"/>
    <w:rsid w:val="00C1377A"/>
    <w:rsid w:val="00C13B20"/>
    <w:rsid w:val="00C15122"/>
    <w:rsid w:val="00C20BD1"/>
    <w:rsid w:val="00C20C6E"/>
    <w:rsid w:val="00C217E4"/>
    <w:rsid w:val="00C21AFB"/>
    <w:rsid w:val="00C2392D"/>
    <w:rsid w:val="00C25F04"/>
    <w:rsid w:val="00C26045"/>
    <w:rsid w:val="00C260B7"/>
    <w:rsid w:val="00C262E5"/>
    <w:rsid w:val="00C41F91"/>
    <w:rsid w:val="00C467E2"/>
    <w:rsid w:val="00C522DF"/>
    <w:rsid w:val="00C57C3C"/>
    <w:rsid w:val="00C61119"/>
    <w:rsid w:val="00C61250"/>
    <w:rsid w:val="00C62431"/>
    <w:rsid w:val="00C62B21"/>
    <w:rsid w:val="00C65B62"/>
    <w:rsid w:val="00C6683C"/>
    <w:rsid w:val="00C67780"/>
    <w:rsid w:val="00C72BF8"/>
    <w:rsid w:val="00C7679B"/>
    <w:rsid w:val="00C778B3"/>
    <w:rsid w:val="00C81ABB"/>
    <w:rsid w:val="00C81FAF"/>
    <w:rsid w:val="00C83DF9"/>
    <w:rsid w:val="00C852BE"/>
    <w:rsid w:val="00C8675B"/>
    <w:rsid w:val="00C90541"/>
    <w:rsid w:val="00C936FD"/>
    <w:rsid w:val="00C93C3C"/>
    <w:rsid w:val="00C9607A"/>
    <w:rsid w:val="00C961D2"/>
    <w:rsid w:val="00CA1109"/>
    <w:rsid w:val="00CA41FC"/>
    <w:rsid w:val="00CA455D"/>
    <w:rsid w:val="00CA46B8"/>
    <w:rsid w:val="00CB1EB4"/>
    <w:rsid w:val="00CB3B65"/>
    <w:rsid w:val="00CB46B9"/>
    <w:rsid w:val="00CB6984"/>
    <w:rsid w:val="00CC06A4"/>
    <w:rsid w:val="00CC248F"/>
    <w:rsid w:val="00CC315C"/>
    <w:rsid w:val="00CC3BE6"/>
    <w:rsid w:val="00CC4D47"/>
    <w:rsid w:val="00CC575C"/>
    <w:rsid w:val="00CC6642"/>
    <w:rsid w:val="00CD0E59"/>
    <w:rsid w:val="00CD4F21"/>
    <w:rsid w:val="00CD588A"/>
    <w:rsid w:val="00CD79EC"/>
    <w:rsid w:val="00CE14C1"/>
    <w:rsid w:val="00CF2A74"/>
    <w:rsid w:val="00CF349B"/>
    <w:rsid w:val="00CF6AD7"/>
    <w:rsid w:val="00D013F6"/>
    <w:rsid w:val="00D01C2F"/>
    <w:rsid w:val="00D05F96"/>
    <w:rsid w:val="00D06BB5"/>
    <w:rsid w:val="00D112A9"/>
    <w:rsid w:val="00D13454"/>
    <w:rsid w:val="00D208D1"/>
    <w:rsid w:val="00D20F37"/>
    <w:rsid w:val="00D23CD8"/>
    <w:rsid w:val="00D24208"/>
    <w:rsid w:val="00D25042"/>
    <w:rsid w:val="00D252B3"/>
    <w:rsid w:val="00D25840"/>
    <w:rsid w:val="00D31906"/>
    <w:rsid w:val="00D352E7"/>
    <w:rsid w:val="00D363F3"/>
    <w:rsid w:val="00D4038E"/>
    <w:rsid w:val="00D41589"/>
    <w:rsid w:val="00D47185"/>
    <w:rsid w:val="00D501B5"/>
    <w:rsid w:val="00D57AE7"/>
    <w:rsid w:val="00D57E32"/>
    <w:rsid w:val="00D62886"/>
    <w:rsid w:val="00D64D31"/>
    <w:rsid w:val="00D65CF3"/>
    <w:rsid w:val="00D65D0D"/>
    <w:rsid w:val="00D65F4C"/>
    <w:rsid w:val="00D660DE"/>
    <w:rsid w:val="00D67805"/>
    <w:rsid w:val="00D67C45"/>
    <w:rsid w:val="00D70859"/>
    <w:rsid w:val="00D72DDF"/>
    <w:rsid w:val="00D734A0"/>
    <w:rsid w:val="00D739BE"/>
    <w:rsid w:val="00D762A5"/>
    <w:rsid w:val="00D8155D"/>
    <w:rsid w:val="00D81E99"/>
    <w:rsid w:val="00D83578"/>
    <w:rsid w:val="00D87130"/>
    <w:rsid w:val="00D90BFB"/>
    <w:rsid w:val="00D97374"/>
    <w:rsid w:val="00D97FB8"/>
    <w:rsid w:val="00DA07E9"/>
    <w:rsid w:val="00DA257E"/>
    <w:rsid w:val="00DA468B"/>
    <w:rsid w:val="00DA5406"/>
    <w:rsid w:val="00DA5ED4"/>
    <w:rsid w:val="00DB4FC9"/>
    <w:rsid w:val="00DB591E"/>
    <w:rsid w:val="00DB603C"/>
    <w:rsid w:val="00DC13FF"/>
    <w:rsid w:val="00DC35CA"/>
    <w:rsid w:val="00DC3616"/>
    <w:rsid w:val="00DC3754"/>
    <w:rsid w:val="00DC4295"/>
    <w:rsid w:val="00DC448F"/>
    <w:rsid w:val="00DC4F72"/>
    <w:rsid w:val="00DC5D3F"/>
    <w:rsid w:val="00DC5D94"/>
    <w:rsid w:val="00DC612D"/>
    <w:rsid w:val="00DD07D9"/>
    <w:rsid w:val="00DD2ACC"/>
    <w:rsid w:val="00DD534A"/>
    <w:rsid w:val="00DD62B6"/>
    <w:rsid w:val="00DD713C"/>
    <w:rsid w:val="00DD7955"/>
    <w:rsid w:val="00DD7982"/>
    <w:rsid w:val="00DE2A57"/>
    <w:rsid w:val="00DE3995"/>
    <w:rsid w:val="00DE3DE8"/>
    <w:rsid w:val="00DE70C9"/>
    <w:rsid w:val="00DF1A93"/>
    <w:rsid w:val="00DF331D"/>
    <w:rsid w:val="00DF5F93"/>
    <w:rsid w:val="00DF6442"/>
    <w:rsid w:val="00E01C23"/>
    <w:rsid w:val="00E01D63"/>
    <w:rsid w:val="00E04B90"/>
    <w:rsid w:val="00E06434"/>
    <w:rsid w:val="00E07344"/>
    <w:rsid w:val="00E0770D"/>
    <w:rsid w:val="00E11B41"/>
    <w:rsid w:val="00E15F46"/>
    <w:rsid w:val="00E17874"/>
    <w:rsid w:val="00E237A4"/>
    <w:rsid w:val="00E2441B"/>
    <w:rsid w:val="00E25A4D"/>
    <w:rsid w:val="00E266D6"/>
    <w:rsid w:val="00E30E6B"/>
    <w:rsid w:val="00E31374"/>
    <w:rsid w:val="00E33411"/>
    <w:rsid w:val="00E34011"/>
    <w:rsid w:val="00E3428B"/>
    <w:rsid w:val="00E37E2E"/>
    <w:rsid w:val="00E401C6"/>
    <w:rsid w:val="00E407B4"/>
    <w:rsid w:val="00E408B8"/>
    <w:rsid w:val="00E429CE"/>
    <w:rsid w:val="00E4489A"/>
    <w:rsid w:val="00E4608F"/>
    <w:rsid w:val="00E46306"/>
    <w:rsid w:val="00E46FE9"/>
    <w:rsid w:val="00E50550"/>
    <w:rsid w:val="00E5511A"/>
    <w:rsid w:val="00E6289C"/>
    <w:rsid w:val="00E6361B"/>
    <w:rsid w:val="00E6799F"/>
    <w:rsid w:val="00E67FDD"/>
    <w:rsid w:val="00E71D13"/>
    <w:rsid w:val="00E75528"/>
    <w:rsid w:val="00E80736"/>
    <w:rsid w:val="00E84814"/>
    <w:rsid w:val="00E8533D"/>
    <w:rsid w:val="00E868D0"/>
    <w:rsid w:val="00E8777E"/>
    <w:rsid w:val="00E92426"/>
    <w:rsid w:val="00E95E80"/>
    <w:rsid w:val="00EA1530"/>
    <w:rsid w:val="00EA3A50"/>
    <w:rsid w:val="00EA5668"/>
    <w:rsid w:val="00EA5F90"/>
    <w:rsid w:val="00EA7928"/>
    <w:rsid w:val="00EB6998"/>
    <w:rsid w:val="00EB6A3C"/>
    <w:rsid w:val="00EB7DE7"/>
    <w:rsid w:val="00EC73E2"/>
    <w:rsid w:val="00ED0F8F"/>
    <w:rsid w:val="00ED2ED6"/>
    <w:rsid w:val="00ED3E23"/>
    <w:rsid w:val="00EE04A0"/>
    <w:rsid w:val="00EE1CAC"/>
    <w:rsid w:val="00EE48CF"/>
    <w:rsid w:val="00EE5FF0"/>
    <w:rsid w:val="00EE6864"/>
    <w:rsid w:val="00EF0DCF"/>
    <w:rsid w:val="00EF221B"/>
    <w:rsid w:val="00EF3179"/>
    <w:rsid w:val="00EF40C6"/>
    <w:rsid w:val="00F00186"/>
    <w:rsid w:val="00F06092"/>
    <w:rsid w:val="00F06D4E"/>
    <w:rsid w:val="00F0732F"/>
    <w:rsid w:val="00F076A2"/>
    <w:rsid w:val="00F11A54"/>
    <w:rsid w:val="00F12723"/>
    <w:rsid w:val="00F12843"/>
    <w:rsid w:val="00F13095"/>
    <w:rsid w:val="00F1423F"/>
    <w:rsid w:val="00F146A1"/>
    <w:rsid w:val="00F156A1"/>
    <w:rsid w:val="00F15E3A"/>
    <w:rsid w:val="00F20769"/>
    <w:rsid w:val="00F20AF0"/>
    <w:rsid w:val="00F220F4"/>
    <w:rsid w:val="00F22952"/>
    <w:rsid w:val="00F22CF7"/>
    <w:rsid w:val="00F24C96"/>
    <w:rsid w:val="00F27441"/>
    <w:rsid w:val="00F27C91"/>
    <w:rsid w:val="00F307A7"/>
    <w:rsid w:val="00F3191D"/>
    <w:rsid w:val="00F32116"/>
    <w:rsid w:val="00F32D01"/>
    <w:rsid w:val="00F34FC3"/>
    <w:rsid w:val="00F3683E"/>
    <w:rsid w:val="00F40707"/>
    <w:rsid w:val="00F4072F"/>
    <w:rsid w:val="00F4215A"/>
    <w:rsid w:val="00F4629B"/>
    <w:rsid w:val="00F51202"/>
    <w:rsid w:val="00F51BC7"/>
    <w:rsid w:val="00F52E4A"/>
    <w:rsid w:val="00F52EF3"/>
    <w:rsid w:val="00F57737"/>
    <w:rsid w:val="00F57B52"/>
    <w:rsid w:val="00F6138C"/>
    <w:rsid w:val="00F620DD"/>
    <w:rsid w:val="00F70AAC"/>
    <w:rsid w:val="00F715AF"/>
    <w:rsid w:val="00F71C06"/>
    <w:rsid w:val="00F724DF"/>
    <w:rsid w:val="00F735A7"/>
    <w:rsid w:val="00F74A57"/>
    <w:rsid w:val="00F75F80"/>
    <w:rsid w:val="00F76615"/>
    <w:rsid w:val="00F77D8A"/>
    <w:rsid w:val="00F8028F"/>
    <w:rsid w:val="00F8285E"/>
    <w:rsid w:val="00F841D9"/>
    <w:rsid w:val="00F85688"/>
    <w:rsid w:val="00F857EE"/>
    <w:rsid w:val="00F85C55"/>
    <w:rsid w:val="00F86E90"/>
    <w:rsid w:val="00F901DE"/>
    <w:rsid w:val="00F902AA"/>
    <w:rsid w:val="00F942F9"/>
    <w:rsid w:val="00F95A48"/>
    <w:rsid w:val="00FA1877"/>
    <w:rsid w:val="00FA21E5"/>
    <w:rsid w:val="00FA39B0"/>
    <w:rsid w:val="00FA58BB"/>
    <w:rsid w:val="00FA7BE7"/>
    <w:rsid w:val="00FB202B"/>
    <w:rsid w:val="00FB3A4E"/>
    <w:rsid w:val="00FB45AE"/>
    <w:rsid w:val="00FB747D"/>
    <w:rsid w:val="00FB7B9F"/>
    <w:rsid w:val="00FC1DFE"/>
    <w:rsid w:val="00FC250B"/>
    <w:rsid w:val="00FC3CE7"/>
    <w:rsid w:val="00FC6B39"/>
    <w:rsid w:val="00FD04F4"/>
    <w:rsid w:val="00FD1C2B"/>
    <w:rsid w:val="00FD32CD"/>
    <w:rsid w:val="00FD7765"/>
    <w:rsid w:val="00FE05AD"/>
    <w:rsid w:val="00FE0768"/>
    <w:rsid w:val="00FE1CF8"/>
    <w:rsid w:val="00FE2A2C"/>
    <w:rsid w:val="00FE397A"/>
    <w:rsid w:val="00FE6392"/>
    <w:rsid w:val="00FE752A"/>
    <w:rsid w:val="00FE7F23"/>
    <w:rsid w:val="00FF56B6"/>
    <w:rsid w:val="01017684"/>
    <w:rsid w:val="010B405F"/>
    <w:rsid w:val="011A7806"/>
    <w:rsid w:val="0123040E"/>
    <w:rsid w:val="012D51E7"/>
    <w:rsid w:val="01334359"/>
    <w:rsid w:val="01373E09"/>
    <w:rsid w:val="01386E7E"/>
    <w:rsid w:val="013E13DB"/>
    <w:rsid w:val="01403843"/>
    <w:rsid w:val="014447F2"/>
    <w:rsid w:val="014F6641"/>
    <w:rsid w:val="01527EDF"/>
    <w:rsid w:val="01552611"/>
    <w:rsid w:val="01654D38"/>
    <w:rsid w:val="017A5D01"/>
    <w:rsid w:val="017C2492"/>
    <w:rsid w:val="017D6791"/>
    <w:rsid w:val="017E37FC"/>
    <w:rsid w:val="017E72C4"/>
    <w:rsid w:val="01852A00"/>
    <w:rsid w:val="01862B98"/>
    <w:rsid w:val="018A58CB"/>
    <w:rsid w:val="018B1DB6"/>
    <w:rsid w:val="019127B6"/>
    <w:rsid w:val="01957389"/>
    <w:rsid w:val="01987FE8"/>
    <w:rsid w:val="019A01DE"/>
    <w:rsid w:val="019B3634"/>
    <w:rsid w:val="019E3125"/>
    <w:rsid w:val="019E4ED3"/>
    <w:rsid w:val="019E7BB5"/>
    <w:rsid w:val="01A1276C"/>
    <w:rsid w:val="01A22C15"/>
    <w:rsid w:val="01A31748"/>
    <w:rsid w:val="01A470BD"/>
    <w:rsid w:val="01A85548"/>
    <w:rsid w:val="01A86A05"/>
    <w:rsid w:val="01A91652"/>
    <w:rsid w:val="01AA3877"/>
    <w:rsid w:val="01AC486D"/>
    <w:rsid w:val="01AE3368"/>
    <w:rsid w:val="01AF3299"/>
    <w:rsid w:val="01B06269"/>
    <w:rsid w:val="01B2236C"/>
    <w:rsid w:val="01B77FDC"/>
    <w:rsid w:val="01B841E6"/>
    <w:rsid w:val="01B95422"/>
    <w:rsid w:val="01BF67F2"/>
    <w:rsid w:val="01C34939"/>
    <w:rsid w:val="01C40DDD"/>
    <w:rsid w:val="01CC5EE4"/>
    <w:rsid w:val="01CE75F6"/>
    <w:rsid w:val="01D03418"/>
    <w:rsid w:val="01D2116D"/>
    <w:rsid w:val="01DD59FB"/>
    <w:rsid w:val="01E847E5"/>
    <w:rsid w:val="01EC5C3E"/>
    <w:rsid w:val="01ED0F76"/>
    <w:rsid w:val="01EE3AD9"/>
    <w:rsid w:val="01F13C9C"/>
    <w:rsid w:val="01F24850"/>
    <w:rsid w:val="01F410E0"/>
    <w:rsid w:val="01FB1AE1"/>
    <w:rsid w:val="02033EA0"/>
    <w:rsid w:val="02060C6E"/>
    <w:rsid w:val="02073812"/>
    <w:rsid w:val="020B07BA"/>
    <w:rsid w:val="02104A4D"/>
    <w:rsid w:val="02122125"/>
    <w:rsid w:val="021E5B5A"/>
    <w:rsid w:val="0223750F"/>
    <w:rsid w:val="02246CF6"/>
    <w:rsid w:val="02290C40"/>
    <w:rsid w:val="022950E4"/>
    <w:rsid w:val="022B2C0A"/>
    <w:rsid w:val="022D16AD"/>
    <w:rsid w:val="022F44B3"/>
    <w:rsid w:val="023044BD"/>
    <w:rsid w:val="0231625E"/>
    <w:rsid w:val="023C3CD4"/>
    <w:rsid w:val="02407AB4"/>
    <w:rsid w:val="02445A7A"/>
    <w:rsid w:val="0248264E"/>
    <w:rsid w:val="02496A1F"/>
    <w:rsid w:val="02497534"/>
    <w:rsid w:val="024C0DD3"/>
    <w:rsid w:val="024E1A9B"/>
    <w:rsid w:val="025601B3"/>
    <w:rsid w:val="027A5940"/>
    <w:rsid w:val="027A76EE"/>
    <w:rsid w:val="027C45B4"/>
    <w:rsid w:val="027E3729"/>
    <w:rsid w:val="02813092"/>
    <w:rsid w:val="028300FA"/>
    <w:rsid w:val="02874ABD"/>
    <w:rsid w:val="0288607E"/>
    <w:rsid w:val="028E13EB"/>
    <w:rsid w:val="029608F7"/>
    <w:rsid w:val="02965BFE"/>
    <w:rsid w:val="02987CE1"/>
    <w:rsid w:val="029C5509"/>
    <w:rsid w:val="02A14C7A"/>
    <w:rsid w:val="02A150FC"/>
    <w:rsid w:val="02AE1145"/>
    <w:rsid w:val="02B02219"/>
    <w:rsid w:val="02B43496"/>
    <w:rsid w:val="02C646E1"/>
    <w:rsid w:val="02C86475"/>
    <w:rsid w:val="02CC4B77"/>
    <w:rsid w:val="02D13AA8"/>
    <w:rsid w:val="02D14991"/>
    <w:rsid w:val="02D218D4"/>
    <w:rsid w:val="02D46524"/>
    <w:rsid w:val="02D86CA3"/>
    <w:rsid w:val="02DE573B"/>
    <w:rsid w:val="02DE5ECF"/>
    <w:rsid w:val="02DE7C7D"/>
    <w:rsid w:val="02E04CB1"/>
    <w:rsid w:val="02E35293"/>
    <w:rsid w:val="02E42DB9"/>
    <w:rsid w:val="02E800F1"/>
    <w:rsid w:val="02EE2EDC"/>
    <w:rsid w:val="02FA25DD"/>
    <w:rsid w:val="02FA4EF4"/>
    <w:rsid w:val="02FD1EB2"/>
    <w:rsid w:val="030D0562"/>
    <w:rsid w:val="03103491"/>
    <w:rsid w:val="0311132D"/>
    <w:rsid w:val="031641FB"/>
    <w:rsid w:val="03194BE0"/>
    <w:rsid w:val="031C69F7"/>
    <w:rsid w:val="03265FAC"/>
    <w:rsid w:val="032A28DB"/>
    <w:rsid w:val="03337753"/>
    <w:rsid w:val="03353E7F"/>
    <w:rsid w:val="03394EB3"/>
    <w:rsid w:val="03401043"/>
    <w:rsid w:val="0341020B"/>
    <w:rsid w:val="03421FB9"/>
    <w:rsid w:val="03433F84"/>
    <w:rsid w:val="034C4306"/>
    <w:rsid w:val="03525F75"/>
    <w:rsid w:val="0355587D"/>
    <w:rsid w:val="035C78AC"/>
    <w:rsid w:val="03602489"/>
    <w:rsid w:val="036A0B7E"/>
    <w:rsid w:val="036A50B9"/>
    <w:rsid w:val="036A6A01"/>
    <w:rsid w:val="036E5632"/>
    <w:rsid w:val="037E6D55"/>
    <w:rsid w:val="03833A15"/>
    <w:rsid w:val="03855C6A"/>
    <w:rsid w:val="038773F5"/>
    <w:rsid w:val="038819EA"/>
    <w:rsid w:val="038D7B81"/>
    <w:rsid w:val="038F1BB8"/>
    <w:rsid w:val="03960B25"/>
    <w:rsid w:val="039D71A8"/>
    <w:rsid w:val="03A37218"/>
    <w:rsid w:val="03B05BF4"/>
    <w:rsid w:val="03B06D23"/>
    <w:rsid w:val="03B46A51"/>
    <w:rsid w:val="03B517B6"/>
    <w:rsid w:val="03BC6F9C"/>
    <w:rsid w:val="03C632AF"/>
    <w:rsid w:val="03C651DC"/>
    <w:rsid w:val="03C77941"/>
    <w:rsid w:val="03DD3A68"/>
    <w:rsid w:val="03E06CA3"/>
    <w:rsid w:val="03E20D51"/>
    <w:rsid w:val="03E312C3"/>
    <w:rsid w:val="03E955D4"/>
    <w:rsid w:val="03EF0435"/>
    <w:rsid w:val="03EF0EE3"/>
    <w:rsid w:val="03F163EC"/>
    <w:rsid w:val="03F42E47"/>
    <w:rsid w:val="03F62DA4"/>
    <w:rsid w:val="03F71F4B"/>
    <w:rsid w:val="03F8365C"/>
    <w:rsid w:val="03FF434E"/>
    <w:rsid w:val="04022837"/>
    <w:rsid w:val="04030C7B"/>
    <w:rsid w:val="040919E9"/>
    <w:rsid w:val="040A684F"/>
    <w:rsid w:val="040D443B"/>
    <w:rsid w:val="040F1963"/>
    <w:rsid w:val="04137DFA"/>
    <w:rsid w:val="04163446"/>
    <w:rsid w:val="041A1188"/>
    <w:rsid w:val="04247911"/>
    <w:rsid w:val="04273514"/>
    <w:rsid w:val="042A6EF2"/>
    <w:rsid w:val="042D124C"/>
    <w:rsid w:val="042E253E"/>
    <w:rsid w:val="042E6617"/>
    <w:rsid w:val="043149DF"/>
    <w:rsid w:val="043770CF"/>
    <w:rsid w:val="043E10D2"/>
    <w:rsid w:val="044004C3"/>
    <w:rsid w:val="04447FB3"/>
    <w:rsid w:val="04492CA8"/>
    <w:rsid w:val="044A59C2"/>
    <w:rsid w:val="044C1C35"/>
    <w:rsid w:val="044D6431"/>
    <w:rsid w:val="04532F0B"/>
    <w:rsid w:val="04542801"/>
    <w:rsid w:val="045521C0"/>
    <w:rsid w:val="0459599E"/>
    <w:rsid w:val="046028E7"/>
    <w:rsid w:val="046043C4"/>
    <w:rsid w:val="04604A16"/>
    <w:rsid w:val="04676AFE"/>
    <w:rsid w:val="04754611"/>
    <w:rsid w:val="047563BF"/>
    <w:rsid w:val="04785EAF"/>
    <w:rsid w:val="0481450D"/>
    <w:rsid w:val="04855E56"/>
    <w:rsid w:val="048760F2"/>
    <w:rsid w:val="04877EA0"/>
    <w:rsid w:val="04927770"/>
    <w:rsid w:val="049522A4"/>
    <w:rsid w:val="049566B6"/>
    <w:rsid w:val="04974587"/>
    <w:rsid w:val="049824BD"/>
    <w:rsid w:val="04983E5B"/>
    <w:rsid w:val="049A4077"/>
    <w:rsid w:val="049F168E"/>
    <w:rsid w:val="04A95831"/>
    <w:rsid w:val="04AC7914"/>
    <w:rsid w:val="04B14B6F"/>
    <w:rsid w:val="04B34F3C"/>
    <w:rsid w:val="04B435CF"/>
    <w:rsid w:val="04BA64C7"/>
    <w:rsid w:val="04BF1AB7"/>
    <w:rsid w:val="04C05950"/>
    <w:rsid w:val="04C4405A"/>
    <w:rsid w:val="04C96F25"/>
    <w:rsid w:val="04DF5F2E"/>
    <w:rsid w:val="04E066C9"/>
    <w:rsid w:val="04E248B7"/>
    <w:rsid w:val="04E377CC"/>
    <w:rsid w:val="04E56A82"/>
    <w:rsid w:val="04EB48D3"/>
    <w:rsid w:val="04F27C74"/>
    <w:rsid w:val="04F548E2"/>
    <w:rsid w:val="04F63980"/>
    <w:rsid w:val="04F86147"/>
    <w:rsid w:val="04FE00C1"/>
    <w:rsid w:val="05016A76"/>
    <w:rsid w:val="05053468"/>
    <w:rsid w:val="050C0CC9"/>
    <w:rsid w:val="050E12CF"/>
    <w:rsid w:val="051150C2"/>
    <w:rsid w:val="051E25B2"/>
    <w:rsid w:val="051F668B"/>
    <w:rsid w:val="052120A3"/>
    <w:rsid w:val="05216654"/>
    <w:rsid w:val="05264D6F"/>
    <w:rsid w:val="05276DC4"/>
    <w:rsid w:val="052826BE"/>
    <w:rsid w:val="052A5AE1"/>
    <w:rsid w:val="052D163B"/>
    <w:rsid w:val="052D6C99"/>
    <w:rsid w:val="053B632C"/>
    <w:rsid w:val="05401155"/>
    <w:rsid w:val="054431E4"/>
    <w:rsid w:val="054E5D63"/>
    <w:rsid w:val="05527F43"/>
    <w:rsid w:val="05555E8B"/>
    <w:rsid w:val="05556477"/>
    <w:rsid w:val="0557593B"/>
    <w:rsid w:val="05586355"/>
    <w:rsid w:val="055916E8"/>
    <w:rsid w:val="055B1FFB"/>
    <w:rsid w:val="055D6AC8"/>
    <w:rsid w:val="0560706F"/>
    <w:rsid w:val="0567338B"/>
    <w:rsid w:val="05680B67"/>
    <w:rsid w:val="056A38C4"/>
    <w:rsid w:val="056B77C2"/>
    <w:rsid w:val="056F602C"/>
    <w:rsid w:val="05726DA2"/>
    <w:rsid w:val="05740FF4"/>
    <w:rsid w:val="05750F2D"/>
    <w:rsid w:val="05787AF6"/>
    <w:rsid w:val="057A2E2A"/>
    <w:rsid w:val="05862499"/>
    <w:rsid w:val="05960020"/>
    <w:rsid w:val="0596121B"/>
    <w:rsid w:val="05972A06"/>
    <w:rsid w:val="059960DD"/>
    <w:rsid w:val="059D0677"/>
    <w:rsid w:val="059D6C35"/>
    <w:rsid w:val="05A30D9B"/>
    <w:rsid w:val="05A36F5B"/>
    <w:rsid w:val="05A84572"/>
    <w:rsid w:val="05B41169"/>
    <w:rsid w:val="05B5502D"/>
    <w:rsid w:val="05B80C59"/>
    <w:rsid w:val="05B9052D"/>
    <w:rsid w:val="05C12EE4"/>
    <w:rsid w:val="05CA098C"/>
    <w:rsid w:val="05CD5D86"/>
    <w:rsid w:val="05CE06E8"/>
    <w:rsid w:val="05D45002"/>
    <w:rsid w:val="05D62E8D"/>
    <w:rsid w:val="05DA2574"/>
    <w:rsid w:val="05DF2BC2"/>
    <w:rsid w:val="05E530D0"/>
    <w:rsid w:val="05E84714"/>
    <w:rsid w:val="05EA4B8A"/>
    <w:rsid w:val="05F15631"/>
    <w:rsid w:val="05F2227F"/>
    <w:rsid w:val="05FD41D0"/>
    <w:rsid w:val="06010FCA"/>
    <w:rsid w:val="060B4CAD"/>
    <w:rsid w:val="060B69B9"/>
    <w:rsid w:val="0617527B"/>
    <w:rsid w:val="061B6BD1"/>
    <w:rsid w:val="061E0466"/>
    <w:rsid w:val="062064F4"/>
    <w:rsid w:val="0623569B"/>
    <w:rsid w:val="06244CD9"/>
    <w:rsid w:val="06285032"/>
    <w:rsid w:val="062B52E1"/>
    <w:rsid w:val="062F7892"/>
    <w:rsid w:val="063310DF"/>
    <w:rsid w:val="06337FF0"/>
    <w:rsid w:val="063571A8"/>
    <w:rsid w:val="063D6724"/>
    <w:rsid w:val="06411762"/>
    <w:rsid w:val="064222D0"/>
    <w:rsid w:val="06471FDD"/>
    <w:rsid w:val="06473D8B"/>
    <w:rsid w:val="064D309B"/>
    <w:rsid w:val="064E2CC4"/>
    <w:rsid w:val="06530982"/>
    <w:rsid w:val="06532730"/>
    <w:rsid w:val="06546B64"/>
    <w:rsid w:val="06635046"/>
    <w:rsid w:val="0666522F"/>
    <w:rsid w:val="066977FE"/>
    <w:rsid w:val="066C3CA0"/>
    <w:rsid w:val="066F6E3E"/>
    <w:rsid w:val="0679468C"/>
    <w:rsid w:val="067B7D25"/>
    <w:rsid w:val="067D2D9B"/>
    <w:rsid w:val="0682106B"/>
    <w:rsid w:val="068833D4"/>
    <w:rsid w:val="068A0F7C"/>
    <w:rsid w:val="068B4D4A"/>
    <w:rsid w:val="068E3768"/>
    <w:rsid w:val="069460C6"/>
    <w:rsid w:val="06957362"/>
    <w:rsid w:val="06982838"/>
    <w:rsid w:val="069A47C4"/>
    <w:rsid w:val="069C40D7"/>
    <w:rsid w:val="06A237FE"/>
    <w:rsid w:val="06A24B28"/>
    <w:rsid w:val="06A50AB1"/>
    <w:rsid w:val="06B27DCD"/>
    <w:rsid w:val="06C70A28"/>
    <w:rsid w:val="06CC46B0"/>
    <w:rsid w:val="06CF771E"/>
    <w:rsid w:val="06D46631"/>
    <w:rsid w:val="06D7510F"/>
    <w:rsid w:val="06EB30D0"/>
    <w:rsid w:val="06EE4206"/>
    <w:rsid w:val="06F537E7"/>
    <w:rsid w:val="06FC2783"/>
    <w:rsid w:val="070954E4"/>
    <w:rsid w:val="07097309"/>
    <w:rsid w:val="070A3A1C"/>
    <w:rsid w:val="070C0BB8"/>
    <w:rsid w:val="070E58EA"/>
    <w:rsid w:val="07117EF5"/>
    <w:rsid w:val="07125D3C"/>
    <w:rsid w:val="071579E5"/>
    <w:rsid w:val="0716069A"/>
    <w:rsid w:val="07181EA1"/>
    <w:rsid w:val="071C222A"/>
    <w:rsid w:val="0724261A"/>
    <w:rsid w:val="07314CF6"/>
    <w:rsid w:val="073C7668"/>
    <w:rsid w:val="074107DA"/>
    <w:rsid w:val="0744651C"/>
    <w:rsid w:val="07446845"/>
    <w:rsid w:val="0754675F"/>
    <w:rsid w:val="076051E0"/>
    <w:rsid w:val="07605FE9"/>
    <w:rsid w:val="07666493"/>
    <w:rsid w:val="07670D27"/>
    <w:rsid w:val="076C0E17"/>
    <w:rsid w:val="076D15CF"/>
    <w:rsid w:val="076F17EB"/>
    <w:rsid w:val="077229B4"/>
    <w:rsid w:val="07754928"/>
    <w:rsid w:val="07764D53"/>
    <w:rsid w:val="07882C70"/>
    <w:rsid w:val="078C0A24"/>
    <w:rsid w:val="07A5642F"/>
    <w:rsid w:val="07A9367F"/>
    <w:rsid w:val="07B12683"/>
    <w:rsid w:val="07B23E70"/>
    <w:rsid w:val="07B30527"/>
    <w:rsid w:val="07C136C9"/>
    <w:rsid w:val="07C5284A"/>
    <w:rsid w:val="07C54D29"/>
    <w:rsid w:val="07C54DAB"/>
    <w:rsid w:val="07CA07CF"/>
    <w:rsid w:val="07CF7529"/>
    <w:rsid w:val="07DB590A"/>
    <w:rsid w:val="07DB7C2E"/>
    <w:rsid w:val="07E61381"/>
    <w:rsid w:val="07EE2B88"/>
    <w:rsid w:val="07F65A68"/>
    <w:rsid w:val="07F93902"/>
    <w:rsid w:val="07FF0EBB"/>
    <w:rsid w:val="08057A5A"/>
    <w:rsid w:val="08083BEE"/>
    <w:rsid w:val="080A5070"/>
    <w:rsid w:val="080B0CF2"/>
    <w:rsid w:val="080B388B"/>
    <w:rsid w:val="080C703A"/>
    <w:rsid w:val="080F08D8"/>
    <w:rsid w:val="08161C67"/>
    <w:rsid w:val="081D1257"/>
    <w:rsid w:val="081E733C"/>
    <w:rsid w:val="081F3B6D"/>
    <w:rsid w:val="0820074F"/>
    <w:rsid w:val="0838502B"/>
    <w:rsid w:val="083A2978"/>
    <w:rsid w:val="08407824"/>
    <w:rsid w:val="08424D5F"/>
    <w:rsid w:val="08482DEB"/>
    <w:rsid w:val="08507FCF"/>
    <w:rsid w:val="0858227F"/>
    <w:rsid w:val="08585DDB"/>
    <w:rsid w:val="08593FE2"/>
    <w:rsid w:val="085B7D8C"/>
    <w:rsid w:val="08663C1A"/>
    <w:rsid w:val="08676EA6"/>
    <w:rsid w:val="086C1A35"/>
    <w:rsid w:val="086C1BC8"/>
    <w:rsid w:val="08744BDF"/>
    <w:rsid w:val="087543D2"/>
    <w:rsid w:val="08771DCD"/>
    <w:rsid w:val="087A47BC"/>
    <w:rsid w:val="087D3BD3"/>
    <w:rsid w:val="088265ED"/>
    <w:rsid w:val="08892E50"/>
    <w:rsid w:val="088B07CC"/>
    <w:rsid w:val="08911AF8"/>
    <w:rsid w:val="0895702F"/>
    <w:rsid w:val="089808CE"/>
    <w:rsid w:val="08A43DB9"/>
    <w:rsid w:val="08A85932"/>
    <w:rsid w:val="08B80F70"/>
    <w:rsid w:val="08B865A0"/>
    <w:rsid w:val="08C276F9"/>
    <w:rsid w:val="08CA6C4D"/>
    <w:rsid w:val="08CB1C34"/>
    <w:rsid w:val="08D32F4D"/>
    <w:rsid w:val="08DA606E"/>
    <w:rsid w:val="08E93C1C"/>
    <w:rsid w:val="08E9737B"/>
    <w:rsid w:val="08EC29C7"/>
    <w:rsid w:val="08EE04EE"/>
    <w:rsid w:val="08EE6740"/>
    <w:rsid w:val="08FC5A70"/>
    <w:rsid w:val="09031159"/>
    <w:rsid w:val="09046C0D"/>
    <w:rsid w:val="09061CDB"/>
    <w:rsid w:val="09087694"/>
    <w:rsid w:val="09093579"/>
    <w:rsid w:val="09095F83"/>
    <w:rsid w:val="09127451"/>
    <w:rsid w:val="09175715"/>
    <w:rsid w:val="091A7535"/>
    <w:rsid w:val="091B505B"/>
    <w:rsid w:val="0926237D"/>
    <w:rsid w:val="0928234C"/>
    <w:rsid w:val="092B2685"/>
    <w:rsid w:val="0935436E"/>
    <w:rsid w:val="093E1D59"/>
    <w:rsid w:val="09441633"/>
    <w:rsid w:val="09497E1A"/>
    <w:rsid w:val="09510329"/>
    <w:rsid w:val="09542615"/>
    <w:rsid w:val="0955056D"/>
    <w:rsid w:val="0959426D"/>
    <w:rsid w:val="09644C54"/>
    <w:rsid w:val="09684744"/>
    <w:rsid w:val="09697373"/>
    <w:rsid w:val="096B1B3E"/>
    <w:rsid w:val="09727371"/>
    <w:rsid w:val="09727714"/>
    <w:rsid w:val="09823D0D"/>
    <w:rsid w:val="098350DA"/>
    <w:rsid w:val="098552F6"/>
    <w:rsid w:val="09874E27"/>
    <w:rsid w:val="09896468"/>
    <w:rsid w:val="098A1B87"/>
    <w:rsid w:val="098C0913"/>
    <w:rsid w:val="09970B85"/>
    <w:rsid w:val="099C43EE"/>
    <w:rsid w:val="09B5725D"/>
    <w:rsid w:val="09B70AB0"/>
    <w:rsid w:val="09C474A0"/>
    <w:rsid w:val="09CA0CE0"/>
    <w:rsid w:val="09D12CDB"/>
    <w:rsid w:val="09D21BBD"/>
    <w:rsid w:val="09D73678"/>
    <w:rsid w:val="09DB70C8"/>
    <w:rsid w:val="09DF7E44"/>
    <w:rsid w:val="09E35B78"/>
    <w:rsid w:val="09E45ABA"/>
    <w:rsid w:val="09EB0873"/>
    <w:rsid w:val="09F02578"/>
    <w:rsid w:val="09F40358"/>
    <w:rsid w:val="09FE6CC0"/>
    <w:rsid w:val="0A071642"/>
    <w:rsid w:val="0A0C672F"/>
    <w:rsid w:val="0A0D52EB"/>
    <w:rsid w:val="0A0F06E0"/>
    <w:rsid w:val="0A215262"/>
    <w:rsid w:val="0A2166A1"/>
    <w:rsid w:val="0A264F10"/>
    <w:rsid w:val="0A2B6077"/>
    <w:rsid w:val="0A2D0E99"/>
    <w:rsid w:val="0A2F0DBE"/>
    <w:rsid w:val="0A3C51EE"/>
    <w:rsid w:val="0A47319F"/>
    <w:rsid w:val="0A4D5C46"/>
    <w:rsid w:val="0A4E1F38"/>
    <w:rsid w:val="0A4E45AD"/>
    <w:rsid w:val="0A5627EE"/>
    <w:rsid w:val="0A570853"/>
    <w:rsid w:val="0A59012B"/>
    <w:rsid w:val="0A5A6827"/>
    <w:rsid w:val="0A5B101A"/>
    <w:rsid w:val="0A60541B"/>
    <w:rsid w:val="0A717628"/>
    <w:rsid w:val="0A755328"/>
    <w:rsid w:val="0A780FD3"/>
    <w:rsid w:val="0A8358A7"/>
    <w:rsid w:val="0A8607B2"/>
    <w:rsid w:val="0A870BFA"/>
    <w:rsid w:val="0A8E48B3"/>
    <w:rsid w:val="0A941F77"/>
    <w:rsid w:val="0A99246F"/>
    <w:rsid w:val="0A9A4817"/>
    <w:rsid w:val="0AA11D51"/>
    <w:rsid w:val="0ABA0FCF"/>
    <w:rsid w:val="0ABC55A0"/>
    <w:rsid w:val="0AC06EDD"/>
    <w:rsid w:val="0AC736EC"/>
    <w:rsid w:val="0AD007F3"/>
    <w:rsid w:val="0ADB48C2"/>
    <w:rsid w:val="0ADC2C50"/>
    <w:rsid w:val="0ADD4CBE"/>
    <w:rsid w:val="0ADE42CC"/>
    <w:rsid w:val="0ADF776B"/>
    <w:rsid w:val="0AE903B4"/>
    <w:rsid w:val="0AED51D2"/>
    <w:rsid w:val="0AEE3D48"/>
    <w:rsid w:val="0AFD49C0"/>
    <w:rsid w:val="0AFD5355"/>
    <w:rsid w:val="0AFD6777"/>
    <w:rsid w:val="0B050901"/>
    <w:rsid w:val="0B0A2923"/>
    <w:rsid w:val="0B0D72E0"/>
    <w:rsid w:val="0B0D7A54"/>
    <w:rsid w:val="0B0E2502"/>
    <w:rsid w:val="0B0F6290"/>
    <w:rsid w:val="0B13521F"/>
    <w:rsid w:val="0B1A376D"/>
    <w:rsid w:val="0B1A7CC0"/>
    <w:rsid w:val="0B1B00A6"/>
    <w:rsid w:val="0B1F0E32"/>
    <w:rsid w:val="0B1F756D"/>
    <w:rsid w:val="0B2621C1"/>
    <w:rsid w:val="0B277E6C"/>
    <w:rsid w:val="0B2935A3"/>
    <w:rsid w:val="0B2A2E0E"/>
    <w:rsid w:val="0B3643CE"/>
    <w:rsid w:val="0B3C466A"/>
    <w:rsid w:val="0B426947"/>
    <w:rsid w:val="0B484314"/>
    <w:rsid w:val="0B4A598E"/>
    <w:rsid w:val="0B4D3BF1"/>
    <w:rsid w:val="0B506174"/>
    <w:rsid w:val="0B53335E"/>
    <w:rsid w:val="0B601773"/>
    <w:rsid w:val="0B633FCD"/>
    <w:rsid w:val="0B642CE9"/>
    <w:rsid w:val="0B6727D9"/>
    <w:rsid w:val="0B696551"/>
    <w:rsid w:val="0B6C3DE8"/>
    <w:rsid w:val="0B6E0FC1"/>
    <w:rsid w:val="0B750C80"/>
    <w:rsid w:val="0B753691"/>
    <w:rsid w:val="0B783628"/>
    <w:rsid w:val="0B7A250D"/>
    <w:rsid w:val="0B7C0B28"/>
    <w:rsid w:val="0B7C2086"/>
    <w:rsid w:val="0B874CC9"/>
    <w:rsid w:val="0B892750"/>
    <w:rsid w:val="0B8A68D5"/>
    <w:rsid w:val="0B8D0099"/>
    <w:rsid w:val="0B9271DB"/>
    <w:rsid w:val="0B9335CE"/>
    <w:rsid w:val="0BA453A4"/>
    <w:rsid w:val="0BA725DD"/>
    <w:rsid w:val="0BB04180"/>
    <w:rsid w:val="0BB43C70"/>
    <w:rsid w:val="0BB54758"/>
    <w:rsid w:val="0BB579E9"/>
    <w:rsid w:val="0BBA4D8A"/>
    <w:rsid w:val="0BBD71E8"/>
    <w:rsid w:val="0BC47C2C"/>
    <w:rsid w:val="0BC82AFC"/>
    <w:rsid w:val="0BCA5242"/>
    <w:rsid w:val="0BCD2F74"/>
    <w:rsid w:val="0BD460BB"/>
    <w:rsid w:val="0BEA2CF1"/>
    <w:rsid w:val="0BEA58E4"/>
    <w:rsid w:val="0BEE2A8B"/>
    <w:rsid w:val="0BEE5A2E"/>
    <w:rsid w:val="0BF707A1"/>
    <w:rsid w:val="0BF9196B"/>
    <w:rsid w:val="0BF95931"/>
    <w:rsid w:val="0C0267CE"/>
    <w:rsid w:val="0C115749"/>
    <w:rsid w:val="0C146529"/>
    <w:rsid w:val="0C165A33"/>
    <w:rsid w:val="0C232BA4"/>
    <w:rsid w:val="0C2A5CE1"/>
    <w:rsid w:val="0C2C320A"/>
    <w:rsid w:val="0C2C65B8"/>
    <w:rsid w:val="0C316B5D"/>
    <w:rsid w:val="0C322DE7"/>
    <w:rsid w:val="0C33462A"/>
    <w:rsid w:val="0C354060"/>
    <w:rsid w:val="0C3A335A"/>
    <w:rsid w:val="0C4371A2"/>
    <w:rsid w:val="0C476AE9"/>
    <w:rsid w:val="0C487075"/>
    <w:rsid w:val="0C4C51ED"/>
    <w:rsid w:val="0C4D5E73"/>
    <w:rsid w:val="0C5359AA"/>
    <w:rsid w:val="0C5640C3"/>
    <w:rsid w:val="0C5B1E2B"/>
    <w:rsid w:val="0C5C1C12"/>
    <w:rsid w:val="0C5D60B6"/>
    <w:rsid w:val="0C5E50A1"/>
    <w:rsid w:val="0C6A432F"/>
    <w:rsid w:val="0C6D2071"/>
    <w:rsid w:val="0C7019E0"/>
    <w:rsid w:val="0C750D9F"/>
    <w:rsid w:val="0C75162B"/>
    <w:rsid w:val="0C760F26"/>
    <w:rsid w:val="0C774C9E"/>
    <w:rsid w:val="0C7927C4"/>
    <w:rsid w:val="0C7C4C66"/>
    <w:rsid w:val="0C866594"/>
    <w:rsid w:val="0C8A79A8"/>
    <w:rsid w:val="0C8E2907"/>
    <w:rsid w:val="0C900A26"/>
    <w:rsid w:val="0C9111BF"/>
    <w:rsid w:val="0C913FB2"/>
    <w:rsid w:val="0C943AA2"/>
    <w:rsid w:val="0C957EAE"/>
    <w:rsid w:val="0C98586B"/>
    <w:rsid w:val="0CA20B3F"/>
    <w:rsid w:val="0CAE4908"/>
    <w:rsid w:val="0CB1152B"/>
    <w:rsid w:val="0CB11A15"/>
    <w:rsid w:val="0CB94C1F"/>
    <w:rsid w:val="0CBD4DA7"/>
    <w:rsid w:val="0CBD51FA"/>
    <w:rsid w:val="0CC10195"/>
    <w:rsid w:val="0CC1771A"/>
    <w:rsid w:val="0CC43B9E"/>
    <w:rsid w:val="0CCE7FAA"/>
    <w:rsid w:val="0CD10FA7"/>
    <w:rsid w:val="0CDB2626"/>
    <w:rsid w:val="0CF06F2A"/>
    <w:rsid w:val="0CFC2FB8"/>
    <w:rsid w:val="0CFD4D64"/>
    <w:rsid w:val="0CFE0C51"/>
    <w:rsid w:val="0CFE6FE8"/>
    <w:rsid w:val="0D06113D"/>
    <w:rsid w:val="0D076311"/>
    <w:rsid w:val="0D190F82"/>
    <w:rsid w:val="0D251429"/>
    <w:rsid w:val="0D261D36"/>
    <w:rsid w:val="0D263D02"/>
    <w:rsid w:val="0D272C2D"/>
    <w:rsid w:val="0D2766C4"/>
    <w:rsid w:val="0D2A1793"/>
    <w:rsid w:val="0D2C2471"/>
    <w:rsid w:val="0D334492"/>
    <w:rsid w:val="0D37546E"/>
    <w:rsid w:val="0D3C7DAF"/>
    <w:rsid w:val="0D4564DF"/>
    <w:rsid w:val="0D466B0F"/>
    <w:rsid w:val="0D48628F"/>
    <w:rsid w:val="0D4C612B"/>
    <w:rsid w:val="0D523741"/>
    <w:rsid w:val="0D574E8A"/>
    <w:rsid w:val="0D59754A"/>
    <w:rsid w:val="0D636797"/>
    <w:rsid w:val="0D645222"/>
    <w:rsid w:val="0D650A0F"/>
    <w:rsid w:val="0D682A91"/>
    <w:rsid w:val="0D6848B6"/>
    <w:rsid w:val="0D695F25"/>
    <w:rsid w:val="0D716A19"/>
    <w:rsid w:val="0D735465"/>
    <w:rsid w:val="0D7D06C8"/>
    <w:rsid w:val="0D892EDB"/>
    <w:rsid w:val="0D896A37"/>
    <w:rsid w:val="0D8E4ADA"/>
    <w:rsid w:val="0D907DC5"/>
    <w:rsid w:val="0D98382A"/>
    <w:rsid w:val="0D9D20CF"/>
    <w:rsid w:val="0D9E7771"/>
    <w:rsid w:val="0DB01BB5"/>
    <w:rsid w:val="0DBA6921"/>
    <w:rsid w:val="0DBE1DB1"/>
    <w:rsid w:val="0DC1750C"/>
    <w:rsid w:val="0DC42165"/>
    <w:rsid w:val="0DC92F26"/>
    <w:rsid w:val="0DCB1449"/>
    <w:rsid w:val="0DCC641D"/>
    <w:rsid w:val="0DD343D0"/>
    <w:rsid w:val="0DD47F3D"/>
    <w:rsid w:val="0DD63D04"/>
    <w:rsid w:val="0DDC4F58"/>
    <w:rsid w:val="0DE948FE"/>
    <w:rsid w:val="0DED2D07"/>
    <w:rsid w:val="0DEE0F90"/>
    <w:rsid w:val="0DF04D54"/>
    <w:rsid w:val="0DF31BB3"/>
    <w:rsid w:val="0DF8283C"/>
    <w:rsid w:val="0E024815"/>
    <w:rsid w:val="0E0514A4"/>
    <w:rsid w:val="0E0B0603"/>
    <w:rsid w:val="0E0D58BA"/>
    <w:rsid w:val="0E1053AA"/>
    <w:rsid w:val="0E124BBB"/>
    <w:rsid w:val="0E1E3623"/>
    <w:rsid w:val="0E1F478E"/>
    <w:rsid w:val="0E217F4C"/>
    <w:rsid w:val="0E231949"/>
    <w:rsid w:val="0E232D13"/>
    <w:rsid w:val="0E2844A2"/>
    <w:rsid w:val="0E2C7B17"/>
    <w:rsid w:val="0E327302"/>
    <w:rsid w:val="0E395B6A"/>
    <w:rsid w:val="0E3B18D0"/>
    <w:rsid w:val="0E3B6104"/>
    <w:rsid w:val="0E4137B5"/>
    <w:rsid w:val="0E42416F"/>
    <w:rsid w:val="0E437C84"/>
    <w:rsid w:val="0E461980"/>
    <w:rsid w:val="0E497BBE"/>
    <w:rsid w:val="0E527771"/>
    <w:rsid w:val="0E626DC5"/>
    <w:rsid w:val="0E674C57"/>
    <w:rsid w:val="0E6F047A"/>
    <w:rsid w:val="0E7149BF"/>
    <w:rsid w:val="0E744FBB"/>
    <w:rsid w:val="0E7C2CAA"/>
    <w:rsid w:val="0E7F624D"/>
    <w:rsid w:val="0E852A4F"/>
    <w:rsid w:val="0E855450"/>
    <w:rsid w:val="0E862104"/>
    <w:rsid w:val="0E87741A"/>
    <w:rsid w:val="0E8805AE"/>
    <w:rsid w:val="0E891FDE"/>
    <w:rsid w:val="0E8B3669"/>
    <w:rsid w:val="0E915A10"/>
    <w:rsid w:val="0E942882"/>
    <w:rsid w:val="0E9674B9"/>
    <w:rsid w:val="0EA915F6"/>
    <w:rsid w:val="0EAC50D3"/>
    <w:rsid w:val="0EAF6971"/>
    <w:rsid w:val="0EB2601C"/>
    <w:rsid w:val="0EB750C0"/>
    <w:rsid w:val="0EC07CFC"/>
    <w:rsid w:val="0EC341CA"/>
    <w:rsid w:val="0ED27AE6"/>
    <w:rsid w:val="0ED4462A"/>
    <w:rsid w:val="0ED46C52"/>
    <w:rsid w:val="0EDA0AB4"/>
    <w:rsid w:val="0EDE2DB2"/>
    <w:rsid w:val="0EDF021D"/>
    <w:rsid w:val="0EE408FC"/>
    <w:rsid w:val="0EE63C63"/>
    <w:rsid w:val="0EE859DF"/>
    <w:rsid w:val="0EF21E56"/>
    <w:rsid w:val="0EF613AC"/>
    <w:rsid w:val="0EFB2F15"/>
    <w:rsid w:val="0EFD0DA2"/>
    <w:rsid w:val="0EFD592E"/>
    <w:rsid w:val="0F000F7B"/>
    <w:rsid w:val="0F02058A"/>
    <w:rsid w:val="0F043120"/>
    <w:rsid w:val="0F061B96"/>
    <w:rsid w:val="0F0740B7"/>
    <w:rsid w:val="0F096AA2"/>
    <w:rsid w:val="0F0C1D81"/>
    <w:rsid w:val="0F0C791F"/>
    <w:rsid w:val="0F0E18EA"/>
    <w:rsid w:val="0F113188"/>
    <w:rsid w:val="0F11456A"/>
    <w:rsid w:val="0F136773"/>
    <w:rsid w:val="0F1C1CB2"/>
    <w:rsid w:val="0F225395"/>
    <w:rsid w:val="0F261277"/>
    <w:rsid w:val="0F2754CB"/>
    <w:rsid w:val="0F307AB2"/>
    <w:rsid w:val="0F386123"/>
    <w:rsid w:val="0F402F7C"/>
    <w:rsid w:val="0F404EE9"/>
    <w:rsid w:val="0F463C5A"/>
    <w:rsid w:val="0F4774E7"/>
    <w:rsid w:val="0F4E618A"/>
    <w:rsid w:val="0F563291"/>
    <w:rsid w:val="0F580DB7"/>
    <w:rsid w:val="0F5812CA"/>
    <w:rsid w:val="0F594957"/>
    <w:rsid w:val="0F5B294D"/>
    <w:rsid w:val="0F6F3850"/>
    <w:rsid w:val="0F70751E"/>
    <w:rsid w:val="0F753717"/>
    <w:rsid w:val="0F881C79"/>
    <w:rsid w:val="0F95411B"/>
    <w:rsid w:val="0F9C1062"/>
    <w:rsid w:val="0F9E58BB"/>
    <w:rsid w:val="0FA4224E"/>
    <w:rsid w:val="0FAD09B6"/>
    <w:rsid w:val="0FB00067"/>
    <w:rsid w:val="0FB3423F"/>
    <w:rsid w:val="0FB73D2F"/>
    <w:rsid w:val="0FBC30F4"/>
    <w:rsid w:val="0FBE439B"/>
    <w:rsid w:val="0FC05753"/>
    <w:rsid w:val="0FC11325"/>
    <w:rsid w:val="0FC20F05"/>
    <w:rsid w:val="0FCB7FCB"/>
    <w:rsid w:val="0FCC124A"/>
    <w:rsid w:val="0FCC1EDF"/>
    <w:rsid w:val="0FCF5B6F"/>
    <w:rsid w:val="0FD4638A"/>
    <w:rsid w:val="0FD536AF"/>
    <w:rsid w:val="0FD720C6"/>
    <w:rsid w:val="0FD767AC"/>
    <w:rsid w:val="0FD83CA6"/>
    <w:rsid w:val="0FDD2BC6"/>
    <w:rsid w:val="0FDD45F7"/>
    <w:rsid w:val="0FE10F96"/>
    <w:rsid w:val="0FE75E5C"/>
    <w:rsid w:val="0FE84C07"/>
    <w:rsid w:val="0FE97C61"/>
    <w:rsid w:val="0FF232B0"/>
    <w:rsid w:val="0FFF686C"/>
    <w:rsid w:val="1003148E"/>
    <w:rsid w:val="1008458B"/>
    <w:rsid w:val="100A58CF"/>
    <w:rsid w:val="100D26A7"/>
    <w:rsid w:val="10153451"/>
    <w:rsid w:val="10187BC3"/>
    <w:rsid w:val="101A606C"/>
    <w:rsid w:val="101C3B92"/>
    <w:rsid w:val="10256733"/>
    <w:rsid w:val="10285DEF"/>
    <w:rsid w:val="102E1B18"/>
    <w:rsid w:val="1035216C"/>
    <w:rsid w:val="10354C54"/>
    <w:rsid w:val="103C2486"/>
    <w:rsid w:val="104D7889"/>
    <w:rsid w:val="10535627"/>
    <w:rsid w:val="105D08B4"/>
    <w:rsid w:val="106138B6"/>
    <w:rsid w:val="1065387E"/>
    <w:rsid w:val="1068346D"/>
    <w:rsid w:val="107240FA"/>
    <w:rsid w:val="10733F64"/>
    <w:rsid w:val="107471BB"/>
    <w:rsid w:val="1077495A"/>
    <w:rsid w:val="10794135"/>
    <w:rsid w:val="107C4A88"/>
    <w:rsid w:val="107C6D27"/>
    <w:rsid w:val="107E7CDE"/>
    <w:rsid w:val="10836292"/>
    <w:rsid w:val="1084733A"/>
    <w:rsid w:val="108501F1"/>
    <w:rsid w:val="108762CF"/>
    <w:rsid w:val="10892E08"/>
    <w:rsid w:val="10896B0F"/>
    <w:rsid w:val="10906AF7"/>
    <w:rsid w:val="109B1C91"/>
    <w:rsid w:val="109B683D"/>
    <w:rsid w:val="109B79FF"/>
    <w:rsid w:val="10A34156"/>
    <w:rsid w:val="10A73DA4"/>
    <w:rsid w:val="10A9313E"/>
    <w:rsid w:val="10AF34A1"/>
    <w:rsid w:val="10AF62CC"/>
    <w:rsid w:val="10B1077E"/>
    <w:rsid w:val="10B22749"/>
    <w:rsid w:val="10B80434"/>
    <w:rsid w:val="10B94A62"/>
    <w:rsid w:val="10B97633"/>
    <w:rsid w:val="10C223C5"/>
    <w:rsid w:val="10C84E6C"/>
    <w:rsid w:val="10CE29C6"/>
    <w:rsid w:val="10CE45E0"/>
    <w:rsid w:val="10D40911"/>
    <w:rsid w:val="10D47030"/>
    <w:rsid w:val="10D517BF"/>
    <w:rsid w:val="10D65051"/>
    <w:rsid w:val="10DD3832"/>
    <w:rsid w:val="10DE599A"/>
    <w:rsid w:val="10E24B92"/>
    <w:rsid w:val="10E2636D"/>
    <w:rsid w:val="10E723F2"/>
    <w:rsid w:val="10E83E22"/>
    <w:rsid w:val="10EC2F14"/>
    <w:rsid w:val="10FA3648"/>
    <w:rsid w:val="110B4686"/>
    <w:rsid w:val="11156898"/>
    <w:rsid w:val="11194E1D"/>
    <w:rsid w:val="11196874"/>
    <w:rsid w:val="11196DE2"/>
    <w:rsid w:val="111E3DD9"/>
    <w:rsid w:val="111F5821"/>
    <w:rsid w:val="11203188"/>
    <w:rsid w:val="11333889"/>
    <w:rsid w:val="113572A0"/>
    <w:rsid w:val="11360153"/>
    <w:rsid w:val="11393088"/>
    <w:rsid w:val="113A0031"/>
    <w:rsid w:val="113E3FDC"/>
    <w:rsid w:val="113F119A"/>
    <w:rsid w:val="11407D54"/>
    <w:rsid w:val="11457119"/>
    <w:rsid w:val="114A5E54"/>
    <w:rsid w:val="115036DA"/>
    <w:rsid w:val="115655F5"/>
    <w:rsid w:val="116A6B7F"/>
    <w:rsid w:val="116E48C1"/>
    <w:rsid w:val="1172747C"/>
    <w:rsid w:val="11760CAC"/>
    <w:rsid w:val="117A6C2B"/>
    <w:rsid w:val="11815C56"/>
    <w:rsid w:val="11834BA9"/>
    <w:rsid w:val="11847C41"/>
    <w:rsid w:val="118C52B4"/>
    <w:rsid w:val="1193257A"/>
    <w:rsid w:val="11972559"/>
    <w:rsid w:val="119777CB"/>
    <w:rsid w:val="11977C10"/>
    <w:rsid w:val="119D51A7"/>
    <w:rsid w:val="119F3A09"/>
    <w:rsid w:val="11AC5CDC"/>
    <w:rsid w:val="11AC7198"/>
    <w:rsid w:val="11AD4A62"/>
    <w:rsid w:val="11AE0636"/>
    <w:rsid w:val="11B06C88"/>
    <w:rsid w:val="11B37630"/>
    <w:rsid w:val="11B524F0"/>
    <w:rsid w:val="11BC1D7F"/>
    <w:rsid w:val="11BE4E7D"/>
    <w:rsid w:val="11C444E1"/>
    <w:rsid w:val="11C546A6"/>
    <w:rsid w:val="11C6025A"/>
    <w:rsid w:val="11C62994"/>
    <w:rsid w:val="11C73B32"/>
    <w:rsid w:val="11C81B3E"/>
    <w:rsid w:val="11C91064"/>
    <w:rsid w:val="11CC3396"/>
    <w:rsid w:val="11D010D8"/>
    <w:rsid w:val="11D4099D"/>
    <w:rsid w:val="11E64492"/>
    <w:rsid w:val="11EB2C2A"/>
    <w:rsid w:val="11ED2D2B"/>
    <w:rsid w:val="11F110EE"/>
    <w:rsid w:val="11FC5FA9"/>
    <w:rsid w:val="12005690"/>
    <w:rsid w:val="12046193"/>
    <w:rsid w:val="120B4151"/>
    <w:rsid w:val="120D6AEC"/>
    <w:rsid w:val="120F384C"/>
    <w:rsid w:val="120F6A04"/>
    <w:rsid w:val="12250A88"/>
    <w:rsid w:val="1228606A"/>
    <w:rsid w:val="12287BC2"/>
    <w:rsid w:val="122B630F"/>
    <w:rsid w:val="122D7ACE"/>
    <w:rsid w:val="123012C0"/>
    <w:rsid w:val="12331667"/>
    <w:rsid w:val="12373BE5"/>
    <w:rsid w:val="12395E98"/>
    <w:rsid w:val="123F15C1"/>
    <w:rsid w:val="12422527"/>
    <w:rsid w:val="12485385"/>
    <w:rsid w:val="124A361C"/>
    <w:rsid w:val="124E668F"/>
    <w:rsid w:val="12525F91"/>
    <w:rsid w:val="1256397A"/>
    <w:rsid w:val="125E7FD4"/>
    <w:rsid w:val="125F3008"/>
    <w:rsid w:val="1263038F"/>
    <w:rsid w:val="12637955"/>
    <w:rsid w:val="12661A3D"/>
    <w:rsid w:val="1272218F"/>
    <w:rsid w:val="12751FBA"/>
    <w:rsid w:val="12772714"/>
    <w:rsid w:val="127C3574"/>
    <w:rsid w:val="12823F14"/>
    <w:rsid w:val="12843E46"/>
    <w:rsid w:val="128A524C"/>
    <w:rsid w:val="129245E0"/>
    <w:rsid w:val="1292638E"/>
    <w:rsid w:val="12A24894"/>
    <w:rsid w:val="12A630BD"/>
    <w:rsid w:val="12A8333E"/>
    <w:rsid w:val="12AB744F"/>
    <w:rsid w:val="12B13BA8"/>
    <w:rsid w:val="12B26A30"/>
    <w:rsid w:val="12B3307D"/>
    <w:rsid w:val="12C7318C"/>
    <w:rsid w:val="12CA3D79"/>
    <w:rsid w:val="12CB6E54"/>
    <w:rsid w:val="12CC4B73"/>
    <w:rsid w:val="12CD73C6"/>
    <w:rsid w:val="12D270D2"/>
    <w:rsid w:val="12D31E55"/>
    <w:rsid w:val="12D6271E"/>
    <w:rsid w:val="12E06A8B"/>
    <w:rsid w:val="12E27315"/>
    <w:rsid w:val="12E311CB"/>
    <w:rsid w:val="12E3308D"/>
    <w:rsid w:val="12E41C1F"/>
    <w:rsid w:val="12E54E31"/>
    <w:rsid w:val="12E56E05"/>
    <w:rsid w:val="12EB3CF0"/>
    <w:rsid w:val="12ED540D"/>
    <w:rsid w:val="12F26B7A"/>
    <w:rsid w:val="12F40DF6"/>
    <w:rsid w:val="12FC5EFD"/>
    <w:rsid w:val="13031DFF"/>
    <w:rsid w:val="130848A2"/>
    <w:rsid w:val="13126DE3"/>
    <w:rsid w:val="13184E8B"/>
    <w:rsid w:val="13203E74"/>
    <w:rsid w:val="132C05F4"/>
    <w:rsid w:val="132F1E2E"/>
    <w:rsid w:val="13315BA7"/>
    <w:rsid w:val="133438E9"/>
    <w:rsid w:val="13352544"/>
    <w:rsid w:val="133826C2"/>
    <w:rsid w:val="13385187"/>
    <w:rsid w:val="133F1B9A"/>
    <w:rsid w:val="13425A4B"/>
    <w:rsid w:val="13441D7E"/>
    <w:rsid w:val="1347361C"/>
    <w:rsid w:val="13516249"/>
    <w:rsid w:val="13533628"/>
    <w:rsid w:val="13581606"/>
    <w:rsid w:val="135F0EB2"/>
    <w:rsid w:val="13697D0C"/>
    <w:rsid w:val="136A730B"/>
    <w:rsid w:val="13720FD4"/>
    <w:rsid w:val="137212E9"/>
    <w:rsid w:val="137A67AD"/>
    <w:rsid w:val="137C52F5"/>
    <w:rsid w:val="137E2F3F"/>
    <w:rsid w:val="137E2F7D"/>
    <w:rsid w:val="13824654"/>
    <w:rsid w:val="13830A8B"/>
    <w:rsid w:val="1383205C"/>
    <w:rsid w:val="138B1142"/>
    <w:rsid w:val="138C0502"/>
    <w:rsid w:val="138D2581"/>
    <w:rsid w:val="138F4F4F"/>
    <w:rsid w:val="13963C5C"/>
    <w:rsid w:val="13AB531F"/>
    <w:rsid w:val="13AE601E"/>
    <w:rsid w:val="13B13284"/>
    <w:rsid w:val="13B37597"/>
    <w:rsid w:val="13B62550"/>
    <w:rsid w:val="13BA2BA6"/>
    <w:rsid w:val="13BA570A"/>
    <w:rsid w:val="13BE713C"/>
    <w:rsid w:val="13C16E37"/>
    <w:rsid w:val="13C46A1B"/>
    <w:rsid w:val="13C564C1"/>
    <w:rsid w:val="13CE6160"/>
    <w:rsid w:val="13D44784"/>
    <w:rsid w:val="13D95C9E"/>
    <w:rsid w:val="13DA4490"/>
    <w:rsid w:val="13DB2D7B"/>
    <w:rsid w:val="13DD35CB"/>
    <w:rsid w:val="13E22C12"/>
    <w:rsid w:val="13F05A62"/>
    <w:rsid w:val="13FB5E3B"/>
    <w:rsid w:val="140524CA"/>
    <w:rsid w:val="140E413A"/>
    <w:rsid w:val="14101C60"/>
    <w:rsid w:val="14126CB8"/>
    <w:rsid w:val="14195081"/>
    <w:rsid w:val="141F59D2"/>
    <w:rsid w:val="14207792"/>
    <w:rsid w:val="14222040"/>
    <w:rsid w:val="14330C8C"/>
    <w:rsid w:val="14330FA7"/>
    <w:rsid w:val="1444190A"/>
    <w:rsid w:val="144578B8"/>
    <w:rsid w:val="1449325E"/>
    <w:rsid w:val="144A52FF"/>
    <w:rsid w:val="14510DA2"/>
    <w:rsid w:val="14564C76"/>
    <w:rsid w:val="1457163D"/>
    <w:rsid w:val="145735A3"/>
    <w:rsid w:val="145A30E6"/>
    <w:rsid w:val="145E6E6F"/>
    <w:rsid w:val="14665894"/>
    <w:rsid w:val="14665AA7"/>
    <w:rsid w:val="14680B33"/>
    <w:rsid w:val="14681A9C"/>
    <w:rsid w:val="146F35DD"/>
    <w:rsid w:val="147C72F5"/>
    <w:rsid w:val="147D6BCA"/>
    <w:rsid w:val="1480651D"/>
    <w:rsid w:val="14841377"/>
    <w:rsid w:val="1485215A"/>
    <w:rsid w:val="1485763A"/>
    <w:rsid w:val="148B38DC"/>
    <w:rsid w:val="148C0451"/>
    <w:rsid w:val="14904B4F"/>
    <w:rsid w:val="14914780"/>
    <w:rsid w:val="1495477A"/>
    <w:rsid w:val="1497412F"/>
    <w:rsid w:val="149D2EE2"/>
    <w:rsid w:val="14A23FC7"/>
    <w:rsid w:val="14A56265"/>
    <w:rsid w:val="14A779A2"/>
    <w:rsid w:val="14AA0FA9"/>
    <w:rsid w:val="14B06F9F"/>
    <w:rsid w:val="14B93131"/>
    <w:rsid w:val="14BF6844"/>
    <w:rsid w:val="14C56610"/>
    <w:rsid w:val="14CC7532"/>
    <w:rsid w:val="14CF355D"/>
    <w:rsid w:val="14D40EDF"/>
    <w:rsid w:val="14D9723A"/>
    <w:rsid w:val="14E32ED1"/>
    <w:rsid w:val="14E74D64"/>
    <w:rsid w:val="14E8498B"/>
    <w:rsid w:val="14EE2A82"/>
    <w:rsid w:val="14F72E20"/>
    <w:rsid w:val="15003A82"/>
    <w:rsid w:val="1502500A"/>
    <w:rsid w:val="15105783"/>
    <w:rsid w:val="15107A3E"/>
    <w:rsid w:val="15170DCC"/>
    <w:rsid w:val="15192D96"/>
    <w:rsid w:val="151F0D40"/>
    <w:rsid w:val="152139F9"/>
    <w:rsid w:val="152D205D"/>
    <w:rsid w:val="15437E13"/>
    <w:rsid w:val="15475C08"/>
    <w:rsid w:val="154E197E"/>
    <w:rsid w:val="155E61EC"/>
    <w:rsid w:val="156017F2"/>
    <w:rsid w:val="156030A4"/>
    <w:rsid w:val="15610274"/>
    <w:rsid w:val="1562160A"/>
    <w:rsid w:val="156644E7"/>
    <w:rsid w:val="156954DC"/>
    <w:rsid w:val="156F6E5A"/>
    <w:rsid w:val="15705DE8"/>
    <w:rsid w:val="15714980"/>
    <w:rsid w:val="15775E99"/>
    <w:rsid w:val="157A4477"/>
    <w:rsid w:val="157E56FC"/>
    <w:rsid w:val="157F2F90"/>
    <w:rsid w:val="158079F8"/>
    <w:rsid w:val="158126C0"/>
    <w:rsid w:val="158174CB"/>
    <w:rsid w:val="15841317"/>
    <w:rsid w:val="15870167"/>
    <w:rsid w:val="158B2D72"/>
    <w:rsid w:val="158F6D92"/>
    <w:rsid w:val="15962639"/>
    <w:rsid w:val="15963996"/>
    <w:rsid w:val="15984140"/>
    <w:rsid w:val="15995A08"/>
    <w:rsid w:val="15A00DC2"/>
    <w:rsid w:val="15A0196F"/>
    <w:rsid w:val="15A46B04"/>
    <w:rsid w:val="15A63CF9"/>
    <w:rsid w:val="15A967DA"/>
    <w:rsid w:val="15AA08A2"/>
    <w:rsid w:val="15AE559E"/>
    <w:rsid w:val="15B14D7D"/>
    <w:rsid w:val="15B430B7"/>
    <w:rsid w:val="15B4486D"/>
    <w:rsid w:val="15BC0F47"/>
    <w:rsid w:val="15BD5E17"/>
    <w:rsid w:val="15C22650"/>
    <w:rsid w:val="15C471A6"/>
    <w:rsid w:val="15D37AE1"/>
    <w:rsid w:val="15DB15EF"/>
    <w:rsid w:val="15DC447F"/>
    <w:rsid w:val="15DD3DD0"/>
    <w:rsid w:val="15DF5D8E"/>
    <w:rsid w:val="15E50137"/>
    <w:rsid w:val="15E7676D"/>
    <w:rsid w:val="15F15EE9"/>
    <w:rsid w:val="15F33FB1"/>
    <w:rsid w:val="15F6770D"/>
    <w:rsid w:val="15FD430F"/>
    <w:rsid w:val="160550C9"/>
    <w:rsid w:val="1606488B"/>
    <w:rsid w:val="16077093"/>
    <w:rsid w:val="160E773B"/>
    <w:rsid w:val="16104199"/>
    <w:rsid w:val="161940C1"/>
    <w:rsid w:val="161E030A"/>
    <w:rsid w:val="161E7FDB"/>
    <w:rsid w:val="16280175"/>
    <w:rsid w:val="162953E9"/>
    <w:rsid w:val="162E1800"/>
    <w:rsid w:val="162E461F"/>
    <w:rsid w:val="163154C2"/>
    <w:rsid w:val="16361726"/>
    <w:rsid w:val="163F12DA"/>
    <w:rsid w:val="164107F7"/>
    <w:rsid w:val="16500A3A"/>
    <w:rsid w:val="16513AFC"/>
    <w:rsid w:val="16521857"/>
    <w:rsid w:val="165247B2"/>
    <w:rsid w:val="16537736"/>
    <w:rsid w:val="1662574A"/>
    <w:rsid w:val="166D518C"/>
    <w:rsid w:val="16726C02"/>
    <w:rsid w:val="16734728"/>
    <w:rsid w:val="16822CFB"/>
    <w:rsid w:val="168A1C4B"/>
    <w:rsid w:val="168A232B"/>
    <w:rsid w:val="168C1346"/>
    <w:rsid w:val="169919D4"/>
    <w:rsid w:val="169C5A2D"/>
    <w:rsid w:val="169E706B"/>
    <w:rsid w:val="169F34E5"/>
    <w:rsid w:val="16A0375B"/>
    <w:rsid w:val="16A10C26"/>
    <w:rsid w:val="16A22C67"/>
    <w:rsid w:val="16B50E2D"/>
    <w:rsid w:val="16B51218"/>
    <w:rsid w:val="16B87D73"/>
    <w:rsid w:val="16B95D39"/>
    <w:rsid w:val="16BE0F7B"/>
    <w:rsid w:val="16C47691"/>
    <w:rsid w:val="16C53121"/>
    <w:rsid w:val="16C66DAA"/>
    <w:rsid w:val="16C96D7A"/>
    <w:rsid w:val="16CB6312"/>
    <w:rsid w:val="16CF6552"/>
    <w:rsid w:val="16D6436F"/>
    <w:rsid w:val="16DC2D6D"/>
    <w:rsid w:val="16E573D4"/>
    <w:rsid w:val="16ED44DA"/>
    <w:rsid w:val="16ED74BE"/>
    <w:rsid w:val="16EF477C"/>
    <w:rsid w:val="16F36DBD"/>
    <w:rsid w:val="16F83CEE"/>
    <w:rsid w:val="16F94856"/>
    <w:rsid w:val="16FA2753"/>
    <w:rsid w:val="16FB21FE"/>
    <w:rsid w:val="16FE2244"/>
    <w:rsid w:val="17051824"/>
    <w:rsid w:val="170633A9"/>
    <w:rsid w:val="17101F77"/>
    <w:rsid w:val="1720051D"/>
    <w:rsid w:val="172614BA"/>
    <w:rsid w:val="17263548"/>
    <w:rsid w:val="172779EC"/>
    <w:rsid w:val="172D05D5"/>
    <w:rsid w:val="172F55C0"/>
    <w:rsid w:val="173043C7"/>
    <w:rsid w:val="173372AC"/>
    <w:rsid w:val="17342109"/>
    <w:rsid w:val="17343EB7"/>
    <w:rsid w:val="173C57A9"/>
    <w:rsid w:val="173E5F9B"/>
    <w:rsid w:val="17432218"/>
    <w:rsid w:val="174355C6"/>
    <w:rsid w:val="174914D0"/>
    <w:rsid w:val="174F10CC"/>
    <w:rsid w:val="17503063"/>
    <w:rsid w:val="17571F78"/>
    <w:rsid w:val="17626C76"/>
    <w:rsid w:val="17632DC6"/>
    <w:rsid w:val="1763654B"/>
    <w:rsid w:val="17680005"/>
    <w:rsid w:val="17723617"/>
    <w:rsid w:val="17783D9A"/>
    <w:rsid w:val="177C13BA"/>
    <w:rsid w:val="177F7BFE"/>
    <w:rsid w:val="17844B0E"/>
    <w:rsid w:val="178564C1"/>
    <w:rsid w:val="178C5270"/>
    <w:rsid w:val="17904D72"/>
    <w:rsid w:val="179823D6"/>
    <w:rsid w:val="179D1A5D"/>
    <w:rsid w:val="17A23454"/>
    <w:rsid w:val="17A53209"/>
    <w:rsid w:val="17A833B7"/>
    <w:rsid w:val="17A924E4"/>
    <w:rsid w:val="17B2302E"/>
    <w:rsid w:val="17B3195D"/>
    <w:rsid w:val="17B374D2"/>
    <w:rsid w:val="17B9260F"/>
    <w:rsid w:val="17BB1224"/>
    <w:rsid w:val="17BD3EAD"/>
    <w:rsid w:val="17CA706B"/>
    <w:rsid w:val="17CE6D0A"/>
    <w:rsid w:val="17D2722C"/>
    <w:rsid w:val="17D411F6"/>
    <w:rsid w:val="17D933C7"/>
    <w:rsid w:val="17E72CD8"/>
    <w:rsid w:val="17E85CA4"/>
    <w:rsid w:val="17F85F96"/>
    <w:rsid w:val="17FD1DAB"/>
    <w:rsid w:val="17FD6401"/>
    <w:rsid w:val="18006267"/>
    <w:rsid w:val="18025D64"/>
    <w:rsid w:val="180A0F27"/>
    <w:rsid w:val="180E6269"/>
    <w:rsid w:val="180E64B6"/>
    <w:rsid w:val="180F7BF3"/>
    <w:rsid w:val="181635BD"/>
    <w:rsid w:val="1818503E"/>
    <w:rsid w:val="18187335"/>
    <w:rsid w:val="181B6E25"/>
    <w:rsid w:val="181C5569"/>
    <w:rsid w:val="181E645C"/>
    <w:rsid w:val="182158D7"/>
    <w:rsid w:val="182278AC"/>
    <w:rsid w:val="182346DF"/>
    <w:rsid w:val="182458DB"/>
    <w:rsid w:val="18276F8A"/>
    <w:rsid w:val="182908B6"/>
    <w:rsid w:val="182E0907"/>
    <w:rsid w:val="183028D1"/>
    <w:rsid w:val="183E355D"/>
    <w:rsid w:val="183F1D57"/>
    <w:rsid w:val="183F48C2"/>
    <w:rsid w:val="18422972"/>
    <w:rsid w:val="184719C8"/>
    <w:rsid w:val="18477C1A"/>
    <w:rsid w:val="18491BE4"/>
    <w:rsid w:val="184D7912"/>
    <w:rsid w:val="18514C7A"/>
    <w:rsid w:val="18553B5A"/>
    <w:rsid w:val="185B0FE8"/>
    <w:rsid w:val="185C582D"/>
    <w:rsid w:val="185F335D"/>
    <w:rsid w:val="186333DB"/>
    <w:rsid w:val="18660C01"/>
    <w:rsid w:val="186764CC"/>
    <w:rsid w:val="186F0F21"/>
    <w:rsid w:val="18730A0F"/>
    <w:rsid w:val="187F4C05"/>
    <w:rsid w:val="18842C1C"/>
    <w:rsid w:val="18866995"/>
    <w:rsid w:val="188752BE"/>
    <w:rsid w:val="18892E88"/>
    <w:rsid w:val="188B604A"/>
    <w:rsid w:val="18902AAE"/>
    <w:rsid w:val="189A41EE"/>
    <w:rsid w:val="189A5F9C"/>
    <w:rsid w:val="189E29EE"/>
    <w:rsid w:val="18A1557C"/>
    <w:rsid w:val="18AA7F94"/>
    <w:rsid w:val="18AB39C5"/>
    <w:rsid w:val="18AF591D"/>
    <w:rsid w:val="18B0296E"/>
    <w:rsid w:val="18B057C0"/>
    <w:rsid w:val="18B3705E"/>
    <w:rsid w:val="18BB3DE3"/>
    <w:rsid w:val="18BC2E77"/>
    <w:rsid w:val="18C43019"/>
    <w:rsid w:val="18C4617B"/>
    <w:rsid w:val="18C56152"/>
    <w:rsid w:val="18C6107E"/>
    <w:rsid w:val="18C820AD"/>
    <w:rsid w:val="18C96881"/>
    <w:rsid w:val="18D23988"/>
    <w:rsid w:val="18D31560"/>
    <w:rsid w:val="18D43618"/>
    <w:rsid w:val="18D769D0"/>
    <w:rsid w:val="18DB6928"/>
    <w:rsid w:val="18E02B21"/>
    <w:rsid w:val="18E22F22"/>
    <w:rsid w:val="18EA4F57"/>
    <w:rsid w:val="18FF3438"/>
    <w:rsid w:val="1908468A"/>
    <w:rsid w:val="191952E8"/>
    <w:rsid w:val="191C172F"/>
    <w:rsid w:val="191E1604"/>
    <w:rsid w:val="191E6BCD"/>
    <w:rsid w:val="19206A1B"/>
    <w:rsid w:val="19272FD1"/>
    <w:rsid w:val="192A2C88"/>
    <w:rsid w:val="192E392D"/>
    <w:rsid w:val="194529AC"/>
    <w:rsid w:val="19597C05"/>
    <w:rsid w:val="195A62BB"/>
    <w:rsid w:val="19622F5E"/>
    <w:rsid w:val="196704DB"/>
    <w:rsid w:val="196D718F"/>
    <w:rsid w:val="196F7DE9"/>
    <w:rsid w:val="19745F65"/>
    <w:rsid w:val="197603AA"/>
    <w:rsid w:val="19766634"/>
    <w:rsid w:val="197C0B8C"/>
    <w:rsid w:val="197E719F"/>
    <w:rsid w:val="19822C3E"/>
    <w:rsid w:val="19825635"/>
    <w:rsid w:val="198527A8"/>
    <w:rsid w:val="19891D6A"/>
    <w:rsid w:val="198A6011"/>
    <w:rsid w:val="198A6F3E"/>
    <w:rsid w:val="198B5BE2"/>
    <w:rsid w:val="19915D0D"/>
    <w:rsid w:val="1991739F"/>
    <w:rsid w:val="19924659"/>
    <w:rsid w:val="1995091B"/>
    <w:rsid w:val="19962D75"/>
    <w:rsid w:val="199C6E95"/>
    <w:rsid w:val="19A659EB"/>
    <w:rsid w:val="19A73610"/>
    <w:rsid w:val="19AB0780"/>
    <w:rsid w:val="19AD7AE5"/>
    <w:rsid w:val="19AF64D3"/>
    <w:rsid w:val="19B27315"/>
    <w:rsid w:val="19B87156"/>
    <w:rsid w:val="19BB4BA8"/>
    <w:rsid w:val="19BB7350"/>
    <w:rsid w:val="19BB7761"/>
    <w:rsid w:val="19BE34EF"/>
    <w:rsid w:val="19C83D19"/>
    <w:rsid w:val="19CD1CDB"/>
    <w:rsid w:val="19CF6119"/>
    <w:rsid w:val="19D13C3F"/>
    <w:rsid w:val="19D81252"/>
    <w:rsid w:val="19D951DA"/>
    <w:rsid w:val="19E31528"/>
    <w:rsid w:val="19E576EB"/>
    <w:rsid w:val="19ED2756"/>
    <w:rsid w:val="19FD4A34"/>
    <w:rsid w:val="1A037B71"/>
    <w:rsid w:val="1A062D7E"/>
    <w:rsid w:val="1A0721B8"/>
    <w:rsid w:val="1A0B04C4"/>
    <w:rsid w:val="1A144382"/>
    <w:rsid w:val="1A176B5E"/>
    <w:rsid w:val="1A192BAC"/>
    <w:rsid w:val="1A1A1955"/>
    <w:rsid w:val="1A1D50D7"/>
    <w:rsid w:val="1A1D631D"/>
    <w:rsid w:val="1A246465"/>
    <w:rsid w:val="1A24695C"/>
    <w:rsid w:val="1A2A04B7"/>
    <w:rsid w:val="1A2A6D37"/>
    <w:rsid w:val="1A322050"/>
    <w:rsid w:val="1A322500"/>
    <w:rsid w:val="1A330456"/>
    <w:rsid w:val="1A3535CD"/>
    <w:rsid w:val="1A35541E"/>
    <w:rsid w:val="1A361CF4"/>
    <w:rsid w:val="1A3725BA"/>
    <w:rsid w:val="1A460858"/>
    <w:rsid w:val="1A4922FE"/>
    <w:rsid w:val="1A4C776A"/>
    <w:rsid w:val="1A4E7A7E"/>
    <w:rsid w:val="1A5B79AD"/>
    <w:rsid w:val="1A5C0C3B"/>
    <w:rsid w:val="1A5C165B"/>
    <w:rsid w:val="1A666B36"/>
    <w:rsid w:val="1A6B32BC"/>
    <w:rsid w:val="1A794FF3"/>
    <w:rsid w:val="1A7C14BD"/>
    <w:rsid w:val="1A804B60"/>
    <w:rsid w:val="1A845A7B"/>
    <w:rsid w:val="1A860DE2"/>
    <w:rsid w:val="1A892B2A"/>
    <w:rsid w:val="1A8E5287"/>
    <w:rsid w:val="1A91517D"/>
    <w:rsid w:val="1A9A14C6"/>
    <w:rsid w:val="1AA41354"/>
    <w:rsid w:val="1AA47D21"/>
    <w:rsid w:val="1AA576B4"/>
    <w:rsid w:val="1AAD01AC"/>
    <w:rsid w:val="1AB34776"/>
    <w:rsid w:val="1AB4125D"/>
    <w:rsid w:val="1AC076F6"/>
    <w:rsid w:val="1AC15A62"/>
    <w:rsid w:val="1ACD79DB"/>
    <w:rsid w:val="1ACE7693"/>
    <w:rsid w:val="1AD00244"/>
    <w:rsid w:val="1ADF238C"/>
    <w:rsid w:val="1AE25943"/>
    <w:rsid w:val="1AE409F4"/>
    <w:rsid w:val="1AE75563"/>
    <w:rsid w:val="1AEA31A6"/>
    <w:rsid w:val="1AEB6F20"/>
    <w:rsid w:val="1AF1038D"/>
    <w:rsid w:val="1AF158BC"/>
    <w:rsid w:val="1AF908F1"/>
    <w:rsid w:val="1AFA3B2F"/>
    <w:rsid w:val="1B006477"/>
    <w:rsid w:val="1B043176"/>
    <w:rsid w:val="1B085E1F"/>
    <w:rsid w:val="1B0B13D3"/>
    <w:rsid w:val="1B0B5D5A"/>
    <w:rsid w:val="1B0F419B"/>
    <w:rsid w:val="1B102545"/>
    <w:rsid w:val="1B1069E9"/>
    <w:rsid w:val="1B122762"/>
    <w:rsid w:val="1B1504D5"/>
    <w:rsid w:val="1B160E6C"/>
    <w:rsid w:val="1B193AF0"/>
    <w:rsid w:val="1B1E634B"/>
    <w:rsid w:val="1B1F4E7E"/>
    <w:rsid w:val="1B2150C5"/>
    <w:rsid w:val="1B263775"/>
    <w:rsid w:val="1B267569"/>
    <w:rsid w:val="1B2B667D"/>
    <w:rsid w:val="1B2E1612"/>
    <w:rsid w:val="1B2E5932"/>
    <w:rsid w:val="1B3279C4"/>
    <w:rsid w:val="1B333364"/>
    <w:rsid w:val="1B351FAC"/>
    <w:rsid w:val="1B352414"/>
    <w:rsid w:val="1B3A466F"/>
    <w:rsid w:val="1B3F7ADC"/>
    <w:rsid w:val="1B4220C1"/>
    <w:rsid w:val="1B46240B"/>
    <w:rsid w:val="1B48473D"/>
    <w:rsid w:val="1B5320BF"/>
    <w:rsid w:val="1B542C7D"/>
    <w:rsid w:val="1B546E61"/>
    <w:rsid w:val="1B5A1A13"/>
    <w:rsid w:val="1B6B1E72"/>
    <w:rsid w:val="1B6D7998"/>
    <w:rsid w:val="1B73635F"/>
    <w:rsid w:val="1B772172"/>
    <w:rsid w:val="1B79458F"/>
    <w:rsid w:val="1B7A3E63"/>
    <w:rsid w:val="1B7B588D"/>
    <w:rsid w:val="1B7C680C"/>
    <w:rsid w:val="1B877B5F"/>
    <w:rsid w:val="1B8F2258"/>
    <w:rsid w:val="1B8F48B1"/>
    <w:rsid w:val="1B9311A0"/>
    <w:rsid w:val="1B932E3D"/>
    <w:rsid w:val="1B967CD3"/>
    <w:rsid w:val="1B9B3992"/>
    <w:rsid w:val="1BA14F96"/>
    <w:rsid w:val="1BAB226E"/>
    <w:rsid w:val="1BAC6712"/>
    <w:rsid w:val="1BB21A35"/>
    <w:rsid w:val="1BB515FC"/>
    <w:rsid w:val="1BC25F36"/>
    <w:rsid w:val="1BC3552B"/>
    <w:rsid w:val="1BC72C20"/>
    <w:rsid w:val="1BC97091"/>
    <w:rsid w:val="1BCB0C5B"/>
    <w:rsid w:val="1BD164F0"/>
    <w:rsid w:val="1BD47A17"/>
    <w:rsid w:val="1BD75802"/>
    <w:rsid w:val="1BDA7A0E"/>
    <w:rsid w:val="1BDB6FF7"/>
    <w:rsid w:val="1BE96E00"/>
    <w:rsid w:val="1BEB2B7A"/>
    <w:rsid w:val="1BEF5886"/>
    <w:rsid w:val="1BF105C9"/>
    <w:rsid w:val="1BF63E31"/>
    <w:rsid w:val="1BFA1640"/>
    <w:rsid w:val="1C0025BA"/>
    <w:rsid w:val="1C007E13"/>
    <w:rsid w:val="1C0129F5"/>
    <w:rsid w:val="1C031C0D"/>
    <w:rsid w:val="1C04077A"/>
    <w:rsid w:val="1C0641D6"/>
    <w:rsid w:val="1C093B64"/>
    <w:rsid w:val="1C0B2C5E"/>
    <w:rsid w:val="1C0D00D8"/>
    <w:rsid w:val="1C116575"/>
    <w:rsid w:val="1C151865"/>
    <w:rsid w:val="1C1E6EE4"/>
    <w:rsid w:val="1C24274C"/>
    <w:rsid w:val="1C276E3A"/>
    <w:rsid w:val="1C2A44DB"/>
    <w:rsid w:val="1C313C3E"/>
    <w:rsid w:val="1C33298F"/>
    <w:rsid w:val="1C364884"/>
    <w:rsid w:val="1C4306F9"/>
    <w:rsid w:val="1C440407"/>
    <w:rsid w:val="1C47643B"/>
    <w:rsid w:val="1C4A07EB"/>
    <w:rsid w:val="1C4C3A51"/>
    <w:rsid w:val="1C4F60A6"/>
    <w:rsid w:val="1C5823F6"/>
    <w:rsid w:val="1C5B1A43"/>
    <w:rsid w:val="1C5B250F"/>
    <w:rsid w:val="1C5E7147"/>
    <w:rsid w:val="1C621E57"/>
    <w:rsid w:val="1C63251F"/>
    <w:rsid w:val="1C675E9E"/>
    <w:rsid w:val="1C694603"/>
    <w:rsid w:val="1C6C2CFB"/>
    <w:rsid w:val="1C6E1C1A"/>
    <w:rsid w:val="1C6E286F"/>
    <w:rsid w:val="1C726CDA"/>
    <w:rsid w:val="1C735D2E"/>
    <w:rsid w:val="1C74342B"/>
    <w:rsid w:val="1C8256C5"/>
    <w:rsid w:val="1C827473"/>
    <w:rsid w:val="1C84143D"/>
    <w:rsid w:val="1C941AC4"/>
    <w:rsid w:val="1C986C96"/>
    <w:rsid w:val="1CA35E52"/>
    <w:rsid w:val="1CA52EC7"/>
    <w:rsid w:val="1CA674E6"/>
    <w:rsid w:val="1CA822F9"/>
    <w:rsid w:val="1CA829BF"/>
    <w:rsid w:val="1CAC45E2"/>
    <w:rsid w:val="1CB15378"/>
    <w:rsid w:val="1CB34C26"/>
    <w:rsid w:val="1CB533A4"/>
    <w:rsid w:val="1CB65D06"/>
    <w:rsid w:val="1CB87339"/>
    <w:rsid w:val="1CBC30B3"/>
    <w:rsid w:val="1CBC632C"/>
    <w:rsid w:val="1CC121DE"/>
    <w:rsid w:val="1CC45CDD"/>
    <w:rsid w:val="1CC45DF9"/>
    <w:rsid w:val="1CC54E40"/>
    <w:rsid w:val="1CC7132A"/>
    <w:rsid w:val="1CCA1C3A"/>
    <w:rsid w:val="1CCD601D"/>
    <w:rsid w:val="1CD307B8"/>
    <w:rsid w:val="1CDD64A5"/>
    <w:rsid w:val="1CE1563A"/>
    <w:rsid w:val="1CE570C0"/>
    <w:rsid w:val="1CEC2B3E"/>
    <w:rsid w:val="1CEE68B6"/>
    <w:rsid w:val="1CF64F85"/>
    <w:rsid w:val="1CFC7225"/>
    <w:rsid w:val="1D0156FB"/>
    <w:rsid w:val="1D0200ED"/>
    <w:rsid w:val="1D021058"/>
    <w:rsid w:val="1D0936F0"/>
    <w:rsid w:val="1D10367E"/>
    <w:rsid w:val="1D135644"/>
    <w:rsid w:val="1D143B42"/>
    <w:rsid w:val="1D162F77"/>
    <w:rsid w:val="1D1A20D6"/>
    <w:rsid w:val="1D1F07A2"/>
    <w:rsid w:val="1D2A7464"/>
    <w:rsid w:val="1D2F3AFC"/>
    <w:rsid w:val="1D337DAB"/>
    <w:rsid w:val="1D3C5874"/>
    <w:rsid w:val="1D42558B"/>
    <w:rsid w:val="1D436AD4"/>
    <w:rsid w:val="1D4901E0"/>
    <w:rsid w:val="1D525A95"/>
    <w:rsid w:val="1D5D64FD"/>
    <w:rsid w:val="1D5F77B4"/>
    <w:rsid w:val="1D6076B4"/>
    <w:rsid w:val="1D6168D8"/>
    <w:rsid w:val="1D6E74E5"/>
    <w:rsid w:val="1D6F0CBB"/>
    <w:rsid w:val="1D8924D5"/>
    <w:rsid w:val="1D931BA7"/>
    <w:rsid w:val="1D990635"/>
    <w:rsid w:val="1D994A74"/>
    <w:rsid w:val="1D9E02DC"/>
    <w:rsid w:val="1D9E4602"/>
    <w:rsid w:val="1DA022A7"/>
    <w:rsid w:val="1DA27BE9"/>
    <w:rsid w:val="1DA3747D"/>
    <w:rsid w:val="1DA578BD"/>
    <w:rsid w:val="1DAD65E4"/>
    <w:rsid w:val="1DBC4C07"/>
    <w:rsid w:val="1DC34997"/>
    <w:rsid w:val="1DC53ABB"/>
    <w:rsid w:val="1DD957B9"/>
    <w:rsid w:val="1DDC0E05"/>
    <w:rsid w:val="1DE101C9"/>
    <w:rsid w:val="1DE50CE4"/>
    <w:rsid w:val="1DF0663E"/>
    <w:rsid w:val="1DF17A67"/>
    <w:rsid w:val="1E007B7D"/>
    <w:rsid w:val="1E0839A8"/>
    <w:rsid w:val="1E0D548A"/>
    <w:rsid w:val="1E17042D"/>
    <w:rsid w:val="1E172DAB"/>
    <w:rsid w:val="1E197963"/>
    <w:rsid w:val="1E1D43BE"/>
    <w:rsid w:val="1E206F43"/>
    <w:rsid w:val="1E2874B1"/>
    <w:rsid w:val="1E2E7340"/>
    <w:rsid w:val="1E310B22"/>
    <w:rsid w:val="1E392667"/>
    <w:rsid w:val="1E3A6697"/>
    <w:rsid w:val="1E401394"/>
    <w:rsid w:val="1E4225FB"/>
    <w:rsid w:val="1E4B50DC"/>
    <w:rsid w:val="1E4C3088"/>
    <w:rsid w:val="1E534817"/>
    <w:rsid w:val="1E537319"/>
    <w:rsid w:val="1E5E730F"/>
    <w:rsid w:val="1E64177F"/>
    <w:rsid w:val="1E692BE9"/>
    <w:rsid w:val="1E6A11C0"/>
    <w:rsid w:val="1E6D1EC4"/>
    <w:rsid w:val="1E6E5822"/>
    <w:rsid w:val="1E7535D3"/>
    <w:rsid w:val="1E7735E4"/>
    <w:rsid w:val="1E786D7F"/>
    <w:rsid w:val="1E792DB5"/>
    <w:rsid w:val="1E7958F0"/>
    <w:rsid w:val="1E7A66CF"/>
    <w:rsid w:val="1E7E1EBC"/>
    <w:rsid w:val="1E831280"/>
    <w:rsid w:val="1E866B15"/>
    <w:rsid w:val="1E890F8D"/>
    <w:rsid w:val="1E8A1B9D"/>
    <w:rsid w:val="1E8A7A8C"/>
    <w:rsid w:val="1E905D91"/>
    <w:rsid w:val="1E9110E5"/>
    <w:rsid w:val="1E94561E"/>
    <w:rsid w:val="1E9A3307"/>
    <w:rsid w:val="1E9F430C"/>
    <w:rsid w:val="1EA27958"/>
    <w:rsid w:val="1EAB0F03"/>
    <w:rsid w:val="1EAC6A29"/>
    <w:rsid w:val="1EB432E4"/>
    <w:rsid w:val="1EB53B30"/>
    <w:rsid w:val="1EBF56C9"/>
    <w:rsid w:val="1EC024D4"/>
    <w:rsid w:val="1EC6075E"/>
    <w:rsid w:val="1ED37CF3"/>
    <w:rsid w:val="1ED815CC"/>
    <w:rsid w:val="1ED969A9"/>
    <w:rsid w:val="1EDF6BE4"/>
    <w:rsid w:val="1EE14925"/>
    <w:rsid w:val="1EE1714A"/>
    <w:rsid w:val="1EE2069D"/>
    <w:rsid w:val="1EE25BD5"/>
    <w:rsid w:val="1EF524B0"/>
    <w:rsid w:val="1F0465E5"/>
    <w:rsid w:val="1F073C5F"/>
    <w:rsid w:val="1F0B598F"/>
    <w:rsid w:val="1F1318DA"/>
    <w:rsid w:val="1F1D7927"/>
    <w:rsid w:val="1F1E2EEA"/>
    <w:rsid w:val="1F1F3BB7"/>
    <w:rsid w:val="1F263147"/>
    <w:rsid w:val="1F291E28"/>
    <w:rsid w:val="1F2D4798"/>
    <w:rsid w:val="1F3A2287"/>
    <w:rsid w:val="1F3C4E1E"/>
    <w:rsid w:val="1F3D2384"/>
    <w:rsid w:val="1F4858A0"/>
    <w:rsid w:val="1F4B7FF0"/>
    <w:rsid w:val="1F4C1E73"/>
    <w:rsid w:val="1F570348"/>
    <w:rsid w:val="1F576995"/>
    <w:rsid w:val="1F5A1320"/>
    <w:rsid w:val="1F5A6485"/>
    <w:rsid w:val="1F5C21FD"/>
    <w:rsid w:val="1F642E60"/>
    <w:rsid w:val="1F644805"/>
    <w:rsid w:val="1F720436"/>
    <w:rsid w:val="1F784B5D"/>
    <w:rsid w:val="1F8030A4"/>
    <w:rsid w:val="1F8654CC"/>
    <w:rsid w:val="1F8A4FBC"/>
    <w:rsid w:val="1F8B663F"/>
    <w:rsid w:val="1F8C7FE0"/>
    <w:rsid w:val="1F903C55"/>
    <w:rsid w:val="1F933982"/>
    <w:rsid w:val="1F95036F"/>
    <w:rsid w:val="1F9736CC"/>
    <w:rsid w:val="1F985A49"/>
    <w:rsid w:val="1F985DCD"/>
    <w:rsid w:val="1F9943AB"/>
    <w:rsid w:val="1F996FAD"/>
    <w:rsid w:val="1F9C4CF0"/>
    <w:rsid w:val="1FA616CA"/>
    <w:rsid w:val="1FAD7C02"/>
    <w:rsid w:val="1FAE1D28"/>
    <w:rsid w:val="1FB1636E"/>
    <w:rsid w:val="1FB45B95"/>
    <w:rsid w:val="1FB65757"/>
    <w:rsid w:val="1FB97650"/>
    <w:rsid w:val="1FC35077"/>
    <w:rsid w:val="1FCA4E1C"/>
    <w:rsid w:val="1FCD6F3F"/>
    <w:rsid w:val="1FCF6E73"/>
    <w:rsid w:val="1FD155ED"/>
    <w:rsid w:val="1FD30839"/>
    <w:rsid w:val="1FD97C79"/>
    <w:rsid w:val="1FDB1336"/>
    <w:rsid w:val="1FE044C6"/>
    <w:rsid w:val="1FEF0B0F"/>
    <w:rsid w:val="1FF07AB1"/>
    <w:rsid w:val="1FF97189"/>
    <w:rsid w:val="20064EC7"/>
    <w:rsid w:val="200650C1"/>
    <w:rsid w:val="20072250"/>
    <w:rsid w:val="2014250D"/>
    <w:rsid w:val="20174376"/>
    <w:rsid w:val="201B5065"/>
    <w:rsid w:val="2023248F"/>
    <w:rsid w:val="20235D2D"/>
    <w:rsid w:val="202609CF"/>
    <w:rsid w:val="202B5943"/>
    <w:rsid w:val="20310958"/>
    <w:rsid w:val="20323D56"/>
    <w:rsid w:val="2036778C"/>
    <w:rsid w:val="203B0065"/>
    <w:rsid w:val="20440E01"/>
    <w:rsid w:val="20445895"/>
    <w:rsid w:val="20492475"/>
    <w:rsid w:val="204C1BC0"/>
    <w:rsid w:val="204C4020"/>
    <w:rsid w:val="204F29AC"/>
    <w:rsid w:val="20501A3F"/>
    <w:rsid w:val="20620A30"/>
    <w:rsid w:val="206606CB"/>
    <w:rsid w:val="206B1C00"/>
    <w:rsid w:val="207225B3"/>
    <w:rsid w:val="20744C39"/>
    <w:rsid w:val="20751E7D"/>
    <w:rsid w:val="207B039B"/>
    <w:rsid w:val="207F1C28"/>
    <w:rsid w:val="20804E8C"/>
    <w:rsid w:val="208539D6"/>
    <w:rsid w:val="20854DE9"/>
    <w:rsid w:val="208E288A"/>
    <w:rsid w:val="20991B8D"/>
    <w:rsid w:val="209B1810"/>
    <w:rsid w:val="209B6D55"/>
    <w:rsid w:val="20A025BE"/>
    <w:rsid w:val="20A06ED7"/>
    <w:rsid w:val="20A279A1"/>
    <w:rsid w:val="20A4754D"/>
    <w:rsid w:val="20A90A31"/>
    <w:rsid w:val="20AA51EA"/>
    <w:rsid w:val="20B10327"/>
    <w:rsid w:val="20BD52D1"/>
    <w:rsid w:val="20BD6CCC"/>
    <w:rsid w:val="20BE3AA8"/>
    <w:rsid w:val="20CB7022"/>
    <w:rsid w:val="20D02AA4"/>
    <w:rsid w:val="20D3431A"/>
    <w:rsid w:val="20D5036B"/>
    <w:rsid w:val="20D66A4C"/>
    <w:rsid w:val="20D80209"/>
    <w:rsid w:val="20DB33C9"/>
    <w:rsid w:val="20DC5DC3"/>
    <w:rsid w:val="20E20B11"/>
    <w:rsid w:val="20F473E1"/>
    <w:rsid w:val="20F50018"/>
    <w:rsid w:val="20F50648"/>
    <w:rsid w:val="20F546B7"/>
    <w:rsid w:val="20F608C0"/>
    <w:rsid w:val="21026DD4"/>
    <w:rsid w:val="21042B4C"/>
    <w:rsid w:val="210466A8"/>
    <w:rsid w:val="21066F1C"/>
    <w:rsid w:val="21080C95"/>
    <w:rsid w:val="210817DC"/>
    <w:rsid w:val="21096D5B"/>
    <w:rsid w:val="21106B98"/>
    <w:rsid w:val="21134B3E"/>
    <w:rsid w:val="211A2370"/>
    <w:rsid w:val="211F7260"/>
    <w:rsid w:val="21257D2B"/>
    <w:rsid w:val="212738FD"/>
    <w:rsid w:val="21284F71"/>
    <w:rsid w:val="212E3725"/>
    <w:rsid w:val="21304D65"/>
    <w:rsid w:val="213A0F1D"/>
    <w:rsid w:val="213B5E42"/>
    <w:rsid w:val="21415B4F"/>
    <w:rsid w:val="21417CB0"/>
    <w:rsid w:val="214D0C45"/>
    <w:rsid w:val="21611D4D"/>
    <w:rsid w:val="21664CC6"/>
    <w:rsid w:val="216B497A"/>
    <w:rsid w:val="21723F5A"/>
    <w:rsid w:val="21821C32"/>
    <w:rsid w:val="21864455"/>
    <w:rsid w:val="21897146"/>
    <w:rsid w:val="218B68A8"/>
    <w:rsid w:val="21997C43"/>
    <w:rsid w:val="219F21A1"/>
    <w:rsid w:val="21A25EC1"/>
    <w:rsid w:val="21A901F6"/>
    <w:rsid w:val="21B01374"/>
    <w:rsid w:val="21B352C8"/>
    <w:rsid w:val="21BA6494"/>
    <w:rsid w:val="21BC29BF"/>
    <w:rsid w:val="21BD4992"/>
    <w:rsid w:val="21BF6A73"/>
    <w:rsid w:val="21C173A8"/>
    <w:rsid w:val="21C2044F"/>
    <w:rsid w:val="21C442CD"/>
    <w:rsid w:val="21C44809"/>
    <w:rsid w:val="21CF2F4D"/>
    <w:rsid w:val="21CF6D50"/>
    <w:rsid w:val="21D03622"/>
    <w:rsid w:val="21D27D32"/>
    <w:rsid w:val="21D36151"/>
    <w:rsid w:val="21D928EE"/>
    <w:rsid w:val="21E03B7F"/>
    <w:rsid w:val="21E1602D"/>
    <w:rsid w:val="21E2678B"/>
    <w:rsid w:val="21E32762"/>
    <w:rsid w:val="21E45344"/>
    <w:rsid w:val="21EB262E"/>
    <w:rsid w:val="21EE48C0"/>
    <w:rsid w:val="21F84C13"/>
    <w:rsid w:val="21FA7280"/>
    <w:rsid w:val="21FE134A"/>
    <w:rsid w:val="220239F0"/>
    <w:rsid w:val="22056B7C"/>
    <w:rsid w:val="220D7A18"/>
    <w:rsid w:val="22120A2D"/>
    <w:rsid w:val="22134149"/>
    <w:rsid w:val="22282A51"/>
    <w:rsid w:val="223242FF"/>
    <w:rsid w:val="22350AE4"/>
    <w:rsid w:val="223707CE"/>
    <w:rsid w:val="22380187"/>
    <w:rsid w:val="223A0564"/>
    <w:rsid w:val="223A603C"/>
    <w:rsid w:val="223F5781"/>
    <w:rsid w:val="22432FD4"/>
    <w:rsid w:val="2245341D"/>
    <w:rsid w:val="224A567E"/>
    <w:rsid w:val="224A6351"/>
    <w:rsid w:val="224D186C"/>
    <w:rsid w:val="224F12D0"/>
    <w:rsid w:val="224F6049"/>
    <w:rsid w:val="22564B03"/>
    <w:rsid w:val="225C42C2"/>
    <w:rsid w:val="2262315A"/>
    <w:rsid w:val="226513C9"/>
    <w:rsid w:val="226541A3"/>
    <w:rsid w:val="226F0584"/>
    <w:rsid w:val="2271440B"/>
    <w:rsid w:val="22721D38"/>
    <w:rsid w:val="2274785E"/>
    <w:rsid w:val="22772DCD"/>
    <w:rsid w:val="227960B2"/>
    <w:rsid w:val="228026A7"/>
    <w:rsid w:val="22813D29"/>
    <w:rsid w:val="229254B9"/>
    <w:rsid w:val="229A66A5"/>
    <w:rsid w:val="229D6DB5"/>
    <w:rsid w:val="22A25655"/>
    <w:rsid w:val="22AD04D2"/>
    <w:rsid w:val="22AF4C50"/>
    <w:rsid w:val="22B6648E"/>
    <w:rsid w:val="22B81E40"/>
    <w:rsid w:val="22C03531"/>
    <w:rsid w:val="22D10047"/>
    <w:rsid w:val="22D146A9"/>
    <w:rsid w:val="22D60519"/>
    <w:rsid w:val="22D93F42"/>
    <w:rsid w:val="22E10A06"/>
    <w:rsid w:val="22E12829"/>
    <w:rsid w:val="22ED3802"/>
    <w:rsid w:val="22F11E67"/>
    <w:rsid w:val="22F400A8"/>
    <w:rsid w:val="22F54058"/>
    <w:rsid w:val="22F933C4"/>
    <w:rsid w:val="23013E1D"/>
    <w:rsid w:val="2307390F"/>
    <w:rsid w:val="23076924"/>
    <w:rsid w:val="230828F0"/>
    <w:rsid w:val="230E1876"/>
    <w:rsid w:val="2312327F"/>
    <w:rsid w:val="23187E36"/>
    <w:rsid w:val="231E0A26"/>
    <w:rsid w:val="231F5A1C"/>
    <w:rsid w:val="2324632C"/>
    <w:rsid w:val="2325297C"/>
    <w:rsid w:val="23270C12"/>
    <w:rsid w:val="232A43C0"/>
    <w:rsid w:val="232B1534"/>
    <w:rsid w:val="23305E7B"/>
    <w:rsid w:val="233139A1"/>
    <w:rsid w:val="233800F8"/>
    <w:rsid w:val="233D1105"/>
    <w:rsid w:val="233E5416"/>
    <w:rsid w:val="23411E36"/>
    <w:rsid w:val="234204CA"/>
    <w:rsid w:val="234931B8"/>
    <w:rsid w:val="234E6301"/>
    <w:rsid w:val="23531A7D"/>
    <w:rsid w:val="23562D1F"/>
    <w:rsid w:val="23570AE0"/>
    <w:rsid w:val="236478D2"/>
    <w:rsid w:val="236608B9"/>
    <w:rsid w:val="23660AAE"/>
    <w:rsid w:val="23661F67"/>
    <w:rsid w:val="236E0751"/>
    <w:rsid w:val="236E69A3"/>
    <w:rsid w:val="23724439"/>
    <w:rsid w:val="23733FB9"/>
    <w:rsid w:val="23773293"/>
    <w:rsid w:val="23795573"/>
    <w:rsid w:val="23806084"/>
    <w:rsid w:val="238216FC"/>
    <w:rsid w:val="238457D7"/>
    <w:rsid w:val="23892362"/>
    <w:rsid w:val="23897339"/>
    <w:rsid w:val="238E028C"/>
    <w:rsid w:val="238E4331"/>
    <w:rsid w:val="239460B1"/>
    <w:rsid w:val="2398757C"/>
    <w:rsid w:val="23996CAD"/>
    <w:rsid w:val="239C3B15"/>
    <w:rsid w:val="239E3437"/>
    <w:rsid w:val="23A2493E"/>
    <w:rsid w:val="23A54F70"/>
    <w:rsid w:val="23AD175D"/>
    <w:rsid w:val="23AE0B4E"/>
    <w:rsid w:val="23AE1078"/>
    <w:rsid w:val="23B32608"/>
    <w:rsid w:val="23B73EA6"/>
    <w:rsid w:val="23B87C1E"/>
    <w:rsid w:val="23BB3AA1"/>
    <w:rsid w:val="23C640E9"/>
    <w:rsid w:val="23C87E61"/>
    <w:rsid w:val="23CC0A7A"/>
    <w:rsid w:val="23D0456F"/>
    <w:rsid w:val="23D91616"/>
    <w:rsid w:val="23DD1433"/>
    <w:rsid w:val="23DD4036"/>
    <w:rsid w:val="23E94B61"/>
    <w:rsid w:val="23EA2031"/>
    <w:rsid w:val="23EA46EF"/>
    <w:rsid w:val="23EC7666"/>
    <w:rsid w:val="23ED49BB"/>
    <w:rsid w:val="23F14C41"/>
    <w:rsid w:val="23F32A04"/>
    <w:rsid w:val="23FA5061"/>
    <w:rsid w:val="23FC7B0B"/>
    <w:rsid w:val="23FE6C88"/>
    <w:rsid w:val="2403124A"/>
    <w:rsid w:val="2403533D"/>
    <w:rsid w:val="24044C11"/>
    <w:rsid w:val="240C0FF2"/>
    <w:rsid w:val="240D7F6A"/>
    <w:rsid w:val="24154EEB"/>
    <w:rsid w:val="241D5AEB"/>
    <w:rsid w:val="241F37F9"/>
    <w:rsid w:val="242249CB"/>
    <w:rsid w:val="24275EEE"/>
    <w:rsid w:val="24280EE0"/>
    <w:rsid w:val="242C00BE"/>
    <w:rsid w:val="242D3ABB"/>
    <w:rsid w:val="242F3B75"/>
    <w:rsid w:val="24303C58"/>
    <w:rsid w:val="2435301D"/>
    <w:rsid w:val="2440123D"/>
    <w:rsid w:val="24456F85"/>
    <w:rsid w:val="244E1E94"/>
    <w:rsid w:val="24547574"/>
    <w:rsid w:val="245573CD"/>
    <w:rsid w:val="2456155C"/>
    <w:rsid w:val="24584A96"/>
    <w:rsid w:val="245C0457"/>
    <w:rsid w:val="245E6248"/>
    <w:rsid w:val="24653D78"/>
    <w:rsid w:val="24727DB1"/>
    <w:rsid w:val="24777032"/>
    <w:rsid w:val="24780825"/>
    <w:rsid w:val="2479374D"/>
    <w:rsid w:val="247B3A37"/>
    <w:rsid w:val="247C441D"/>
    <w:rsid w:val="247D74E1"/>
    <w:rsid w:val="24831FDA"/>
    <w:rsid w:val="248653B3"/>
    <w:rsid w:val="248A04AF"/>
    <w:rsid w:val="248A15BB"/>
    <w:rsid w:val="248A3369"/>
    <w:rsid w:val="24A04B5B"/>
    <w:rsid w:val="24A451C6"/>
    <w:rsid w:val="24A51CD9"/>
    <w:rsid w:val="24A74627"/>
    <w:rsid w:val="24AA71F4"/>
    <w:rsid w:val="24AE2AB7"/>
    <w:rsid w:val="24BB1774"/>
    <w:rsid w:val="24C3687B"/>
    <w:rsid w:val="24C518D9"/>
    <w:rsid w:val="24C7785F"/>
    <w:rsid w:val="24CA7698"/>
    <w:rsid w:val="24CF3471"/>
    <w:rsid w:val="24D40A88"/>
    <w:rsid w:val="24D6035C"/>
    <w:rsid w:val="24DE5462"/>
    <w:rsid w:val="24E478E3"/>
    <w:rsid w:val="24E707BB"/>
    <w:rsid w:val="24E76A0D"/>
    <w:rsid w:val="24F259F5"/>
    <w:rsid w:val="24F269D0"/>
    <w:rsid w:val="24FE5793"/>
    <w:rsid w:val="250452C2"/>
    <w:rsid w:val="250550E5"/>
    <w:rsid w:val="250B2176"/>
    <w:rsid w:val="250F386E"/>
    <w:rsid w:val="251153EC"/>
    <w:rsid w:val="2513638E"/>
    <w:rsid w:val="251470D6"/>
    <w:rsid w:val="2515207E"/>
    <w:rsid w:val="251A37FF"/>
    <w:rsid w:val="252512E3"/>
    <w:rsid w:val="25286606"/>
    <w:rsid w:val="252B12D5"/>
    <w:rsid w:val="252F039D"/>
    <w:rsid w:val="25317C88"/>
    <w:rsid w:val="25385069"/>
    <w:rsid w:val="25391249"/>
    <w:rsid w:val="254153F7"/>
    <w:rsid w:val="25436FDB"/>
    <w:rsid w:val="25461985"/>
    <w:rsid w:val="254A0D4A"/>
    <w:rsid w:val="255430D0"/>
    <w:rsid w:val="25581F33"/>
    <w:rsid w:val="255C2462"/>
    <w:rsid w:val="25645885"/>
    <w:rsid w:val="25695674"/>
    <w:rsid w:val="25707D6A"/>
    <w:rsid w:val="25736073"/>
    <w:rsid w:val="257478AC"/>
    <w:rsid w:val="25755DDA"/>
    <w:rsid w:val="257A0EBF"/>
    <w:rsid w:val="257A19A8"/>
    <w:rsid w:val="257F6C45"/>
    <w:rsid w:val="2580284A"/>
    <w:rsid w:val="25817DF5"/>
    <w:rsid w:val="258778A8"/>
    <w:rsid w:val="258C59D8"/>
    <w:rsid w:val="258E50DA"/>
    <w:rsid w:val="259721E1"/>
    <w:rsid w:val="259F0EB1"/>
    <w:rsid w:val="259F50A7"/>
    <w:rsid w:val="25A14E0E"/>
    <w:rsid w:val="25A8619C"/>
    <w:rsid w:val="25A8720A"/>
    <w:rsid w:val="25AD0AC2"/>
    <w:rsid w:val="25AE6C43"/>
    <w:rsid w:val="25B06DFF"/>
    <w:rsid w:val="25B14BBD"/>
    <w:rsid w:val="25B1507D"/>
    <w:rsid w:val="25B82157"/>
    <w:rsid w:val="25C626C7"/>
    <w:rsid w:val="25C72C82"/>
    <w:rsid w:val="25C82B2D"/>
    <w:rsid w:val="25CB331D"/>
    <w:rsid w:val="25CB6A51"/>
    <w:rsid w:val="25CC175F"/>
    <w:rsid w:val="25CD1194"/>
    <w:rsid w:val="25D16EC5"/>
    <w:rsid w:val="25D33DBD"/>
    <w:rsid w:val="25DF76E4"/>
    <w:rsid w:val="25E24FF3"/>
    <w:rsid w:val="25E35B2A"/>
    <w:rsid w:val="25E72FC0"/>
    <w:rsid w:val="25EB42DB"/>
    <w:rsid w:val="25EE1E4B"/>
    <w:rsid w:val="25EE5A8E"/>
    <w:rsid w:val="25F34F3E"/>
    <w:rsid w:val="25F627A0"/>
    <w:rsid w:val="25F7612F"/>
    <w:rsid w:val="260248F6"/>
    <w:rsid w:val="26050710"/>
    <w:rsid w:val="260C1C97"/>
    <w:rsid w:val="260F3D41"/>
    <w:rsid w:val="2611019D"/>
    <w:rsid w:val="26136DD0"/>
    <w:rsid w:val="26155682"/>
    <w:rsid w:val="261B1203"/>
    <w:rsid w:val="261B4869"/>
    <w:rsid w:val="261D7B67"/>
    <w:rsid w:val="26233A75"/>
    <w:rsid w:val="26265313"/>
    <w:rsid w:val="262670C1"/>
    <w:rsid w:val="2628108B"/>
    <w:rsid w:val="26285111"/>
    <w:rsid w:val="262A053E"/>
    <w:rsid w:val="262A3886"/>
    <w:rsid w:val="26302E45"/>
    <w:rsid w:val="263238D5"/>
    <w:rsid w:val="26335BBB"/>
    <w:rsid w:val="263717A5"/>
    <w:rsid w:val="263B0B1D"/>
    <w:rsid w:val="263D006F"/>
    <w:rsid w:val="26404627"/>
    <w:rsid w:val="2641274C"/>
    <w:rsid w:val="26485289"/>
    <w:rsid w:val="264B6B41"/>
    <w:rsid w:val="264D30D9"/>
    <w:rsid w:val="26502390"/>
    <w:rsid w:val="26526108"/>
    <w:rsid w:val="265278ED"/>
    <w:rsid w:val="26570CBD"/>
    <w:rsid w:val="26582FA1"/>
    <w:rsid w:val="265E05EC"/>
    <w:rsid w:val="26603AF3"/>
    <w:rsid w:val="2661634B"/>
    <w:rsid w:val="26663961"/>
    <w:rsid w:val="266F6CBA"/>
    <w:rsid w:val="26745166"/>
    <w:rsid w:val="2674594E"/>
    <w:rsid w:val="26853624"/>
    <w:rsid w:val="268B1A7D"/>
    <w:rsid w:val="268C38D1"/>
    <w:rsid w:val="268D7140"/>
    <w:rsid w:val="26973678"/>
    <w:rsid w:val="2699606F"/>
    <w:rsid w:val="269B31D5"/>
    <w:rsid w:val="269D294C"/>
    <w:rsid w:val="269E759F"/>
    <w:rsid w:val="26A16465"/>
    <w:rsid w:val="26A61609"/>
    <w:rsid w:val="26A95935"/>
    <w:rsid w:val="26AF355A"/>
    <w:rsid w:val="26AF70B6"/>
    <w:rsid w:val="26B75812"/>
    <w:rsid w:val="26B80661"/>
    <w:rsid w:val="26BE554B"/>
    <w:rsid w:val="26C31794"/>
    <w:rsid w:val="26C62652"/>
    <w:rsid w:val="26CC7C68"/>
    <w:rsid w:val="26CD578F"/>
    <w:rsid w:val="26D24327"/>
    <w:rsid w:val="26D66D39"/>
    <w:rsid w:val="26DB1195"/>
    <w:rsid w:val="26DC12F9"/>
    <w:rsid w:val="26DD1E76"/>
    <w:rsid w:val="26DD66E5"/>
    <w:rsid w:val="26E31456"/>
    <w:rsid w:val="26E72CF4"/>
    <w:rsid w:val="26E77C76"/>
    <w:rsid w:val="26F0040F"/>
    <w:rsid w:val="26F1147D"/>
    <w:rsid w:val="26F27D6D"/>
    <w:rsid w:val="26F838F1"/>
    <w:rsid w:val="26FB1A86"/>
    <w:rsid w:val="26FB22FC"/>
    <w:rsid w:val="26FB6A47"/>
    <w:rsid w:val="26FD5AE1"/>
    <w:rsid w:val="270B4E8B"/>
    <w:rsid w:val="27117D71"/>
    <w:rsid w:val="27167136"/>
    <w:rsid w:val="271767AF"/>
    <w:rsid w:val="27190C26"/>
    <w:rsid w:val="271B7282"/>
    <w:rsid w:val="27220ADA"/>
    <w:rsid w:val="27226B38"/>
    <w:rsid w:val="2723183D"/>
    <w:rsid w:val="27244727"/>
    <w:rsid w:val="27265FC6"/>
    <w:rsid w:val="273121C1"/>
    <w:rsid w:val="27342C28"/>
    <w:rsid w:val="27356DE2"/>
    <w:rsid w:val="273C1126"/>
    <w:rsid w:val="27435FF8"/>
    <w:rsid w:val="2749160C"/>
    <w:rsid w:val="274F0899"/>
    <w:rsid w:val="275352E3"/>
    <w:rsid w:val="27592B64"/>
    <w:rsid w:val="275D39AE"/>
    <w:rsid w:val="27624129"/>
    <w:rsid w:val="276E2ACE"/>
    <w:rsid w:val="276F1CF7"/>
    <w:rsid w:val="277B620C"/>
    <w:rsid w:val="27806CA5"/>
    <w:rsid w:val="2783457B"/>
    <w:rsid w:val="27870033"/>
    <w:rsid w:val="27887E92"/>
    <w:rsid w:val="27893DAB"/>
    <w:rsid w:val="278C402E"/>
    <w:rsid w:val="27904925"/>
    <w:rsid w:val="27912872"/>
    <w:rsid w:val="279144EC"/>
    <w:rsid w:val="27934C2A"/>
    <w:rsid w:val="27952750"/>
    <w:rsid w:val="27A070BF"/>
    <w:rsid w:val="27A110F5"/>
    <w:rsid w:val="27A54320"/>
    <w:rsid w:val="27AB7F6F"/>
    <w:rsid w:val="27B335B2"/>
    <w:rsid w:val="27BE7FBA"/>
    <w:rsid w:val="27C032C6"/>
    <w:rsid w:val="27C070A1"/>
    <w:rsid w:val="27C300C4"/>
    <w:rsid w:val="27C363D7"/>
    <w:rsid w:val="27C54D70"/>
    <w:rsid w:val="27CB085B"/>
    <w:rsid w:val="27CB6210"/>
    <w:rsid w:val="27CC3C98"/>
    <w:rsid w:val="27D35714"/>
    <w:rsid w:val="27D61AC5"/>
    <w:rsid w:val="27E021F1"/>
    <w:rsid w:val="27E1035E"/>
    <w:rsid w:val="27E45486"/>
    <w:rsid w:val="27EB411E"/>
    <w:rsid w:val="27ED433A"/>
    <w:rsid w:val="27F356C9"/>
    <w:rsid w:val="27F43225"/>
    <w:rsid w:val="27F531EF"/>
    <w:rsid w:val="27F628A9"/>
    <w:rsid w:val="27FE6547"/>
    <w:rsid w:val="2802322A"/>
    <w:rsid w:val="28026422"/>
    <w:rsid w:val="28050C62"/>
    <w:rsid w:val="28094AD4"/>
    <w:rsid w:val="280A4DEE"/>
    <w:rsid w:val="280C5860"/>
    <w:rsid w:val="280F2CE9"/>
    <w:rsid w:val="280F57E8"/>
    <w:rsid w:val="28122232"/>
    <w:rsid w:val="281318C7"/>
    <w:rsid w:val="281577ED"/>
    <w:rsid w:val="281732DC"/>
    <w:rsid w:val="281D6FEB"/>
    <w:rsid w:val="28370CCA"/>
    <w:rsid w:val="28377363"/>
    <w:rsid w:val="28397580"/>
    <w:rsid w:val="283E4B96"/>
    <w:rsid w:val="284445EA"/>
    <w:rsid w:val="28493219"/>
    <w:rsid w:val="28497097"/>
    <w:rsid w:val="28534762"/>
    <w:rsid w:val="285659C7"/>
    <w:rsid w:val="285773F3"/>
    <w:rsid w:val="285A5999"/>
    <w:rsid w:val="285D39EC"/>
    <w:rsid w:val="285E4472"/>
    <w:rsid w:val="28612632"/>
    <w:rsid w:val="286D7C9D"/>
    <w:rsid w:val="28771E56"/>
    <w:rsid w:val="28786771"/>
    <w:rsid w:val="2879245E"/>
    <w:rsid w:val="28804FC5"/>
    <w:rsid w:val="28831525"/>
    <w:rsid w:val="28864663"/>
    <w:rsid w:val="288A0E35"/>
    <w:rsid w:val="2893153E"/>
    <w:rsid w:val="28946BAC"/>
    <w:rsid w:val="289C366A"/>
    <w:rsid w:val="289E5635"/>
    <w:rsid w:val="289F4D0D"/>
    <w:rsid w:val="28A50B8C"/>
    <w:rsid w:val="28A82037"/>
    <w:rsid w:val="28AE741A"/>
    <w:rsid w:val="28B018E3"/>
    <w:rsid w:val="28B873BC"/>
    <w:rsid w:val="28B933BD"/>
    <w:rsid w:val="28BA331C"/>
    <w:rsid w:val="28BC3849"/>
    <w:rsid w:val="28C53678"/>
    <w:rsid w:val="28CE5A0A"/>
    <w:rsid w:val="28CF633F"/>
    <w:rsid w:val="28D74770"/>
    <w:rsid w:val="28D83284"/>
    <w:rsid w:val="28DA492B"/>
    <w:rsid w:val="28DB494E"/>
    <w:rsid w:val="28DC2BA6"/>
    <w:rsid w:val="28E079FB"/>
    <w:rsid w:val="28E67F77"/>
    <w:rsid w:val="28F039B6"/>
    <w:rsid w:val="28F83E00"/>
    <w:rsid w:val="28F94B67"/>
    <w:rsid w:val="2906559E"/>
    <w:rsid w:val="2909680B"/>
    <w:rsid w:val="290F02E0"/>
    <w:rsid w:val="291409E4"/>
    <w:rsid w:val="29144B26"/>
    <w:rsid w:val="291678C1"/>
    <w:rsid w:val="291853E7"/>
    <w:rsid w:val="29192F0D"/>
    <w:rsid w:val="291C4B37"/>
    <w:rsid w:val="291D6FCD"/>
    <w:rsid w:val="292449EB"/>
    <w:rsid w:val="29247539"/>
    <w:rsid w:val="29283150"/>
    <w:rsid w:val="292F4EC4"/>
    <w:rsid w:val="29303DC5"/>
    <w:rsid w:val="29334B90"/>
    <w:rsid w:val="293F3B13"/>
    <w:rsid w:val="294130C4"/>
    <w:rsid w:val="294273C1"/>
    <w:rsid w:val="2948584E"/>
    <w:rsid w:val="294B3569"/>
    <w:rsid w:val="294E060D"/>
    <w:rsid w:val="294E705B"/>
    <w:rsid w:val="29514455"/>
    <w:rsid w:val="29553E81"/>
    <w:rsid w:val="2956681C"/>
    <w:rsid w:val="295A77CF"/>
    <w:rsid w:val="295D54F0"/>
    <w:rsid w:val="29626662"/>
    <w:rsid w:val="29692776"/>
    <w:rsid w:val="296C2A6D"/>
    <w:rsid w:val="2975374C"/>
    <w:rsid w:val="29761FC0"/>
    <w:rsid w:val="297840D8"/>
    <w:rsid w:val="2978457F"/>
    <w:rsid w:val="297D16EE"/>
    <w:rsid w:val="297F7C9B"/>
    <w:rsid w:val="2984046F"/>
    <w:rsid w:val="29842A7C"/>
    <w:rsid w:val="298653E4"/>
    <w:rsid w:val="298962E5"/>
    <w:rsid w:val="29905FA1"/>
    <w:rsid w:val="299E1B2D"/>
    <w:rsid w:val="29A21154"/>
    <w:rsid w:val="29A762D7"/>
    <w:rsid w:val="29AA1DB7"/>
    <w:rsid w:val="29B04B79"/>
    <w:rsid w:val="29B13146"/>
    <w:rsid w:val="29B73A22"/>
    <w:rsid w:val="29B83B80"/>
    <w:rsid w:val="29B8473E"/>
    <w:rsid w:val="29BA2D62"/>
    <w:rsid w:val="29BA649E"/>
    <w:rsid w:val="29C22954"/>
    <w:rsid w:val="29CB5626"/>
    <w:rsid w:val="29DA250F"/>
    <w:rsid w:val="29DB01C2"/>
    <w:rsid w:val="29E126C2"/>
    <w:rsid w:val="29E40CC9"/>
    <w:rsid w:val="29E452C9"/>
    <w:rsid w:val="29E548CE"/>
    <w:rsid w:val="29E654E5"/>
    <w:rsid w:val="29F67E1E"/>
    <w:rsid w:val="29F80D74"/>
    <w:rsid w:val="29FB26BC"/>
    <w:rsid w:val="29FC7EEE"/>
    <w:rsid w:val="29FD4B8D"/>
    <w:rsid w:val="2A00146D"/>
    <w:rsid w:val="2A005E0D"/>
    <w:rsid w:val="2A007C29"/>
    <w:rsid w:val="2A0B7225"/>
    <w:rsid w:val="2A0C1F62"/>
    <w:rsid w:val="2A104300"/>
    <w:rsid w:val="2A157B78"/>
    <w:rsid w:val="2A17569E"/>
    <w:rsid w:val="2A202079"/>
    <w:rsid w:val="2A2162DF"/>
    <w:rsid w:val="2A2748F6"/>
    <w:rsid w:val="2A291693"/>
    <w:rsid w:val="2A2A7FF3"/>
    <w:rsid w:val="2A2C2C92"/>
    <w:rsid w:val="2A2F0607"/>
    <w:rsid w:val="2A3459A1"/>
    <w:rsid w:val="2A354EA8"/>
    <w:rsid w:val="2A4108E6"/>
    <w:rsid w:val="2A423AD1"/>
    <w:rsid w:val="2A4548F3"/>
    <w:rsid w:val="2A500BB0"/>
    <w:rsid w:val="2A585CB7"/>
    <w:rsid w:val="2A5B69CB"/>
    <w:rsid w:val="2A5C31E4"/>
    <w:rsid w:val="2A5C3332"/>
    <w:rsid w:val="2A603645"/>
    <w:rsid w:val="2A676B6B"/>
    <w:rsid w:val="2A6A0B9D"/>
    <w:rsid w:val="2A6C7FB0"/>
    <w:rsid w:val="2A715750"/>
    <w:rsid w:val="2A7268B0"/>
    <w:rsid w:val="2A740CD8"/>
    <w:rsid w:val="2A757E5C"/>
    <w:rsid w:val="2A7A02B3"/>
    <w:rsid w:val="2A890BFB"/>
    <w:rsid w:val="2A8D5063"/>
    <w:rsid w:val="2A8F01D1"/>
    <w:rsid w:val="2A952A67"/>
    <w:rsid w:val="2A9A1E2C"/>
    <w:rsid w:val="2A9D03ED"/>
    <w:rsid w:val="2A9E7B6E"/>
    <w:rsid w:val="2AAA6513"/>
    <w:rsid w:val="2AAB266E"/>
    <w:rsid w:val="2AAE4FBB"/>
    <w:rsid w:val="2AB27305"/>
    <w:rsid w:val="2ABE400D"/>
    <w:rsid w:val="2ABE62C7"/>
    <w:rsid w:val="2AC05D36"/>
    <w:rsid w:val="2AC62C21"/>
    <w:rsid w:val="2AD23A0C"/>
    <w:rsid w:val="2AD31BAE"/>
    <w:rsid w:val="2AD92954"/>
    <w:rsid w:val="2ADC67F6"/>
    <w:rsid w:val="2AEA7A82"/>
    <w:rsid w:val="2AEB43AF"/>
    <w:rsid w:val="2AF000C8"/>
    <w:rsid w:val="2AF171F3"/>
    <w:rsid w:val="2AF421A8"/>
    <w:rsid w:val="2AF43C32"/>
    <w:rsid w:val="2AF510AE"/>
    <w:rsid w:val="2B0456E8"/>
    <w:rsid w:val="2B1A4D1A"/>
    <w:rsid w:val="2B1C7330"/>
    <w:rsid w:val="2B2067D5"/>
    <w:rsid w:val="2B28604A"/>
    <w:rsid w:val="2B2A3AE3"/>
    <w:rsid w:val="2B2D0B33"/>
    <w:rsid w:val="2B2F7012"/>
    <w:rsid w:val="2B3713EA"/>
    <w:rsid w:val="2B410002"/>
    <w:rsid w:val="2B44565E"/>
    <w:rsid w:val="2B486897"/>
    <w:rsid w:val="2B4A5600"/>
    <w:rsid w:val="2B4C64B1"/>
    <w:rsid w:val="2B4E2450"/>
    <w:rsid w:val="2B5037A1"/>
    <w:rsid w:val="2B5E2025"/>
    <w:rsid w:val="2B5F5ECE"/>
    <w:rsid w:val="2B621401"/>
    <w:rsid w:val="2B64614F"/>
    <w:rsid w:val="2B683CD8"/>
    <w:rsid w:val="2B6A5CA2"/>
    <w:rsid w:val="2B6D6655"/>
    <w:rsid w:val="2B726905"/>
    <w:rsid w:val="2B753F54"/>
    <w:rsid w:val="2B794137"/>
    <w:rsid w:val="2B7E6CCF"/>
    <w:rsid w:val="2B82123D"/>
    <w:rsid w:val="2B827E10"/>
    <w:rsid w:val="2B846E18"/>
    <w:rsid w:val="2B8D2B7C"/>
    <w:rsid w:val="2B922D6A"/>
    <w:rsid w:val="2B96798F"/>
    <w:rsid w:val="2B9D7E25"/>
    <w:rsid w:val="2B9E77A8"/>
    <w:rsid w:val="2BA12F91"/>
    <w:rsid w:val="2BA528E8"/>
    <w:rsid w:val="2BAD2E44"/>
    <w:rsid w:val="2BB81946"/>
    <w:rsid w:val="2BB94533"/>
    <w:rsid w:val="2BBE7BE9"/>
    <w:rsid w:val="2BCA79D8"/>
    <w:rsid w:val="2BCF3D57"/>
    <w:rsid w:val="2BCF3FB4"/>
    <w:rsid w:val="2BD2558F"/>
    <w:rsid w:val="2BD4652B"/>
    <w:rsid w:val="2BD575BF"/>
    <w:rsid w:val="2BD669CE"/>
    <w:rsid w:val="2BD66E93"/>
    <w:rsid w:val="2BDB52CC"/>
    <w:rsid w:val="2BDD2FC9"/>
    <w:rsid w:val="2BDE3AA1"/>
    <w:rsid w:val="2BE55328"/>
    <w:rsid w:val="2BE622B8"/>
    <w:rsid w:val="2BED056E"/>
    <w:rsid w:val="2BEE0681"/>
    <w:rsid w:val="2BF52D1F"/>
    <w:rsid w:val="2BFD393E"/>
    <w:rsid w:val="2C027504"/>
    <w:rsid w:val="2C035394"/>
    <w:rsid w:val="2C10726F"/>
    <w:rsid w:val="2C112457"/>
    <w:rsid w:val="2C137867"/>
    <w:rsid w:val="2C155F66"/>
    <w:rsid w:val="2C161E3E"/>
    <w:rsid w:val="2C180A33"/>
    <w:rsid w:val="2C1905D3"/>
    <w:rsid w:val="2C1A76C8"/>
    <w:rsid w:val="2C1C3440"/>
    <w:rsid w:val="2C2151C6"/>
    <w:rsid w:val="2C2440A3"/>
    <w:rsid w:val="2C2455E8"/>
    <w:rsid w:val="2C26606D"/>
    <w:rsid w:val="2C271DE5"/>
    <w:rsid w:val="2C2F0601"/>
    <w:rsid w:val="2C357791"/>
    <w:rsid w:val="2C367386"/>
    <w:rsid w:val="2C3D5164"/>
    <w:rsid w:val="2C3E3247"/>
    <w:rsid w:val="2C3E7525"/>
    <w:rsid w:val="2C3F0EDD"/>
    <w:rsid w:val="2C4375C7"/>
    <w:rsid w:val="2C4E7372"/>
    <w:rsid w:val="2C4F2F83"/>
    <w:rsid w:val="2C553DB0"/>
    <w:rsid w:val="2C5801F0"/>
    <w:rsid w:val="2C66290D"/>
    <w:rsid w:val="2C7C3EDF"/>
    <w:rsid w:val="2C82701B"/>
    <w:rsid w:val="2C862667"/>
    <w:rsid w:val="2C8642FD"/>
    <w:rsid w:val="2C8965FC"/>
    <w:rsid w:val="2C8A6C99"/>
    <w:rsid w:val="2C8D5187"/>
    <w:rsid w:val="2C974FEB"/>
    <w:rsid w:val="2C9A6060"/>
    <w:rsid w:val="2CA14C6D"/>
    <w:rsid w:val="2CA3146B"/>
    <w:rsid w:val="2CA56E19"/>
    <w:rsid w:val="2CB03B88"/>
    <w:rsid w:val="2CBF17DC"/>
    <w:rsid w:val="2CC65F2C"/>
    <w:rsid w:val="2CCD0296"/>
    <w:rsid w:val="2CCE400E"/>
    <w:rsid w:val="2CCE4D57"/>
    <w:rsid w:val="2CD067C3"/>
    <w:rsid w:val="2CD35BCE"/>
    <w:rsid w:val="2CD66B0E"/>
    <w:rsid w:val="2CDB214E"/>
    <w:rsid w:val="2CDC429C"/>
    <w:rsid w:val="2CE8741B"/>
    <w:rsid w:val="2CFC2245"/>
    <w:rsid w:val="2CFC46DB"/>
    <w:rsid w:val="2CFC728B"/>
    <w:rsid w:val="2D095047"/>
    <w:rsid w:val="2D0D0C2B"/>
    <w:rsid w:val="2D0E1ED3"/>
    <w:rsid w:val="2D196167"/>
    <w:rsid w:val="2D242672"/>
    <w:rsid w:val="2D29004D"/>
    <w:rsid w:val="2D2D51D9"/>
    <w:rsid w:val="2D2F45A4"/>
    <w:rsid w:val="2D303A51"/>
    <w:rsid w:val="2D3431FB"/>
    <w:rsid w:val="2D362F68"/>
    <w:rsid w:val="2D3C541C"/>
    <w:rsid w:val="2D3D727A"/>
    <w:rsid w:val="2D3E1194"/>
    <w:rsid w:val="2D3E2F42"/>
    <w:rsid w:val="2D426C67"/>
    <w:rsid w:val="2D4367AA"/>
    <w:rsid w:val="2D4855BC"/>
    <w:rsid w:val="2D4B565F"/>
    <w:rsid w:val="2D4E0C44"/>
    <w:rsid w:val="2D580AFA"/>
    <w:rsid w:val="2D5A2CD7"/>
    <w:rsid w:val="2D5B2F73"/>
    <w:rsid w:val="2D5F7236"/>
    <w:rsid w:val="2D60110A"/>
    <w:rsid w:val="2D605BA8"/>
    <w:rsid w:val="2D6706EB"/>
    <w:rsid w:val="2D682785"/>
    <w:rsid w:val="2D6E156F"/>
    <w:rsid w:val="2D742E08"/>
    <w:rsid w:val="2D774ABE"/>
    <w:rsid w:val="2D8C6F3E"/>
    <w:rsid w:val="2D8E0DCA"/>
    <w:rsid w:val="2D9139BA"/>
    <w:rsid w:val="2D9D397F"/>
    <w:rsid w:val="2DA03BFD"/>
    <w:rsid w:val="2DA06EE6"/>
    <w:rsid w:val="2DA3549B"/>
    <w:rsid w:val="2DA801F5"/>
    <w:rsid w:val="2DAC5BF8"/>
    <w:rsid w:val="2DAD5C4C"/>
    <w:rsid w:val="2DAE4822"/>
    <w:rsid w:val="2DB05AB4"/>
    <w:rsid w:val="2DB06383"/>
    <w:rsid w:val="2DB41456"/>
    <w:rsid w:val="2DB610C1"/>
    <w:rsid w:val="2DB73324"/>
    <w:rsid w:val="2DB8022C"/>
    <w:rsid w:val="2DC51C18"/>
    <w:rsid w:val="2DC56D7A"/>
    <w:rsid w:val="2DC72F38"/>
    <w:rsid w:val="2DC9216D"/>
    <w:rsid w:val="2DCB624E"/>
    <w:rsid w:val="2DCD3188"/>
    <w:rsid w:val="2DD12008"/>
    <w:rsid w:val="2DD34B01"/>
    <w:rsid w:val="2DDC3E24"/>
    <w:rsid w:val="2DE16FC6"/>
    <w:rsid w:val="2DEB6274"/>
    <w:rsid w:val="2DEC0BF0"/>
    <w:rsid w:val="2DEC299E"/>
    <w:rsid w:val="2DEE023B"/>
    <w:rsid w:val="2DF1298A"/>
    <w:rsid w:val="2DF350F6"/>
    <w:rsid w:val="2DF3760E"/>
    <w:rsid w:val="2DF65F13"/>
    <w:rsid w:val="2DF72246"/>
    <w:rsid w:val="2E0028ED"/>
    <w:rsid w:val="2E0A3EAA"/>
    <w:rsid w:val="2E0B7055"/>
    <w:rsid w:val="2E143333"/>
    <w:rsid w:val="2E1455B7"/>
    <w:rsid w:val="2E183793"/>
    <w:rsid w:val="2E1E3F8C"/>
    <w:rsid w:val="2E25730E"/>
    <w:rsid w:val="2E2A1A8D"/>
    <w:rsid w:val="2E2C09CD"/>
    <w:rsid w:val="2E2E745B"/>
    <w:rsid w:val="2E3453AE"/>
    <w:rsid w:val="2E371980"/>
    <w:rsid w:val="2E3A4A59"/>
    <w:rsid w:val="2E3F21B9"/>
    <w:rsid w:val="2E400AC5"/>
    <w:rsid w:val="2E454B6C"/>
    <w:rsid w:val="2E456552"/>
    <w:rsid w:val="2E457B45"/>
    <w:rsid w:val="2E4A5894"/>
    <w:rsid w:val="2E513149"/>
    <w:rsid w:val="2E56250D"/>
    <w:rsid w:val="2E5C3FC8"/>
    <w:rsid w:val="2E606BDE"/>
    <w:rsid w:val="2E613C2E"/>
    <w:rsid w:val="2E786928"/>
    <w:rsid w:val="2E813A2E"/>
    <w:rsid w:val="2E8250B1"/>
    <w:rsid w:val="2E840578"/>
    <w:rsid w:val="2E8629F8"/>
    <w:rsid w:val="2E89643F"/>
    <w:rsid w:val="2E8B507B"/>
    <w:rsid w:val="2E8D1611"/>
    <w:rsid w:val="2E966124"/>
    <w:rsid w:val="2EA40BAB"/>
    <w:rsid w:val="2EA4771D"/>
    <w:rsid w:val="2EAA16BE"/>
    <w:rsid w:val="2EAE5EA6"/>
    <w:rsid w:val="2EB575BC"/>
    <w:rsid w:val="2EB84F76"/>
    <w:rsid w:val="2EB85094"/>
    <w:rsid w:val="2EB90A44"/>
    <w:rsid w:val="2EB931C8"/>
    <w:rsid w:val="2EBA0CEE"/>
    <w:rsid w:val="2EBD433B"/>
    <w:rsid w:val="2EBF4557"/>
    <w:rsid w:val="2EC601F7"/>
    <w:rsid w:val="2ECB624D"/>
    <w:rsid w:val="2ED00F85"/>
    <w:rsid w:val="2ED32715"/>
    <w:rsid w:val="2EEC2BFE"/>
    <w:rsid w:val="2EF03C25"/>
    <w:rsid w:val="2EF35FAE"/>
    <w:rsid w:val="2EFA733D"/>
    <w:rsid w:val="2F034778"/>
    <w:rsid w:val="2F06788C"/>
    <w:rsid w:val="2F090E3D"/>
    <w:rsid w:val="2F097580"/>
    <w:rsid w:val="2F0E52AD"/>
    <w:rsid w:val="2F0F103A"/>
    <w:rsid w:val="2F1A09BA"/>
    <w:rsid w:val="2F1C3A9F"/>
    <w:rsid w:val="2F1D3B23"/>
    <w:rsid w:val="2F1F6DA3"/>
    <w:rsid w:val="2F276D50"/>
    <w:rsid w:val="2F287AAB"/>
    <w:rsid w:val="2F343BF2"/>
    <w:rsid w:val="2F37730B"/>
    <w:rsid w:val="2F391C13"/>
    <w:rsid w:val="2F394E31"/>
    <w:rsid w:val="2F3B1459"/>
    <w:rsid w:val="2F3D4C91"/>
    <w:rsid w:val="2F4421E4"/>
    <w:rsid w:val="2F47463D"/>
    <w:rsid w:val="2F5750DA"/>
    <w:rsid w:val="2F5862FB"/>
    <w:rsid w:val="2F5E78CC"/>
    <w:rsid w:val="2F686B74"/>
    <w:rsid w:val="2F6B742B"/>
    <w:rsid w:val="2F79175E"/>
    <w:rsid w:val="2F7A5472"/>
    <w:rsid w:val="2F7B7EFA"/>
    <w:rsid w:val="2F92309C"/>
    <w:rsid w:val="2F962966"/>
    <w:rsid w:val="2F9F071B"/>
    <w:rsid w:val="2F9F6840"/>
    <w:rsid w:val="2FA56DD2"/>
    <w:rsid w:val="2FAA34F5"/>
    <w:rsid w:val="2FB10466"/>
    <w:rsid w:val="2FB24CD7"/>
    <w:rsid w:val="2FBA38E7"/>
    <w:rsid w:val="2FC516F9"/>
    <w:rsid w:val="2FCA307B"/>
    <w:rsid w:val="2FD24923"/>
    <w:rsid w:val="2FD52CDB"/>
    <w:rsid w:val="2FF06254"/>
    <w:rsid w:val="2FF87D20"/>
    <w:rsid w:val="300877D8"/>
    <w:rsid w:val="30176C11"/>
    <w:rsid w:val="301F52AD"/>
    <w:rsid w:val="302428C3"/>
    <w:rsid w:val="3025568D"/>
    <w:rsid w:val="302613A0"/>
    <w:rsid w:val="302964D6"/>
    <w:rsid w:val="30297EDA"/>
    <w:rsid w:val="302D32FF"/>
    <w:rsid w:val="30303315"/>
    <w:rsid w:val="303348B4"/>
    <w:rsid w:val="30392D43"/>
    <w:rsid w:val="303B4CE0"/>
    <w:rsid w:val="303C5D83"/>
    <w:rsid w:val="304433BC"/>
    <w:rsid w:val="30550CCF"/>
    <w:rsid w:val="306A34CE"/>
    <w:rsid w:val="306D3557"/>
    <w:rsid w:val="30703D1F"/>
    <w:rsid w:val="30751371"/>
    <w:rsid w:val="30774A15"/>
    <w:rsid w:val="30787644"/>
    <w:rsid w:val="307978A9"/>
    <w:rsid w:val="307D2FCF"/>
    <w:rsid w:val="30855468"/>
    <w:rsid w:val="308E5036"/>
    <w:rsid w:val="308F7DC5"/>
    <w:rsid w:val="309013EB"/>
    <w:rsid w:val="3091782D"/>
    <w:rsid w:val="30951362"/>
    <w:rsid w:val="30980BBB"/>
    <w:rsid w:val="30994329"/>
    <w:rsid w:val="309A0DD7"/>
    <w:rsid w:val="309B5D06"/>
    <w:rsid w:val="309C496F"/>
    <w:rsid w:val="30A42088"/>
    <w:rsid w:val="30A56715"/>
    <w:rsid w:val="30A612CD"/>
    <w:rsid w:val="30AA3D0C"/>
    <w:rsid w:val="30AA5A28"/>
    <w:rsid w:val="30B5176D"/>
    <w:rsid w:val="30BA0961"/>
    <w:rsid w:val="30BE1AC1"/>
    <w:rsid w:val="30C53A33"/>
    <w:rsid w:val="30D2619E"/>
    <w:rsid w:val="30E23E6E"/>
    <w:rsid w:val="30E6401D"/>
    <w:rsid w:val="30EC3AEF"/>
    <w:rsid w:val="30EE1123"/>
    <w:rsid w:val="30EF4A32"/>
    <w:rsid w:val="30F85CFE"/>
    <w:rsid w:val="30FA74FF"/>
    <w:rsid w:val="30FC5A7C"/>
    <w:rsid w:val="31010E56"/>
    <w:rsid w:val="310B5831"/>
    <w:rsid w:val="310E70CF"/>
    <w:rsid w:val="311241EB"/>
    <w:rsid w:val="311320BB"/>
    <w:rsid w:val="311D4A71"/>
    <w:rsid w:val="312A4545"/>
    <w:rsid w:val="312F7772"/>
    <w:rsid w:val="313034EA"/>
    <w:rsid w:val="31305CC1"/>
    <w:rsid w:val="313346D4"/>
    <w:rsid w:val="31350C4C"/>
    <w:rsid w:val="31376626"/>
    <w:rsid w:val="313954FF"/>
    <w:rsid w:val="314629E0"/>
    <w:rsid w:val="31486AA5"/>
    <w:rsid w:val="314D02DD"/>
    <w:rsid w:val="314D7BF8"/>
    <w:rsid w:val="314E4C65"/>
    <w:rsid w:val="315E2CB3"/>
    <w:rsid w:val="31624643"/>
    <w:rsid w:val="31660CB9"/>
    <w:rsid w:val="31662A68"/>
    <w:rsid w:val="316651C3"/>
    <w:rsid w:val="316A69FC"/>
    <w:rsid w:val="316F6895"/>
    <w:rsid w:val="31756547"/>
    <w:rsid w:val="31781750"/>
    <w:rsid w:val="31781CBE"/>
    <w:rsid w:val="31792F52"/>
    <w:rsid w:val="317D47F7"/>
    <w:rsid w:val="317F3DE3"/>
    <w:rsid w:val="31846837"/>
    <w:rsid w:val="318650A1"/>
    <w:rsid w:val="318849EF"/>
    <w:rsid w:val="319A1781"/>
    <w:rsid w:val="319C176F"/>
    <w:rsid w:val="319C2BE0"/>
    <w:rsid w:val="319E113F"/>
    <w:rsid w:val="319E48F7"/>
    <w:rsid w:val="319E5837"/>
    <w:rsid w:val="31A4770B"/>
    <w:rsid w:val="31A53156"/>
    <w:rsid w:val="31A618AD"/>
    <w:rsid w:val="31A840A9"/>
    <w:rsid w:val="31A95697"/>
    <w:rsid w:val="31B1462B"/>
    <w:rsid w:val="31B656E2"/>
    <w:rsid w:val="31C34465"/>
    <w:rsid w:val="31CB73CB"/>
    <w:rsid w:val="31D04385"/>
    <w:rsid w:val="31D377A6"/>
    <w:rsid w:val="31D64091"/>
    <w:rsid w:val="31DF3A43"/>
    <w:rsid w:val="31E544E3"/>
    <w:rsid w:val="31EC0F05"/>
    <w:rsid w:val="31EC5663"/>
    <w:rsid w:val="31ED3189"/>
    <w:rsid w:val="31F44517"/>
    <w:rsid w:val="31F84007"/>
    <w:rsid w:val="31FA3E30"/>
    <w:rsid w:val="31FD668B"/>
    <w:rsid w:val="31FF1CE6"/>
    <w:rsid w:val="320756B8"/>
    <w:rsid w:val="320E6FFF"/>
    <w:rsid w:val="3212499D"/>
    <w:rsid w:val="32132BEF"/>
    <w:rsid w:val="321376E8"/>
    <w:rsid w:val="32140715"/>
    <w:rsid w:val="3216448E"/>
    <w:rsid w:val="32242B7A"/>
    <w:rsid w:val="32260729"/>
    <w:rsid w:val="32273671"/>
    <w:rsid w:val="32362268"/>
    <w:rsid w:val="323709A1"/>
    <w:rsid w:val="323D35C7"/>
    <w:rsid w:val="323E5792"/>
    <w:rsid w:val="3240775C"/>
    <w:rsid w:val="32416198"/>
    <w:rsid w:val="32424ED3"/>
    <w:rsid w:val="324869D8"/>
    <w:rsid w:val="324A7D33"/>
    <w:rsid w:val="324C4FD7"/>
    <w:rsid w:val="3251196A"/>
    <w:rsid w:val="32512034"/>
    <w:rsid w:val="325C6E66"/>
    <w:rsid w:val="32601BAD"/>
    <w:rsid w:val="326229EC"/>
    <w:rsid w:val="3268280F"/>
    <w:rsid w:val="32691157"/>
    <w:rsid w:val="326C2300"/>
    <w:rsid w:val="32747406"/>
    <w:rsid w:val="327B5295"/>
    <w:rsid w:val="327C41FB"/>
    <w:rsid w:val="327D44BF"/>
    <w:rsid w:val="32805186"/>
    <w:rsid w:val="32806966"/>
    <w:rsid w:val="328224C8"/>
    <w:rsid w:val="328470E7"/>
    <w:rsid w:val="32873286"/>
    <w:rsid w:val="32892EB1"/>
    <w:rsid w:val="328947D0"/>
    <w:rsid w:val="328F3705"/>
    <w:rsid w:val="328F5FEE"/>
    <w:rsid w:val="32911D66"/>
    <w:rsid w:val="329241BE"/>
    <w:rsid w:val="32975264"/>
    <w:rsid w:val="329B4993"/>
    <w:rsid w:val="329F26D5"/>
    <w:rsid w:val="32A00A51"/>
    <w:rsid w:val="32A8036C"/>
    <w:rsid w:val="32A95302"/>
    <w:rsid w:val="32B259F3"/>
    <w:rsid w:val="32B51EF8"/>
    <w:rsid w:val="32B948C7"/>
    <w:rsid w:val="32BA306B"/>
    <w:rsid w:val="32BA6C45"/>
    <w:rsid w:val="32BB28C8"/>
    <w:rsid w:val="32BE314B"/>
    <w:rsid w:val="32BF2D77"/>
    <w:rsid w:val="32C57C62"/>
    <w:rsid w:val="32C625D2"/>
    <w:rsid w:val="32C91500"/>
    <w:rsid w:val="32CA22CD"/>
    <w:rsid w:val="32CE2FBA"/>
    <w:rsid w:val="32D32798"/>
    <w:rsid w:val="32D4359F"/>
    <w:rsid w:val="32D51C08"/>
    <w:rsid w:val="32DE11C7"/>
    <w:rsid w:val="32DE750E"/>
    <w:rsid w:val="32DE7BD5"/>
    <w:rsid w:val="32E0684A"/>
    <w:rsid w:val="32E10DEB"/>
    <w:rsid w:val="32EB7C7F"/>
    <w:rsid w:val="32EE29D7"/>
    <w:rsid w:val="32F17393"/>
    <w:rsid w:val="32FA790B"/>
    <w:rsid w:val="32FB722A"/>
    <w:rsid w:val="330469DC"/>
    <w:rsid w:val="3309737C"/>
    <w:rsid w:val="330C6AF8"/>
    <w:rsid w:val="331422D0"/>
    <w:rsid w:val="3314341A"/>
    <w:rsid w:val="331D5FAA"/>
    <w:rsid w:val="33216B1F"/>
    <w:rsid w:val="332638E3"/>
    <w:rsid w:val="332901F1"/>
    <w:rsid w:val="33294E30"/>
    <w:rsid w:val="332F07DB"/>
    <w:rsid w:val="3331313B"/>
    <w:rsid w:val="33331FD2"/>
    <w:rsid w:val="33460DA3"/>
    <w:rsid w:val="334728D6"/>
    <w:rsid w:val="33482D6D"/>
    <w:rsid w:val="334F0512"/>
    <w:rsid w:val="33550FE6"/>
    <w:rsid w:val="3355548A"/>
    <w:rsid w:val="33563F4D"/>
    <w:rsid w:val="33572FB0"/>
    <w:rsid w:val="33576B0C"/>
    <w:rsid w:val="335A65FC"/>
    <w:rsid w:val="336043FB"/>
    <w:rsid w:val="33626D6A"/>
    <w:rsid w:val="3366297A"/>
    <w:rsid w:val="336631F3"/>
    <w:rsid w:val="336D27D3"/>
    <w:rsid w:val="336D5F42"/>
    <w:rsid w:val="336E03B1"/>
    <w:rsid w:val="33721B98"/>
    <w:rsid w:val="33756070"/>
    <w:rsid w:val="337A33FA"/>
    <w:rsid w:val="337E618E"/>
    <w:rsid w:val="3380628F"/>
    <w:rsid w:val="33815FB1"/>
    <w:rsid w:val="33826FE3"/>
    <w:rsid w:val="33865FD3"/>
    <w:rsid w:val="33866CE5"/>
    <w:rsid w:val="338673F1"/>
    <w:rsid w:val="33941B0E"/>
    <w:rsid w:val="339935C8"/>
    <w:rsid w:val="339A23C4"/>
    <w:rsid w:val="339B7340"/>
    <w:rsid w:val="339D632C"/>
    <w:rsid w:val="339E473B"/>
    <w:rsid w:val="33A97FAC"/>
    <w:rsid w:val="33AC4553"/>
    <w:rsid w:val="33AE49A5"/>
    <w:rsid w:val="33B201E6"/>
    <w:rsid w:val="33B358EC"/>
    <w:rsid w:val="33B65F28"/>
    <w:rsid w:val="33BE4DDD"/>
    <w:rsid w:val="33C24848"/>
    <w:rsid w:val="33CE08B3"/>
    <w:rsid w:val="33CF7183"/>
    <w:rsid w:val="33DE547F"/>
    <w:rsid w:val="33E228F6"/>
    <w:rsid w:val="33E6069A"/>
    <w:rsid w:val="33E859FB"/>
    <w:rsid w:val="33EC7B9C"/>
    <w:rsid w:val="33F346E4"/>
    <w:rsid w:val="33F467B9"/>
    <w:rsid w:val="34015F18"/>
    <w:rsid w:val="340D55B0"/>
    <w:rsid w:val="340F5638"/>
    <w:rsid w:val="34190550"/>
    <w:rsid w:val="34194752"/>
    <w:rsid w:val="34257523"/>
    <w:rsid w:val="342621D6"/>
    <w:rsid w:val="3428011B"/>
    <w:rsid w:val="34287D61"/>
    <w:rsid w:val="342B3036"/>
    <w:rsid w:val="342F3F68"/>
    <w:rsid w:val="34346E4D"/>
    <w:rsid w:val="343D21A6"/>
    <w:rsid w:val="343D5C7F"/>
    <w:rsid w:val="34423FB5"/>
    <w:rsid w:val="34473B97"/>
    <w:rsid w:val="344C3E5A"/>
    <w:rsid w:val="3454129D"/>
    <w:rsid w:val="345C3DF9"/>
    <w:rsid w:val="345C7A84"/>
    <w:rsid w:val="346239BA"/>
    <w:rsid w:val="346F6906"/>
    <w:rsid w:val="34733E19"/>
    <w:rsid w:val="3476267E"/>
    <w:rsid w:val="34774905"/>
    <w:rsid w:val="34785C23"/>
    <w:rsid w:val="34796E3E"/>
    <w:rsid w:val="347D2504"/>
    <w:rsid w:val="349546EC"/>
    <w:rsid w:val="349667E8"/>
    <w:rsid w:val="349A13DC"/>
    <w:rsid w:val="34A264AC"/>
    <w:rsid w:val="34A33E96"/>
    <w:rsid w:val="34A915E9"/>
    <w:rsid w:val="34AA183F"/>
    <w:rsid w:val="34B23166"/>
    <w:rsid w:val="34B26C28"/>
    <w:rsid w:val="34BD12EE"/>
    <w:rsid w:val="34BF36B7"/>
    <w:rsid w:val="34CA77B1"/>
    <w:rsid w:val="34CB4CB1"/>
    <w:rsid w:val="34CE0799"/>
    <w:rsid w:val="34D141EC"/>
    <w:rsid w:val="34D348B8"/>
    <w:rsid w:val="34D83C7C"/>
    <w:rsid w:val="34D953FE"/>
    <w:rsid w:val="34DC00EE"/>
    <w:rsid w:val="34E2166F"/>
    <w:rsid w:val="34EB7E53"/>
    <w:rsid w:val="34EC46E4"/>
    <w:rsid w:val="34EF0FC6"/>
    <w:rsid w:val="34F76961"/>
    <w:rsid w:val="34FA6AA7"/>
    <w:rsid w:val="34FE7F08"/>
    <w:rsid w:val="350079AE"/>
    <w:rsid w:val="3507480E"/>
    <w:rsid w:val="35092088"/>
    <w:rsid w:val="350C1B78"/>
    <w:rsid w:val="350D1162"/>
    <w:rsid w:val="350E2477"/>
    <w:rsid w:val="3510536B"/>
    <w:rsid w:val="351E7809"/>
    <w:rsid w:val="351F5D4F"/>
    <w:rsid w:val="352670DE"/>
    <w:rsid w:val="352C1166"/>
    <w:rsid w:val="352F5ECF"/>
    <w:rsid w:val="35381B08"/>
    <w:rsid w:val="353E1058"/>
    <w:rsid w:val="353F3CFB"/>
    <w:rsid w:val="353F5293"/>
    <w:rsid w:val="354B6B44"/>
    <w:rsid w:val="354D71E1"/>
    <w:rsid w:val="354E03E2"/>
    <w:rsid w:val="354E480C"/>
    <w:rsid w:val="354E6316"/>
    <w:rsid w:val="355359F9"/>
    <w:rsid w:val="35542FC1"/>
    <w:rsid w:val="35586B6B"/>
    <w:rsid w:val="355A0B35"/>
    <w:rsid w:val="35683252"/>
    <w:rsid w:val="356B4AF0"/>
    <w:rsid w:val="35795F9A"/>
    <w:rsid w:val="357A11D7"/>
    <w:rsid w:val="357C0AAC"/>
    <w:rsid w:val="357C4F4F"/>
    <w:rsid w:val="357D4824"/>
    <w:rsid w:val="357D4E92"/>
    <w:rsid w:val="357E74CF"/>
    <w:rsid w:val="358406BC"/>
    <w:rsid w:val="35847960"/>
    <w:rsid w:val="358509A2"/>
    <w:rsid w:val="35887450"/>
    <w:rsid w:val="35895269"/>
    <w:rsid w:val="358F7441"/>
    <w:rsid w:val="359027A9"/>
    <w:rsid w:val="35904557"/>
    <w:rsid w:val="359C114E"/>
    <w:rsid w:val="35A46254"/>
    <w:rsid w:val="35A9287E"/>
    <w:rsid w:val="35AB6E2A"/>
    <w:rsid w:val="35AF0CCF"/>
    <w:rsid w:val="35B71A02"/>
    <w:rsid w:val="35C55928"/>
    <w:rsid w:val="35CB1DC6"/>
    <w:rsid w:val="35CB6138"/>
    <w:rsid w:val="35CD5874"/>
    <w:rsid w:val="35CE1845"/>
    <w:rsid w:val="35D14E2B"/>
    <w:rsid w:val="35D41C7A"/>
    <w:rsid w:val="35D752F5"/>
    <w:rsid w:val="35DE1766"/>
    <w:rsid w:val="35E52AF5"/>
    <w:rsid w:val="35E60C99"/>
    <w:rsid w:val="35E761B2"/>
    <w:rsid w:val="35E771E5"/>
    <w:rsid w:val="35E86089"/>
    <w:rsid w:val="35EB7301"/>
    <w:rsid w:val="35EF0B5E"/>
    <w:rsid w:val="35F12448"/>
    <w:rsid w:val="35F2186B"/>
    <w:rsid w:val="35F21F63"/>
    <w:rsid w:val="35F5085E"/>
    <w:rsid w:val="35F51433"/>
    <w:rsid w:val="35F926A9"/>
    <w:rsid w:val="35FD68CD"/>
    <w:rsid w:val="35FF348B"/>
    <w:rsid w:val="36040DAE"/>
    <w:rsid w:val="360B0081"/>
    <w:rsid w:val="360E5559"/>
    <w:rsid w:val="360F36CE"/>
    <w:rsid w:val="36146F36"/>
    <w:rsid w:val="361A7603"/>
    <w:rsid w:val="362731B1"/>
    <w:rsid w:val="36274EBB"/>
    <w:rsid w:val="362F5B1E"/>
    <w:rsid w:val="36371555"/>
    <w:rsid w:val="363B0967"/>
    <w:rsid w:val="363C39C3"/>
    <w:rsid w:val="363D08FD"/>
    <w:rsid w:val="36405F7D"/>
    <w:rsid w:val="364354EB"/>
    <w:rsid w:val="3644385B"/>
    <w:rsid w:val="364B0E82"/>
    <w:rsid w:val="36511807"/>
    <w:rsid w:val="36515EF2"/>
    <w:rsid w:val="36525115"/>
    <w:rsid w:val="36527A5E"/>
    <w:rsid w:val="36686127"/>
    <w:rsid w:val="366879F9"/>
    <w:rsid w:val="366C695B"/>
    <w:rsid w:val="366F6862"/>
    <w:rsid w:val="36722213"/>
    <w:rsid w:val="36735375"/>
    <w:rsid w:val="367758CC"/>
    <w:rsid w:val="36820344"/>
    <w:rsid w:val="36843B5B"/>
    <w:rsid w:val="368625D0"/>
    <w:rsid w:val="3690766E"/>
    <w:rsid w:val="36922AFB"/>
    <w:rsid w:val="36971881"/>
    <w:rsid w:val="3698431C"/>
    <w:rsid w:val="369F55EC"/>
    <w:rsid w:val="36A02420"/>
    <w:rsid w:val="36A6459A"/>
    <w:rsid w:val="36A93D26"/>
    <w:rsid w:val="36AB6127"/>
    <w:rsid w:val="36AD48AB"/>
    <w:rsid w:val="36AF4071"/>
    <w:rsid w:val="36B971F0"/>
    <w:rsid w:val="36BD5820"/>
    <w:rsid w:val="36C26992"/>
    <w:rsid w:val="36C3270A"/>
    <w:rsid w:val="36C4095C"/>
    <w:rsid w:val="36C77801"/>
    <w:rsid w:val="36CA1CEB"/>
    <w:rsid w:val="36CD09D6"/>
    <w:rsid w:val="36D06FC0"/>
    <w:rsid w:val="36D24131"/>
    <w:rsid w:val="36D2707C"/>
    <w:rsid w:val="36D6068F"/>
    <w:rsid w:val="36DB5241"/>
    <w:rsid w:val="36DE4EF6"/>
    <w:rsid w:val="36DE7D5F"/>
    <w:rsid w:val="36E00EB4"/>
    <w:rsid w:val="36F56A14"/>
    <w:rsid w:val="36F56D67"/>
    <w:rsid w:val="36FE4136"/>
    <w:rsid w:val="37070849"/>
    <w:rsid w:val="370C40B1"/>
    <w:rsid w:val="370E7E29"/>
    <w:rsid w:val="371804FC"/>
    <w:rsid w:val="3719363B"/>
    <w:rsid w:val="371A6D71"/>
    <w:rsid w:val="371E0721"/>
    <w:rsid w:val="37265EF2"/>
    <w:rsid w:val="372723A4"/>
    <w:rsid w:val="372B2789"/>
    <w:rsid w:val="372E1214"/>
    <w:rsid w:val="372E4027"/>
    <w:rsid w:val="373158C6"/>
    <w:rsid w:val="37335379"/>
    <w:rsid w:val="37384EA6"/>
    <w:rsid w:val="373D21FA"/>
    <w:rsid w:val="373F4BB9"/>
    <w:rsid w:val="37403D5B"/>
    <w:rsid w:val="37465815"/>
    <w:rsid w:val="37476E97"/>
    <w:rsid w:val="374B4BD9"/>
    <w:rsid w:val="37515F68"/>
    <w:rsid w:val="37546E9C"/>
    <w:rsid w:val="375F0DC0"/>
    <w:rsid w:val="375F683B"/>
    <w:rsid w:val="37611256"/>
    <w:rsid w:val="37677539"/>
    <w:rsid w:val="37682F77"/>
    <w:rsid w:val="37691888"/>
    <w:rsid w:val="376A0BB3"/>
    <w:rsid w:val="376C2494"/>
    <w:rsid w:val="376D649D"/>
    <w:rsid w:val="377027E6"/>
    <w:rsid w:val="377144CF"/>
    <w:rsid w:val="37726799"/>
    <w:rsid w:val="377305CB"/>
    <w:rsid w:val="377B3508"/>
    <w:rsid w:val="37863E63"/>
    <w:rsid w:val="378D2E28"/>
    <w:rsid w:val="37906A90"/>
    <w:rsid w:val="37912FA5"/>
    <w:rsid w:val="37A8186B"/>
    <w:rsid w:val="37AD64B4"/>
    <w:rsid w:val="37B235CF"/>
    <w:rsid w:val="37B26A07"/>
    <w:rsid w:val="37BC4986"/>
    <w:rsid w:val="37BD7175"/>
    <w:rsid w:val="37C37AE8"/>
    <w:rsid w:val="37C8622A"/>
    <w:rsid w:val="37C91FA2"/>
    <w:rsid w:val="37CD6CDE"/>
    <w:rsid w:val="37CE7833"/>
    <w:rsid w:val="37D153CC"/>
    <w:rsid w:val="37D346BE"/>
    <w:rsid w:val="37D3711C"/>
    <w:rsid w:val="37D44BCF"/>
    <w:rsid w:val="37D70776"/>
    <w:rsid w:val="37DD7393"/>
    <w:rsid w:val="37DE7260"/>
    <w:rsid w:val="37E70D68"/>
    <w:rsid w:val="37ED3F45"/>
    <w:rsid w:val="37F8123A"/>
    <w:rsid w:val="37FC4126"/>
    <w:rsid w:val="380172BF"/>
    <w:rsid w:val="380275A0"/>
    <w:rsid w:val="38042381"/>
    <w:rsid w:val="38042738"/>
    <w:rsid w:val="38060B46"/>
    <w:rsid w:val="380A4A95"/>
    <w:rsid w:val="381662DB"/>
    <w:rsid w:val="38241E1F"/>
    <w:rsid w:val="382A0D6E"/>
    <w:rsid w:val="382B13FF"/>
    <w:rsid w:val="382D5EA4"/>
    <w:rsid w:val="38396360"/>
    <w:rsid w:val="383A1372"/>
    <w:rsid w:val="383B61E5"/>
    <w:rsid w:val="38445307"/>
    <w:rsid w:val="384B6FB2"/>
    <w:rsid w:val="385F733C"/>
    <w:rsid w:val="386046B4"/>
    <w:rsid w:val="386121DB"/>
    <w:rsid w:val="386B79E8"/>
    <w:rsid w:val="386D6DD1"/>
    <w:rsid w:val="3871397F"/>
    <w:rsid w:val="3872263A"/>
    <w:rsid w:val="38735A0D"/>
    <w:rsid w:val="38763ED8"/>
    <w:rsid w:val="387719FE"/>
    <w:rsid w:val="387B6F5F"/>
    <w:rsid w:val="387C5807"/>
    <w:rsid w:val="388847A3"/>
    <w:rsid w:val="388C7258"/>
    <w:rsid w:val="38966EF4"/>
    <w:rsid w:val="38972A1A"/>
    <w:rsid w:val="389C4B94"/>
    <w:rsid w:val="38A21F90"/>
    <w:rsid w:val="38A55C36"/>
    <w:rsid w:val="38A63FD8"/>
    <w:rsid w:val="38A66EF8"/>
    <w:rsid w:val="38A94778"/>
    <w:rsid w:val="38AA1DD4"/>
    <w:rsid w:val="38B2429A"/>
    <w:rsid w:val="38B24D80"/>
    <w:rsid w:val="38B66326"/>
    <w:rsid w:val="38B66BF6"/>
    <w:rsid w:val="38BD055B"/>
    <w:rsid w:val="38BD497D"/>
    <w:rsid w:val="38C10213"/>
    <w:rsid w:val="38C31FA2"/>
    <w:rsid w:val="38C70290"/>
    <w:rsid w:val="38CB7836"/>
    <w:rsid w:val="38CC354C"/>
    <w:rsid w:val="38CD0656"/>
    <w:rsid w:val="38D766AF"/>
    <w:rsid w:val="38DB01DF"/>
    <w:rsid w:val="38DE1943"/>
    <w:rsid w:val="38E52E0C"/>
    <w:rsid w:val="38EB3448"/>
    <w:rsid w:val="38F22ED9"/>
    <w:rsid w:val="38F45D6D"/>
    <w:rsid w:val="39064886"/>
    <w:rsid w:val="390F0203"/>
    <w:rsid w:val="39124562"/>
    <w:rsid w:val="39145220"/>
    <w:rsid w:val="391C3A97"/>
    <w:rsid w:val="39202096"/>
    <w:rsid w:val="39207081"/>
    <w:rsid w:val="392345A2"/>
    <w:rsid w:val="39250D5F"/>
    <w:rsid w:val="3925109E"/>
    <w:rsid w:val="39261D94"/>
    <w:rsid w:val="3930052B"/>
    <w:rsid w:val="39317E0D"/>
    <w:rsid w:val="39320B25"/>
    <w:rsid w:val="393711B4"/>
    <w:rsid w:val="393A5A2D"/>
    <w:rsid w:val="393C6ED0"/>
    <w:rsid w:val="39407969"/>
    <w:rsid w:val="39445D84"/>
    <w:rsid w:val="39477622"/>
    <w:rsid w:val="395158CA"/>
    <w:rsid w:val="395352BA"/>
    <w:rsid w:val="39557F91"/>
    <w:rsid w:val="39565AB7"/>
    <w:rsid w:val="395F671A"/>
    <w:rsid w:val="39606D4A"/>
    <w:rsid w:val="39616987"/>
    <w:rsid w:val="396748B6"/>
    <w:rsid w:val="396C0E37"/>
    <w:rsid w:val="39797687"/>
    <w:rsid w:val="398268AC"/>
    <w:rsid w:val="39846181"/>
    <w:rsid w:val="3985257E"/>
    <w:rsid w:val="3991089E"/>
    <w:rsid w:val="39A46823"/>
    <w:rsid w:val="39A62BE5"/>
    <w:rsid w:val="39AC7442"/>
    <w:rsid w:val="39AE31FE"/>
    <w:rsid w:val="39BE4203"/>
    <w:rsid w:val="39C40C73"/>
    <w:rsid w:val="39D105FF"/>
    <w:rsid w:val="39D418EC"/>
    <w:rsid w:val="39D553CC"/>
    <w:rsid w:val="39DD3AE3"/>
    <w:rsid w:val="39E15381"/>
    <w:rsid w:val="39E46F19"/>
    <w:rsid w:val="39E66E3B"/>
    <w:rsid w:val="39E9692C"/>
    <w:rsid w:val="39ED1F78"/>
    <w:rsid w:val="39EF3F42"/>
    <w:rsid w:val="39EF4A71"/>
    <w:rsid w:val="39F151A2"/>
    <w:rsid w:val="39FC21BB"/>
    <w:rsid w:val="39FC2E1D"/>
    <w:rsid w:val="3A00614F"/>
    <w:rsid w:val="3A0952EC"/>
    <w:rsid w:val="3A0E68A5"/>
    <w:rsid w:val="3A0E7264"/>
    <w:rsid w:val="3A13029B"/>
    <w:rsid w:val="3A183E1A"/>
    <w:rsid w:val="3A1F234D"/>
    <w:rsid w:val="3A227A5C"/>
    <w:rsid w:val="3A277620"/>
    <w:rsid w:val="3A287454"/>
    <w:rsid w:val="3A296D28"/>
    <w:rsid w:val="3A2A6ADD"/>
    <w:rsid w:val="3A2B04B3"/>
    <w:rsid w:val="3A3146AF"/>
    <w:rsid w:val="3A3421CA"/>
    <w:rsid w:val="3A3A1A98"/>
    <w:rsid w:val="3A3C2EFF"/>
    <w:rsid w:val="3A3E254E"/>
    <w:rsid w:val="3A4122C4"/>
    <w:rsid w:val="3A443B62"/>
    <w:rsid w:val="3A4D2153"/>
    <w:rsid w:val="3A5704AD"/>
    <w:rsid w:val="3A592AEE"/>
    <w:rsid w:val="3A5C0EAC"/>
    <w:rsid w:val="3A5F2C85"/>
    <w:rsid w:val="3A62672A"/>
    <w:rsid w:val="3A6F5083"/>
    <w:rsid w:val="3A7B57D6"/>
    <w:rsid w:val="3A7D77A0"/>
    <w:rsid w:val="3A850402"/>
    <w:rsid w:val="3A904EB2"/>
    <w:rsid w:val="3A935C38"/>
    <w:rsid w:val="3A961FD8"/>
    <w:rsid w:val="3AA75337"/>
    <w:rsid w:val="3AB07831"/>
    <w:rsid w:val="3AB42A96"/>
    <w:rsid w:val="3AB52E4A"/>
    <w:rsid w:val="3AB8326A"/>
    <w:rsid w:val="3AC0207C"/>
    <w:rsid w:val="3AC145EF"/>
    <w:rsid w:val="3AC15D5C"/>
    <w:rsid w:val="3AC32A70"/>
    <w:rsid w:val="3AC815D2"/>
    <w:rsid w:val="3ACD11F3"/>
    <w:rsid w:val="3AD13648"/>
    <w:rsid w:val="3AD43138"/>
    <w:rsid w:val="3AD46C94"/>
    <w:rsid w:val="3AD81B72"/>
    <w:rsid w:val="3AD969A0"/>
    <w:rsid w:val="3AF570B5"/>
    <w:rsid w:val="3AF62266"/>
    <w:rsid w:val="3AF7062E"/>
    <w:rsid w:val="3AF867D0"/>
    <w:rsid w:val="3AF86E26"/>
    <w:rsid w:val="3AFE46B9"/>
    <w:rsid w:val="3AFF0C4B"/>
    <w:rsid w:val="3B005CDB"/>
    <w:rsid w:val="3B036F16"/>
    <w:rsid w:val="3B043A1D"/>
    <w:rsid w:val="3B0E03F8"/>
    <w:rsid w:val="3B131480"/>
    <w:rsid w:val="3B157627"/>
    <w:rsid w:val="3B170CE9"/>
    <w:rsid w:val="3B1A444F"/>
    <w:rsid w:val="3B1E40FD"/>
    <w:rsid w:val="3B21297F"/>
    <w:rsid w:val="3B220A19"/>
    <w:rsid w:val="3B240107"/>
    <w:rsid w:val="3B277A4D"/>
    <w:rsid w:val="3B283A90"/>
    <w:rsid w:val="3B332286"/>
    <w:rsid w:val="3B3A743F"/>
    <w:rsid w:val="3B3D284E"/>
    <w:rsid w:val="3B3F4A55"/>
    <w:rsid w:val="3B471B5C"/>
    <w:rsid w:val="3B4B164C"/>
    <w:rsid w:val="3B4C0199"/>
    <w:rsid w:val="3B530501"/>
    <w:rsid w:val="3B5672A6"/>
    <w:rsid w:val="3B574A90"/>
    <w:rsid w:val="3B5F5A81"/>
    <w:rsid w:val="3B6149AE"/>
    <w:rsid w:val="3B665CD7"/>
    <w:rsid w:val="3B6743D6"/>
    <w:rsid w:val="3B6B3A9C"/>
    <w:rsid w:val="3B6F2888"/>
    <w:rsid w:val="3B742225"/>
    <w:rsid w:val="3B7A25EC"/>
    <w:rsid w:val="3B842468"/>
    <w:rsid w:val="3B881B73"/>
    <w:rsid w:val="3B8F2D63"/>
    <w:rsid w:val="3B9308FD"/>
    <w:rsid w:val="3B945E96"/>
    <w:rsid w:val="3B983664"/>
    <w:rsid w:val="3B9B5A04"/>
    <w:rsid w:val="3B9D5C20"/>
    <w:rsid w:val="3B9E1B06"/>
    <w:rsid w:val="3BA142AF"/>
    <w:rsid w:val="3BA24FE4"/>
    <w:rsid w:val="3BA45420"/>
    <w:rsid w:val="3BA6736E"/>
    <w:rsid w:val="3BA725FA"/>
    <w:rsid w:val="3BA820D2"/>
    <w:rsid w:val="3BA96105"/>
    <w:rsid w:val="3BAA600C"/>
    <w:rsid w:val="3BAF452C"/>
    <w:rsid w:val="3BBB21DF"/>
    <w:rsid w:val="3BBC60A6"/>
    <w:rsid w:val="3BC4233C"/>
    <w:rsid w:val="3BCB0097"/>
    <w:rsid w:val="3BCF03F9"/>
    <w:rsid w:val="3BD72251"/>
    <w:rsid w:val="3BD74C1C"/>
    <w:rsid w:val="3BDB4052"/>
    <w:rsid w:val="3BDC3800"/>
    <w:rsid w:val="3BDF53A3"/>
    <w:rsid w:val="3BDF7FE6"/>
    <w:rsid w:val="3BF4583A"/>
    <w:rsid w:val="3BF50C01"/>
    <w:rsid w:val="3BF70E8C"/>
    <w:rsid w:val="3BFA097C"/>
    <w:rsid w:val="3BFA12B5"/>
    <w:rsid w:val="3BFE4738"/>
    <w:rsid w:val="3C0342A5"/>
    <w:rsid w:val="3C095063"/>
    <w:rsid w:val="3C095A76"/>
    <w:rsid w:val="3C0D4B53"/>
    <w:rsid w:val="3C112054"/>
    <w:rsid w:val="3C115FD8"/>
    <w:rsid w:val="3C1A60F6"/>
    <w:rsid w:val="3C1F4887"/>
    <w:rsid w:val="3C272561"/>
    <w:rsid w:val="3C3025F0"/>
    <w:rsid w:val="3C3A7EC9"/>
    <w:rsid w:val="3C3C1437"/>
    <w:rsid w:val="3C3C4736"/>
    <w:rsid w:val="3C3D2B84"/>
    <w:rsid w:val="3C3D6ABB"/>
    <w:rsid w:val="3C3D7D3D"/>
    <w:rsid w:val="3C4252D5"/>
    <w:rsid w:val="3C426033"/>
    <w:rsid w:val="3C435A56"/>
    <w:rsid w:val="3C4439AE"/>
    <w:rsid w:val="3C4C3631"/>
    <w:rsid w:val="3C5462DE"/>
    <w:rsid w:val="3C574020"/>
    <w:rsid w:val="3C5A58BF"/>
    <w:rsid w:val="3C5E1441"/>
    <w:rsid w:val="3C5F2ED5"/>
    <w:rsid w:val="3C687555"/>
    <w:rsid w:val="3C6A5B02"/>
    <w:rsid w:val="3C720E5A"/>
    <w:rsid w:val="3C7626F9"/>
    <w:rsid w:val="3C767F49"/>
    <w:rsid w:val="3C826EC5"/>
    <w:rsid w:val="3C841586"/>
    <w:rsid w:val="3C854417"/>
    <w:rsid w:val="3C87312E"/>
    <w:rsid w:val="3C8C45A8"/>
    <w:rsid w:val="3C90308E"/>
    <w:rsid w:val="3C920BB5"/>
    <w:rsid w:val="3C987AB3"/>
    <w:rsid w:val="3CAC611A"/>
    <w:rsid w:val="3CB03703"/>
    <w:rsid w:val="3CB23C16"/>
    <w:rsid w:val="3CB72D11"/>
    <w:rsid w:val="3CBB45AF"/>
    <w:rsid w:val="3CBC163B"/>
    <w:rsid w:val="3CBE2671"/>
    <w:rsid w:val="3CC05722"/>
    <w:rsid w:val="3CC124F9"/>
    <w:rsid w:val="3CC33464"/>
    <w:rsid w:val="3CCB40C7"/>
    <w:rsid w:val="3CD702DB"/>
    <w:rsid w:val="3CD967E3"/>
    <w:rsid w:val="3CDA31EE"/>
    <w:rsid w:val="3CDE1D1F"/>
    <w:rsid w:val="3CDF2025"/>
    <w:rsid w:val="3CE34259"/>
    <w:rsid w:val="3CE714C4"/>
    <w:rsid w:val="3CEC749E"/>
    <w:rsid w:val="3CEF24AB"/>
    <w:rsid w:val="3CF95669"/>
    <w:rsid w:val="3CFC6895"/>
    <w:rsid w:val="3D0C4039"/>
    <w:rsid w:val="3D112421"/>
    <w:rsid w:val="3D1337BE"/>
    <w:rsid w:val="3D1B6DFC"/>
    <w:rsid w:val="3D1D0094"/>
    <w:rsid w:val="3D233F03"/>
    <w:rsid w:val="3D255ECD"/>
    <w:rsid w:val="3D257430"/>
    <w:rsid w:val="3D2D5DDA"/>
    <w:rsid w:val="3D332398"/>
    <w:rsid w:val="3D343AFA"/>
    <w:rsid w:val="3D380669"/>
    <w:rsid w:val="3D3A1978"/>
    <w:rsid w:val="3D402009"/>
    <w:rsid w:val="3D404E58"/>
    <w:rsid w:val="3D406863"/>
    <w:rsid w:val="3D422326"/>
    <w:rsid w:val="3D5B4BE5"/>
    <w:rsid w:val="3D671F80"/>
    <w:rsid w:val="3D690F7A"/>
    <w:rsid w:val="3D6A3C59"/>
    <w:rsid w:val="3D7B789B"/>
    <w:rsid w:val="3D7C3859"/>
    <w:rsid w:val="3D7D1865"/>
    <w:rsid w:val="3D801355"/>
    <w:rsid w:val="3D861353"/>
    <w:rsid w:val="3D864BBD"/>
    <w:rsid w:val="3D882E4A"/>
    <w:rsid w:val="3D945645"/>
    <w:rsid w:val="3D986225"/>
    <w:rsid w:val="3DA346B2"/>
    <w:rsid w:val="3DAF55C0"/>
    <w:rsid w:val="3DB334D8"/>
    <w:rsid w:val="3DCA702E"/>
    <w:rsid w:val="3DCD427E"/>
    <w:rsid w:val="3DD00C5F"/>
    <w:rsid w:val="3DD208E4"/>
    <w:rsid w:val="3DD8115C"/>
    <w:rsid w:val="3DE73296"/>
    <w:rsid w:val="3DE82B29"/>
    <w:rsid w:val="3DEA4783"/>
    <w:rsid w:val="3DEE6A01"/>
    <w:rsid w:val="3DEF5475"/>
    <w:rsid w:val="3DF00B18"/>
    <w:rsid w:val="3DF571AA"/>
    <w:rsid w:val="3DFB3A62"/>
    <w:rsid w:val="3DFF227A"/>
    <w:rsid w:val="3E00728F"/>
    <w:rsid w:val="3E01770A"/>
    <w:rsid w:val="3E09759C"/>
    <w:rsid w:val="3E0E2682"/>
    <w:rsid w:val="3E0F2DA3"/>
    <w:rsid w:val="3E180506"/>
    <w:rsid w:val="3E1D6BA4"/>
    <w:rsid w:val="3E1F46CA"/>
    <w:rsid w:val="3E214D79"/>
    <w:rsid w:val="3E231423"/>
    <w:rsid w:val="3E235EC1"/>
    <w:rsid w:val="3E2A3F4B"/>
    <w:rsid w:val="3E2B496C"/>
    <w:rsid w:val="3E2B6E72"/>
    <w:rsid w:val="3E321BC6"/>
    <w:rsid w:val="3E346794"/>
    <w:rsid w:val="3E350391"/>
    <w:rsid w:val="3E367E78"/>
    <w:rsid w:val="3E39199F"/>
    <w:rsid w:val="3E3D7512"/>
    <w:rsid w:val="3E405B07"/>
    <w:rsid w:val="3E416D36"/>
    <w:rsid w:val="3E43485C"/>
    <w:rsid w:val="3E46456B"/>
    <w:rsid w:val="3E483C21"/>
    <w:rsid w:val="3E5161C3"/>
    <w:rsid w:val="3E573E64"/>
    <w:rsid w:val="3E590E0F"/>
    <w:rsid w:val="3E5C6018"/>
    <w:rsid w:val="3E611186"/>
    <w:rsid w:val="3E6E6CED"/>
    <w:rsid w:val="3E732C75"/>
    <w:rsid w:val="3E7762B4"/>
    <w:rsid w:val="3E7964D0"/>
    <w:rsid w:val="3E7E5894"/>
    <w:rsid w:val="3E8310FD"/>
    <w:rsid w:val="3E8B1D5F"/>
    <w:rsid w:val="3E8D168B"/>
    <w:rsid w:val="3E8F18F5"/>
    <w:rsid w:val="3E8F219A"/>
    <w:rsid w:val="3E9519EC"/>
    <w:rsid w:val="3EA30FF1"/>
    <w:rsid w:val="3EA44428"/>
    <w:rsid w:val="3EA80B63"/>
    <w:rsid w:val="3EAB0B4A"/>
    <w:rsid w:val="3EAC6050"/>
    <w:rsid w:val="3EAE1EA8"/>
    <w:rsid w:val="3EB0596A"/>
    <w:rsid w:val="3EB51937"/>
    <w:rsid w:val="3EB72B54"/>
    <w:rsid w:val="3EB969B5"/>
    <w:rsid w:val="3EBB5DF9"/>
    <w:rsid w:val="3EC6723B"/>
    <w:rsid w:val="3EC75D1A"/>
    <w:rsid w:val="3EC82FB3"/>
    <w:rsid w:val="3ECF1E9F"/>
    <w:rsid w:val="3ED003C0"/>
    <w:rsid w:val="3ED2462F"/>
    <w:rsid w:val="3ED851A3"/>
    <w:rsid w:val="3ED912BB"/>
    <w:rsid w:val="3EE871B2"/>
    <w:rsid w:val="3EE87291"/>
    <w:rsid w:val="3EE94258"/>
    <w:rsid w:val="3EEB4C3D"/>
    <w:rsid w:val="3EEC6E82"/>
    <w:rsid w:val="3EED47C8"/>
    <w:rsid w:val="3EEE3759"/>
    <w:rsid w:val="3EF961F3"/>
    <w:rsid w:val="3F0264C5"/>
    <w:rsid w:val="3F0F7E87"/>
    <w:rsid w:val="3F142EA9"/>
    <w:rsid w:val="3F15699D"/>
    <w:rsid w:val="3F2064BE"/>
    <w:rsid w:val="3F2301EA"/>
    <w:rsid w:val="3F235331"/>
    <w:rsid w:val="3F255D10"/>
    <w:rsid w:val="3F28657F"/>
    <w:rsid w:val="3F29533B"/>
    <w:rsid w:val="3F2A4843"/>
    <w:rsid w:val="3F2D72BA"/>
    <w:rsid w:val="3F2F3033"/>
    <w:rsid w:val="3F340649"/>
    <w:rsid w:val="3F35027E"/>
    <w:rsid w:val="3F3B5C53"/>
    <w:rsid w:val="3F3C7AAF"/>
    <w:rsid w:val="3F3D5750"/>
    <w:rsid w:val="3F3E3A12"/>
    <w:rsid w:val="3F430AF8"/>
    <w:rsid w:val="3F4324CF"/>
    <w:rsid w:val="3F46487E"/>
    <w:rsid w:val="3F467683"/>
    <w:rsid w:val="3F48420B"/>
    <w:rsid w:val="3F4E50D7"/>
    <w:rsid w:val="3F537340"/>
    <w:rsid w:val="3F5929C1"/>
    <w:rsid w:val="3F5A310A"/>
    <w:rsid w:val="3F746C97"/>
    <w:rsid w:val="3F7E49C1"/>
    <w:rsid w:val="3F7F09E9"/>
    <w:rsid w:val="3F854A01"/>
    <w:rsid w:val="3F8C571A"/>
    <w:rsid w:val="3F8D10A2"/>
    <w:rsid w:val="3F9133A5"/>
    <w:rsid w:val="3F9157CE"/>
    <w:rsid w:val="3F96562B"/>
    <w:rsid w:val="3F9A3B2D"/>
    <w:rsid w:val="3F9A42C5"/>
    <w:rsid w:val="3F9B6610"/>
    <w:rsid w:val="3F9E5AC2"/>
    <w:rsid w:val="3FA4727D"/>
    <w:rsid w:val="3FB00B3D"/>
    <w:rsid w:val="3FB020B3"/>
    <w:rsid w:val="3FB05F21"/>
    <w:rsid w:val="3FBC6A90"/>
    <w:rsid w:val="3FBF15B5"/>
    <w:rsid w:val="3FBF43B6"/>
    <w:rsid w:val="3FC512A1"/>
    <w:rsid w:val="3FCA62F7"/>
    <w:rsid w:val="3FD84670"/>
    <w:rsid w:val="3FD87788"/>
    <w:rsid w:val="3FDD65EB"/>
    <w:rsid w:val="3FDE50E7"/>
    <w:rsid w:val="3FE20F21"/>
    <w:rsid w:val="3FE253B4"/>
    <w:rsid w:val="3FE26F6C"/>
    <w:rsid w:val="3FE52D73"/>
    <w:rsid w:val="3FEC4198"/>
    <w:rsid w:val="3FF1653A"/>
    <w:rsid w:val="3FF448E9"/>
    <w:rsid w:val="3FF57DD8"/>
    <w:rsid w:val="3FF776E4"/>
    <w:rsid w:val="3FFD6785"/>
    <w:rsid w:val="3FFE3893"/>
    <w:rsid w:val="40035A82"/>
    <w:rsid w:val="40055B41"/>
    <w:rsid w:val="40067ABB"/>
    <w:rsid w:val="400E7F16"/>
    <w:rsid w:val="40115193"/>
    <w:rsid w:val="40125DBD"/>
    <w:rsid w:val="40131A21"/>
    <w:rsid w:val="401341D8"/>
    <w:rsid w:val="4013586F"/>
    <w:rsid w:val="40146526"/>
    <w:rsid w:val="40152228"/>
    <w:rsid w:val="40167D4F"/>
    <w:rsid w:val="40182884"/>
    <w:rsid w:val="401D7058"/>
    <w:rsid w:val="40224945"/>
    <w:rsid w:val="4024421A"/>
    <w:rsid w:val="40262677"/>
    <w:rsid w:val="402A7C84"/>
    <w:rsid w:val="402E2B75"/>
    <w:rsid w:val="40330901"/>
    <w:rsid w:val="4034481B"/>
    <w:rsid w:val="40354679"/>
    <w:rsid w:val="40402324"/>
    <w:rsid w:val="40402796"/>
    <w:rsid w:val="404426A5"/>
    <w:rsid w:val="40454B26"/>
    <w:rsid w:val="404776D8"/>
    <w:rsid w:val="40493294"/>
    <w:rsid w:val="404D5C52"/>
    <w:rsid w:val="404F5ABB"/>
    <w:rsid w:val="405A7A72"/>
    <w:rsid w:val="405B098F"/>
    <w:rsid w:val="405F289D"/>
    <w:rsid w:val="40610FCA"/>
    <w:rsid w:val="406805AA"/>
    <w:rsid w:val="406960D0"/>
    <w:rsid w:val="406B38AD"/>
    <w:rsid w:val="406F68CD"/>
    <w:rsid w:val="40783AE8"/>
    <w:rsid w:val="407C1B71"/>
    <w:rsid w:val="40801440"/>
    <w:rsid w:val="40836EE2"/>
    <w:rsid w:val="40864ED4"/>
    <w:rsid w:val="408C7DCF"/>
    <w:rsid w:val="408D0565"/>
    <w:rsid w:val="40AB0497"/>
    <w:rsid w:val="40B051F3"/>
    <w:rsid w:val="40B4006F"/>
    <w:rsid w:val="40C126B5"/>
    <w:rsid w:val="40C652D1"/>
    <w:rsid w:val="40EC27D7"/>
    <w:rsid w:val="40FB5066"/>
    <w:rsid w:val="40FD3D8B"/>
    <w:rsid w:val="410302D3"/>
    <w:rsid w:val="41033336"/>
    <w:rsid w:val="41051369"/>
    <w:rsid w:val="41084BDC"/>
    <w:rsid w:val="410A752F"/>
    <w:rsid w:val="410A78B3"/>
    <w:rsid w:val="41110BED"/>
    <w:rsid w:val="41116A5C"/>
    <w:rsid w:val="4119177F"/>
    <w:rsid w:val="411E6EBB"/>
    <w:rsid w:val="41210759"/>
    <w:rsid w:val="4122136D"/>
    <w:rsid w:val="412644E7"/>
    <w:rsid w:val="41293F1C"/>
    <w:rsid w:val="41321E93"/>
    <w:rsid w:val="4138346C"/>
    <w:rsid w:val="413B5CBF"/>
    <w:rsid w:val="413C1875"/>
    <w:rsid w:val="41406E31"/>
    <w:rsid w:val="41443665"/>
    <w:rsid w:val="41454EBC"/>
    <w:rsid w:val="41457A75"/>
    <w:rsid w:val="41563016"/>
    <w:rsid w:val="41566655"/>
    <w:rsid w:val="415A7CD3"/>
    <w:rsid w:val="415B1EBD"/>
    <w:rsid w:val="41605725"/>
    <w:rsid w:val="41630D72"/>
    <w:rsid w:val="4164058F"/>
    <w:rsid w:val="416C5E78"/>
    <w:rsid w:val="41700C37"/>
    <w:rsid w:val="41710325"/>
    <w:rsid w:val="41712FEE"/>
    <w:rsid w:val="4175287D"/>
    <w:rsid w:val="41780954"/>
    <w:rsid w:val="418238EE"/>
    <w:rsid w:val="418545C7"/>
    <w:rsid w:val="4185797F"/>
    <w:rsid w:val="418E1DC0"/>
    <w:rsid w:val="41954EFF"/>
    <w:rsid w:val="41970A1B"/>
    <w:rsid w:val="419A26DD"/>
    <w:rsid w:val="419D0128"/>
    <w:rsid w:val="41A872D6"/>
    <w:rsid w:val="41AC2719"/>
    <w:rsid w:val="41AF41DD"/>
    <w:rsid w:val="41B94E35"/>
    <w:rsid w:val="41BA15A2"/>
    <w:rsid w:val="41BB6E00"/>
    <w:rsid w:val="41BD357B"/>
    <w:rsid w:val="41C37A62"/>
    <w:rsid w:val="41C819BB"/>
    <w:rsid w:val="41D0067D"/>
    <w:rsid w:val="41D02062"/>
    <w:rsid w:val="41D028AB"/>
    <w:rsid w:val="41D80D81"/>
    <w:rsid w:val="41D91034"/>
    <w:rsid w:val="41DF12AC"/>
    <w:rsid w:val="41E579D9"/>
    <w:rsid w:val="41E7120D"/>
    <w:rsid w:val="41EF53DA"/>
    <w:rsid w:val="41F63994"/>
    <w:rsid w:val="41FC7FC5"/>
    <w:rsid w:val="420C3A2E"/>
    <w:rsid w:val="420E63F8"/>
    <w:rsid w:val="420F7266"/>
    <w:rsid w:val="422028AD"/>
    <w:rsid w:val="42206C63"/>
    <w:rsid w:val="42224789"/>
    <w:rsid w:val="42255D7C"/>
    <w:rsid w:val="42277FF1"/>
    <w:rsid w:val="422C1AAB"/>
    <w:rsid w:val="422E312E"/>
    <w:rsid w:val="423D5A66"/>
    <w:rsid w:val="423F4774"/>
    <w:rsid w:val="42415557"/>
    <w:rsid w:val="4246696F"/>
    <w:rsid w:val="424E20F2"/>
    <w:rsid w:val="42530DE6"/>
    <w:rsid w:val="4253528A"/>
    <w:rsid w:val="425645F4"/>
    <w:rsid w:val="42585C64"/>
    <w:rsid w:val="425A6CB8"/>
    <w:rsid w:val="425B7C9B"/>
    <w:rsid w:val="425D0AFA"/>
    <w:rsid w:val="42656AD1"/>
    <w:rsid w:val="426923B8"/>
    <w:rsid w:val="426A0E94"/>
    <w:rsid w:val="426C6169"/>
    <w:rsid w:val="42733236"/>
    <w:rsid w:val="4275430B"/>
    <w:rsid w:val="42776F9A"/>
    <w:rsid w:val="427C1DD8"/>
    <w:rsid w:val="428408B4"/>
    <w:rsid w:val="429264B4"/>
    <w:rsid w:val="42936863"/>
    <w:rsid w:val="42A40B0B"/>
    <w:rsid w:val="42A414AB"/>
    <w:rsid w:val="42AE24C0"/>
    <w:rsid w:val="42B6175D"/>
    <w:rsid w:val="42BC2E2F"/>
    <w:rsid w:val="42C121C4"/>
    <w:rsid w:val="42C85330"/>
    <w:rsid w:val="42D234E7"/>
    <w:rsid w:val="42D414FB"/>
    <w:rsid w:val="42D433BF"/>
    <w:rsid w:val="42D93FA8"/>
    <w:rsid w:val="42D9578F"/>
    <w:rsid w:val="42DD69FD"/>
    <w:rsid w:val="42E04750"/>
    <w:rsid w:val="42E10B89"/>
    <w:rsid w:val="42E163F2"/>
    <w:rsid w:val="42EA36EB"/>
    <w:rsid w:val="42EC4DAE"/>
    <w:rsid w:val="42EF6D61"/>
    <w:rsid w:val="42F859BB"/>
    <w:rsid w:val="42F97ED2"/>
    <w:rsid w:val="42FD2395"/>
    <w:rsid w:val="43017E75"/>
    <w:rsid w:val="431028BD"/>
    <w:rsid w:val="432C35D9"/>
    <w:rsid w:val="432F7349"/>
    <w:rsid w:val="43346E69"/>
    <w:rsid w:val="433C3A8D"/>
    <w:rsid w:val="43436EEC"/>
    <w:rsid w:val="434B178A"/>
    <w:rsid w:val="43523137"/>
    <w:rsid w:val="435A7F52"/>
    <w:rsid w:val="4360040A"/>
    <w:rsid w:val="43610F09"/>
    <w:rsid w:val="4363338B"/>
    <w:rsid w:val="4366126D"/>
    <w:rsid w:val="436A0559"/>
    <w:rsid w:val="4372445B"/>
    <w:rsid w:val="437445E4"/>
    <w:rsid w:val="437B7DDD"/>
    <w:rsid w:val="437E2E53"/>
    <w:rsid w:val="43811FD9"/>
    <w:rsid w:val="438751EB"/>
    <w:rsid w:val="43877207"/>
    <w:rsid w:val="43880F63"/>
    <w:rsid w:val="43893644"/>
    <w:rsid w:val="438A4CDB"/>
    <w:rsid w:val="438D5A21"/>
    <w:rsid w:val="43931F5F"/>
    <w:rsid w:val="439873F8"/>
    <w:rsid w:val="439F0172"/>
    <w:rsid w:val="43A044FF"/>
    <w:rsid w:val="43A55CAB"/>
    <w:rsid w:val="43A713E9"/>
    <w:rsid w:val="43A80060"/>
    <w:rsid w:val="43AA2A8A"/>
    <w:rsid w:val="43B12C9D"/>
    <w:rsid w:val="43B600AD"/>
    <w:rsid w:val="43B634E4"/>
    <w:rsid w:val="43B6787E"/>
    <w:rsid w:val="43B7391F"/>
    <w:rsid w:val="43BD1D1D"/>
    <w:rsid w:val="43C024AB"/>
    <w:rsid w:val="43C472DB"/>
    <w:rsid w:val="43C52C98"/>
    <w:rsid w:val="43C544F7"/>
    <w:rsid w:val="43C76261"/>
    <w:rsid w:val="43CB1B56"/>
    <w:rsid w:val="43CD6976"/>
    <w:rsid w:val="43CF13AC"/>
    <w:rsid w:val="43D16466"/>
    <w:rsid w:val="43DD02D9"/>
    <w:rsid w:val="43DE571C"/>
    <w:rsid w:val="43E44844"/>
    <w:rsid w:val="43E94E11"/>
    <w:rsid w:val="43EC66F8"/>
    <w:rsid w:val="43EF4B3E"/>
    <w:rsid w:val="43F42155"/>
    <w:rsid w:val="43FC0516"/>
    <w:rsid w:val="44057E43"/>
    <w:rsid w:val="440936BE"/>
    <w:rsid w:val="440D0AAB"/>
    <w:rsid w:val="44137D61"/>
    <w:rsid w:val="442267BA"/>
    <w:rsid w:val="442510D1"/>
    <w:rsid w:val="442C5D93"/>
    <w:rsid w:val="442C7B41"/>
    <w:rsid w:val="442F13DF"/>
    <w:rsid w:val="44345CBE"/>
    <w:rsid w:val="44352C5C"/>
    <w:rsid w:val="44366C11"/>
    <w:rsid w:val="44372632"/>
    <w:rsid w:val="444C3D3F"/>
    <w:rsid w:val="444C42AC"/>
    <w:rsid w:val="445F2A2D"/>
    <w:rsid w:val="44614695"/>
    <w:rsid w:val="446217B4"/>
    <w:rsid w:val="446310C5"/>
    <w:rsid w:val="44670E9A"/>
    <w:rsid w:val="446A0390"/>
    <w:rsid w:val="446E6756"/>
    <w:rsid w:val="446E7185"/>
    <w:rsid w:val="44700813"/>
    <w:rsid w:val="44740C29"/>
    <w:rsid w:val="44743896"/>
    <w:rsid w:val="44750B2C"/>
    <w:rsid w:val="447E439E"/>
    <w:rsid w:val="447E7CD8"/>
    <w:rsid w:val="447F3C49"/>
    <w:rsid w:val="44801B6F"/>
    <w:rsid w:val="448678AB"/>
    <w:rsid w:val="448B60D0"/>
    <w:rsid w:val="448D3CEF"/>
    <w:rsid w:val="44906321"/>
    <w:rsid w:val="44915529"/>
    <w:rsid w:val="4492799F"/>
    <w:rsid w:val="449851D6"/>
    <w:rsid w:val="449A0F4E"/>
    <w:rsid w:val="449E7C60"/>
    <w:rsid w:val="449F0313"/>
    <w:rsid w:val="44A039BA"/>
    <w:rsid w:val="44A122DD"/>
    <w:rsid w:val="44A75229"/>
    <w:rsid w:val="44AC1945"/>
    <w:rsid w:val="44AC4DC7"/>
    <w:rsid w:val="44B472FA"/>
    <w:rsid w:val="44BA514C"/>
    <w:rsid w:val="44BD3D3A"/>
    <w:rsid w:val="44BF6866"/>
    <w:rsid w:val="44C7255A"/>
    <w:rsid w:val="44C86035"/>
    <w:rsid w:val="44CC46BA"/>
    <w:rsid w:val="44CD650E"/>
    <w:rsid w:val="44D25347"/>
    <w:rsid w:val="44DA554C"/>
    <w:rsid w:val="44DB714B"/>
    <w:rsid w:val="44DF4BB3"/>
    <w:rsid w:val="44E346A3"/>
    <w:rsid w:val="44EC2E5B"/>
    <w:rsid w:val="44F03AD5"/>
    <w:rsid w:val="44FB58F9"/>
    <w:rsid w:val="450F5824"/>
    <w:rsid w:val="45101828"/>
    <w:rsid w:val="45104DC9"/>
    <w:rsid w:val="451154EE"/>
    <w:rsid w:val="45165D08"/>
    <w:rsid w:val="451D253C"/>
    <w:rsid w:val="45252F0E"/>
    <w:rsid w:val="45276141"/>
    <w:rsid w:val="452D591E"/>
    <w:rsid w:val="453A628D"/>
    <w:rsid w:val="453B51C6"/>
    <w:rsid w:val="453C3DB3"/>
    <w:rsid w:val="454B49B7"/>
    <w:rsid w:val="45533A92"/>
    <w:rsid w:val="455530C7"/>
    <w:rsid w:val="45583306"/>
    <w:rsid w:val="455B1D0D"/>
    <w:rsid w:val="455E1F7C"/>
    <w:rsid w:val="455E3D2A"/>
    <w:rsid w:val="455F7AA2"/>
    <w:rsid w:val="4561795F"/>
    <w:rsid w:val="45637592"/>
    <w:rsid w:val="457248FA"/>
    <w:rsid w:val="45743E3C"/>
    <w:rsid w:val="457C2A6E"/>
    <w:rsid w:val="457C3F18"/>
    <w:rsid w:val="457C4AF8"/>
    <w:rsid w:val="457E089E"/>
    <w:rsid w:val="457F1EF2"/>
    <w:rsid w:val="458539AC"/>
    <w:rsid w:val="4588349D"/>
    <w:rsid w:val="458A5EBE"/>
    <w:rsid w:val="458B6AE9"/>
    <w:rsid w:val="458C0FA7"/>
    <w:rsid w:val="458D478B"/>
    <w:rsid w:val="458E5F09"/>
    <w:rsid w:val="45990A29"/>
    <w:rsid w:val="459F194E"/>
    <w:rsid w:val="45A44622"/>
    <w:rsid w:val="45A73098"/>
    <w:rsid w:val="45A73923"/>
    <w:rsid w:val="45B17617"/>
    <w:rsid w:val="45B85109"/>
    <w:rsid w:val="45C70C20"/>
    <w:rsid w:val="45CE62EC"/>
    <w:rsid w:val="45D10693"/>
    <w:rsid w:val="45D450A0"/>
    <w:rsid w:val="45D8054A"/>
    <w:rsid w:val="45DE4E6B"/>
    <w:rsid w:val="45E05087"/>
    <w:rsid w:val="45E074CC"/>
    <w:rsid w:val="45E321AC"/>
    <w:rsid w:val="45E5444B"/>
    <w:rsid w:val="45E71F71"/>
    <w:rsid w:val="45FC3499"/>
    <w:rsid w:val="45FC5B6D"/>
    <w:rsid w:val="460A3EB2"/>
    <w:rsid w:val="460C5E7C"/>
    <w:rsid w:val="460F121C"/>
    <w:rsid w:val="46127022"/>
    <w:rsid w:val="46140850"/>
    <w:rsid w:val="46162856"/>
    <w:rsid w:val="461C0E0C"/>
    <w:rsid w:val="461D5993"/>
    <w:rsid w:val="46206466"/>
    <w:rsid w:val="462400B2"/>
    <w:rsid w:val="462D74A7"/>
    <w:rsid w:val="462E5D41"/>
    <w:rsid w:val="463131AB"/>
    <w:rsid w:val="46363DC6"/>
    <w:rsid w:val="463B406B"/>
    <w:rsid w:val="463F0F60"/>
    <w:rsid w:val="4642189D"/>
    <w:rsid w:val="464253F9"/>
    <w:rsid w:val="46462BF9"/>
    <w:rsid w:val="464C74C9"/>
    <w:rsid w:val="465313B5"/>
    <w:rsid w:val="465774EB"/>
    <w:rsid w:val="46582E6F"/>
    <w:rsid w:val="46587F31"/>
    <w:rsid w:val="46592743"/>
    <w:rsid w:val="466908CE"/>
    <w:rsid w:val="466A4950"/>
    <w:rsid w:val="466C691A"/>
    <w:rsid w:val="46715CDF"/>
    <w:rsid w:val="467A6C23"/>
    <w:rsid w:val="467D55BA"/>
    <w:rsid w:val="467E4493"/>
    <w:rsid w:val="467F664E"/>
    <w:rsid w:val="468A6DA0"/>
    <w:rsid w:val="469669F2"/>
    <w:rsid w:val="46966B2D"/>
    <w:rsid w:val="46972590"/>
    <w:rsid w:val="46977186"/>
    <w:rsid w:val="469C52C1"/>
    <w:rsid w:val="469D17B3"/>
    <w:rsid w:val="469D6E1A"/>
    <w:rsid w:val="46A27F62"/>
    <w:rsid w:val="46A75BA4"/>
    <w:rsid w:val="46AC33F5"/>
    <w:rsid w:val="46B101C6"/>
    <w:rsid w:val="46B11B10"/>
    <w:rsid w:val="46B1432D"/>
    <w:rsid w:val="46BE6B5C"/>
    <w:rsid w:val="46C63E3F"/>
    <w:rsid w:val="46C71DA3"/>
    <w:rsid w:val="46D152C2"/>
    <w:rsid w:val="46D24579"/>
    <w:rsid w:val="46D30747"/>
    <w:rsid w:val="46D447AA"/>
    <w:rsid w:val="46D85D5E"/>
    <w:rsid w:val="46DA73F3"/>
    <w:rsid w:val="46DC5442"/>
    <w:rsid w:val="46DF70EC"/>
    <w:rsid w:val="46E058FE"/>
    <w:rsid w:val="46E14C12"/>
    <w:rsid w:val="46EC5AF0"/>
    <w:rsid w:val="46EE1A00"/>
    <w:rsid w:val="46F32B98"/>
    <w:rsid w:val="46F34946"/>
    <w:rsid w:val="46F514C9"/>
    <w:rsid w:val="46F54B62"/>
    <w:rsid w:val="46FF778E"/>
    <w:rsid w:val="47000293"/>
    <w:rsid w:val="47095F17"/>
    <w:rsid w:val="470E73C6"/>
    <w:rsid w:val="47107E12"/>
    <w:rsid w:val="4712491C"/>
    <w:rsid w:val="47133738"/>
    <w:rsid w:val="47150D60"/>
    <w:rsid w:val="47173303"/>
    <w:rsid w:val="471F78CB"/>
    <w:rsid w:val="47237605"/>
    <w:rsid w:val="472400F9"/>
    <w:rsid w:val="4725502A"/>
    <w:rsid w:val="47262F6D"/>
    <w:rsid w:val="47301BF6"/>
    <w:rsid w:val="47315561"/>
    <w:rsid w:val="47385F8F"/>
    <w:rsid w:val="473A4323"/>
    <w:rsid w:val="47431429"/>
    <w:rsid w:val="47434B02"/>
    <w:rsid w:val="47497F8D"/>
    <w:rsid w:val="474F6FD8"/>
    <w:rsid w:val="4750669E"/>
    <w:rsid w:val="475574FA"/>
    <w:rsid w:val="475645B2"/>
    <w:rsid w:val="475A49C5"/>
    <w:rsid w:val="476B4E24"/>
    <w:rsid w:val="476F66C2"/>
    <w:rsid w:val="477161D2"/>
    <w:rsid w:val="477305A8"/>
    <w:rsid w:val="47762049"/>
    <w:rsid w:val="478163F5"/>
    <w:rsid w:val="478D08F6"/>
    <w:rsid w:val="479C397E"/>
    <w:rsid w:val="47A1485B"/>
    <w:rsid w:val="47A33674"/>
    <w:rsid w:val="47A40CD6"/>
    <w:rsid w:val="47A81BD4"/>
    <w:rsid w:val="47AA76FA"/>
    <w:rsid w:val="47AD3A91"/>
    <w:rsid w:val="47B703B7"/>
    <w:rsid w:val="47C14A44"/>
    <w:rsid w:val="47C63E08"/>
    <w:rsid w:val="47CA56A6"/>
    <w:rsid w:val="47CB61E1"/>
    <w:rsid w:val="47D0099A"/>
    <w:rsid w:val="47D038C8"/>
    <w:rsid w:val="47D46525"/>
    <w:rsid w:val="47DD6443"/>
    <w:rsid w:val="47E564E8"/>
    <w:rsid w:val="47ED6175"/>
    <w:rsid w:val="47F366A1"/>
    <w:rsid w:val="47F46BC7"/>
    <w:rsid w:val="47F71E45"/>
    <w:rsid w:val="47FB1D04"/>
    <w:rsid w:val="47FB74E3"/>
    <w:rsid w:val="48082673"/>
    <w:rsid w:val="480C3F11"/>
    <w:rsid w:val="481863E1"/>
    <w:rsid w:val="48204EDD"/>
    <w:rsid w:val="48220F93"/>
    <w:rsid w:val="482332C6"/>
    <w:rsid w:val="48286871"/>
    <w:rsid w:val="482A4397"/>
    <w:rsid w:val="482A5A9E"/>
    <w:rsid w:val="482B7AB0"/>
    <w:rsid w:val="482D12C1"/>
    <w:rsid w:val="483019F7"/>
    <w:rsid w:val="48332FC7"/>
    <w:rsid w:val="48381AE6"/>
    <w:rsid w:val="48383ADC"/>
    <w:rsid w:val="484337B2"/>
    <w:rsid w:val="484907BE"/>
    <w:rsid w:val="4851401A"/>
    <w:rsid w:val="485203EA"/>
    <w:rsid w:val="485313F8"/>
    <w:rsid w:val="48555336"/>
    <w:rsid w:val="485C0E85"/>
    <w:rsid w:val="485E5AD3"/>
    <w:rsid w:val="48627FD5"/>
    <w:rsid w:val="486E0728"/>
    <w:rsid w:val="487675DC"/>
    <w:rsid w:val="487877F8"/>
    <w:rsid w:val="487B4BF3"/>
    <w:rsid w:val="487C093F"/>
    <w:rsid w:val="487F2935"/>
    <w:rsid w:val="48802209"/>
    <w:rsid w:val="48813C4C"/>
    <w:rsid w:val="48825DB2"/>
    <w:rsid w:val="48880FBF"/>
    <w:rsid w:val="48882A14"/>
    <w:rsid w:val="488B20F8"/>
    <w:rsid w:val="4891762D"/>
    <w:rsid w:val="48967B3E"/>
    <w:rsid w:val="489A5C8F"/>
    <w:rsid w:val="489D0EC1"/>
    <w:rsid w:val="48A8007F"/>
    <w:rsid w:val="48AE38B6"/>
    <w:rsid w:val="48BB76E5"/>
    <w:rsid w:val="48BC060C"/>
    <w:rsid w:val="48C20A74"/>
    <w:rsid w:val="48C540C0"/>
    <w:rsid w:val="48CC0E51"/>
    <w:rsid w:val="48CF38B5"/>
    <w:rsid w:val="48D06FA7"/>
    <w:rsid w:val="48DB1B35"/>
    <w:rsid w:val="48DD3AFF"/>
    <w:rsid w:val="48E24A43"/>
    <w:rsid w:val="48EE4F90"/>
    <w:rsid w:val="48F04D2C"/>
    <w:rsid w:val="48F14EB5"/>
    <w:rsid w:val="48F70F64"/>
    <w:rsid w:val="49010545"/>
    <w:rsid w:val="49046BF2"/>
    <w:rsid w:val="49080B7C"/>
    <w:rsid w:val="49081DA8"/>
    <w:rsid w:val="49085D68"/>
    <w:rsid w:val="490A6DA9"/>
    <w:rsid w:val="490B5A19"/>
    <w:rsid w:val="490E2C43"/>
    <w:rsid w:val="49112686"/>
    <w:rsid w:val="49151DC3"/>
    <w:rsid w:val="491C0184"/>
    <w:rsid w:val="491C2609"/>
    <w:rsid w:val="492508F0"/>
    <w:rsid w:val="49274003"/>
    <w:rsid w:val="49291CC6"/>
    <w:rsid w:val="49292F04"/>
    <w:rsid w:val="49303C2F"/>
    <w:rsid w:val="49313FF1"/>
    <w:rsid w:val="4937613D"/>
    <w:rsid w:val="494871CB"/>
    <w:rsid w:val="494D5726"/>
    <w:rsid w:val="49535B70"/>
    <w:rsid w:val="495F4514"/>
    <w:rsid w:val="495F62C2"/>
    <w:rsid w:val="496C7D7F"/>
    <w:rsid w:val="497715AD"/>
    <w:rsid w:val="49776324"/>
    <w:rsid w:val="498022E1"/>
    <w:rsid w:val="49881F71"/>
    <w:rsid w:val="49956188"/>
    <w:rsid w:val="499858D4"/>
    <w:rsid w:val="499E328F"/>
    <w:rsid w:val="49A07007"/>
    <w:rsid w:val="49A34496"/>
    <w:rsid w:val="49A97A3B"/>
    <w:rsid w:val="49AB59AC"/>
    <w:rsid w:val="49AE13EF"/>
    <w:rsid w:val="49B25C9D"/>
    <w:rsid w:val="49B32521"/>
    <w:rsid w:val="49B81710"/>
    <w:rsid w:val="49C22EF2"/>
    <w:rsid w:val="49C40489"/>
    <w:rsid w:val="49D03FCB"/>
    <w:rsid w:val="49D93529"/>
    <w:rsid w:val="49DD693F"/>
    <w:rsid w:val="49EF0FC6"/>
    <w:rsid w:val="49F31611"/>
    <w:rsid w:val="49F44C5D"/>
    <w:rsid w:val="49FE1F7F"/>
    <w:rsid w:val="4A0554A6"/>
    <w:rsid w:val="4A056E6A"/>
    <w:rsid w:val="4A072433"/>
    <w:rsid w:val="4A084BAC"/>
    <w:rsid w:val="4A0A3BF6"/>
    <w:rsid w:val="4A0F7CE8"/>
    <w:rsid w:val="4A13190D"/>
    <w:rsid w:val="4A142F0A"/>
    <w:rsid w:val="4A146C1D"/>
    <w:rsid w:val="4A1A3042"/>
    <w:rsid w:val="4A26524F"/>
    <w:rsid w:val="4A2B030E"/>
    <w:rsid w:val="4A2D3A16"/>
    <w:rsid w:val="4A380D1E"/>
    <w:rsid w:val="4A3B0ADD"/>
    <w:rsid w:val="4A3D2AA8"/>
    <w:rsid w:val="4A3D4856"/>
    <w:rsid w:val="4A4E6A63"/>
    <w:rsid w:val="4A514863"/>
    <w:rsid w:val="4A5247D7"/>
    <w:rsid w:val="4A5676C5"/>
    <w:rsid w:val="4A572AA9"/>
    <w:rsid w:val="4A5C7053"/>
    <w:rsid w:val="4A5D79DA"/>
    <w:rsid w:val="4A6355E0"/>
    <w:rsid w:val="4A657AF2"/>
    <w:rsid w:val="4A6718D3"/>
    <w:rsid w:val="4A6F4C2B"/>
    <w:rsid w:val="4A7079D9"/>
    <w:rsid w:val="4A791606"/>
    <w:rsid w:val="4A857FAB"/>
    <w:rsid w:val="4A876179"/>
    <w:rsid w:val="4A8835F7"/>
    <w:rsid w:val="4A9035C9"/>
    <w:rsid w:val="4A914EC1"/>
    <w:rsid w:val="4A981B3A"/>
    <w:rsid w:val="4A985F30"/>
    <w:rsid w:val="4A9D5F6C"/>
    <w:rsid w:val="4AA70F21"/>
    <w:rsid w:val="4AA80D7A"/>
    <w:rsid w:val="4AA959F0"/>
    <w:rsid w:val="4AAA5C63"/>
    <w:rsid w:val="4AAC3789"/>
    <w:rsid w:val="4AB25191"/>
    <w:rsid w:val="4AB90FD1"/>
    <w:rsid w:val="4ABB259D"/>
    <w:rsid w:val="4ABB577A"/>
    <w:rsid w:val="4AC047DD"/>
    <w:rsid w:val="4AC22FAD"/>
    <w:rsid w:val="4AD827D0"/>
    <w:rsid w:val="4ADA6548"/>
    <w:rsid w:val="4ADD1B95"/>
    <w:rsid w:val="4AE15E47"/>
    <w:rsid w:val="4AE6781E"/>
    <w:rsid w:val="4AE939DB"/>
    <w:rsid w:val="4AEC002A"/>
    <w:rsid w:val="4AF857F5"/>
    <w:rsid w:val="4AFD5C0C"/>
    <w:rsid w:val="4AFE790B"/>
    <w:rsid w:val="4AFF0115"/>
    <w:rsid w:val="4B005883"/>
    <w:rsid w:val="4B067F2E"/>
    <w:rsid w:val="4B106D08"/>
    <w:rsid w:val="4B1A06F3"/>
    <w:rsid w:val="4B1A2F6F"/>
    <w:rsid w:val="4B1E5950"/>
    <w:rsid w:val="4B1F4457"/>
    <w:rsid w:val="4B21269F"/>
    <w:rsid w:val="4B237A50"/>
    <w:rsid w:val="4B296B88"/>
    <w:rsid w:val="4B2E0642"/>
    <w:rsid w:val="4B2F0480"/>
    <w:rsid w:val="4B2F2D93"/>
    <w:rsid w:val="4B39647F"/>
    <w:rsid w:val="4B3A72D7"/>
    <w:rsid w:val="4B416A85"/>
    <w:rsid w:val="4B461AEA"/>
    <w:rsid w:val="4B4A3680"/>
    <w:rsid w:val="4B4A69CB"/>
    <w:rsid w:val="4B4B2FA2"/>
    <w:rsid w:val="4B54691C"/>
    <w:rsid w:val="4B582D83"/>
    <w:rsid w:val="4B5A7C92"/>
    <w:rsid w:val="4B602E82"/>
    <w:rsid w:val="4B674E8A"/>
    <w:rsid w:val="4B6C4CC7"/>
    <w:rsid w:val="4B6F63B1"/>
    <w:rsid w:val="4B7C13AE"/>
    <w:rsid w:val="4B895879"/>
    <w:rsid w:val="4B8E10E1"/>
    <w:rsid w:val="4B916CC5"/>
    <w:rsid w:val="4B9366F7"/>
    <w:rsid w:val="4B993F70"/>
    <w:rsid w:val="4B9C01F4"/>
    <w:rsid w:val="4B9F32EE"/>
    <w:rsid w:val="4BA44460"/>
    <w:rsid w:val="4BA56AA5"/>
    <w:rsid w:val="4BA6467C"/>
    <w:rsid w:val="4BAD77B9"/>
    <w:rsid w:val="4BB10AEB"/>
    <w:rsid w:val="4BB20C08"/>
    <w:rsid w:val="4BB23021"/>
    <w:rsid w:val="4BB30586"/>
    <w:rsid w:val="4BBA5AD8"/>
    <w:rsid w:val="4BBC21EF"/>
    <w:rsid w:val="4BC0191C"/>
    <w:rsid w:val="4BC36FDC"/>
    <w:rsid w:val="4BC52D55"/>
    <w:rsid w:val="4BCB6794"/>
    <w:rsid w:val="4BCE14DD"/>
    <w:rsid w:val="4BD56D10"/>
    <w:rsid w:val="4BD87AF8"/>
    <w:rsid w:val="4BE34F89"/>
    <w:rsid w:val="4BE93375"/>
    <w:rsid w:val="4BEA19F6"/>
    <w:rsid w:val="4BEB0A00"/>
    <w:rsid w:val="4C081CA4"/>
    <w:rsid w:val="4C0B2731"/>
    <w:rsid w:val="4C102D98"/>
    <w:rsid w:val="4C1269B2"/>
    <w:rsid w:val="4C130542"/>
    <w:rsid w:val="4C136DB7"/>
    <w:rsid w:val="4C19727A"/>
    <w:rsid w:val="4C2319E8"/>
    <w:rsid w:val="4C234555"/>
    <w:rsid w:val="4C250EC2"/>
    <w:rsid w:val="4C254AA8"/>
    <w:rsid w:val="4C2C5468"/>
    <w:rsid w:val="4C2C605D"/>
    <w:rsid w:val="4C2F4F63"/>
    <w:rsid w:val="4C324162"/>
    <w:rsid w:val="4C325ADD"/>
    <w:rsid w:val="4C3F54C1"/>
    <w:rsid w:val="4C434B8C"/>
    <w:rsid w:val="4C466842"/>
    <w:rsid w:val="4C4C1108"/>
    <w:rsid w:val="4C4F6AC2"/>
    <w:rsid w:val="4C545E87"/>
    <w:rsid w:val="4C5623BC"/>
    <w:rsid w:val="4C570341"/>
    <w:rsid w:val="4C5B7215"/>
    <w:rsid w:val="4C66598E"/>
    <w:rsid w:val="4C7327B1"/>
    <w:rsid w:val="4C787DC7"/>
    <w:rsid w:val="4C793B73"/>
    <w:rsid w:val="4C7B1665"/>
    <w:rsid w:val="4C7D2480"/>
    <w:rsid w:val="4C817E01"/>
    <w:rsid w:val="4C84002A"/>
    <w:rsid w:val="4C8728D1"/>
    <w:rsid w:val="4C910E89"/>
    <w:rsid w:val="4CA75899"/>
    <w:rsid w:val="4CA80E41"/>
    <w:rsid w:val="4CAF78DF"/>
    <w:rsid w:val="4CB15087"/>
    <w:rsid w:val="4CB6100E"/>
    <w:rsid w:val="4CB6398D"/>
    <w:rsid w:val="4CB97C4E"/>
    <w:rsid w:val="4CC4452E"/>
    <w:rsid w:val="4CC663B0"/>
    <w:rsid w:val="4CC87A79"/>
    <w:rsid w:val="4CC94F7A"/>
    <w:rsid w:val="4CC954DC"/>
    <w:rsid w:val="4CCB211D"/>
    <w:rsid w:val="4CCF375F"/>
    <w:rsid w:val="4CD5460A"/>
    <w:rsid w:val="4CD90FCB"/>
    <w:rsid w:val="4CD9638C"/>
    <w:rsid w:val="4CE11854"/>
    <w:rsid w:val="4CE511D4"/>
    <w:rsid w:val="4CED33FF"/>
    <w:rsid w:val="4CED7E60"/>
    <w:rsid w:val="4CEE62DB"/>
    <w:rsid w:val="4CF136D5"/>
    <w:rsid w:val="4CFD68A3"/>
    <w:rsid w:val="4D051EDC"/>
    <w:rsid w:val="4D0628C9"/>
    <w:rsid w:val="4D07114B"/>
    <w:rsid w:val="4D0F18F3"/>
    <w:rsid w:val="4D151ABA"/>
    <w:rsid w:val="4D16313C"/>
    <w:rsid w:val="4D1675E0"/>
    <w:rsid w:val="4D1A70D0"/>
    <w:rsid w:val="4D27359B"/>
    <w:rsid w:val="4D2C65BA"/>
    <w:rsid w:val="4D2F1FB0"/>
    <w:rsid w:val="4D3007D0"/>
    <w:rsid w:val="4D361C34"/>
    <w:rsid w:val="4D3D2DBF"/>
    <w:rsid w:val="4D45201C"/>
    <w:rsid w:val="4D461C73"/>
    <w:rsid w:val="4D473C38"/>
    <w:rsid w:val="4D4A5937"/>
    <w:rsid w:val="4D4C19E0"/>
    <w:rsid w:val="4D4C3F6F"/>
    <w:rsid w:val="4D52292F"/>
    <w:rsid w:val="4D5E700E"/>
    <w:rsid w:val="4D675757"/>
    <w:rsid w:val="4D7074EC"/>
    <w:rsid w:val="4D7367E0"/>
    <w:rsid w:val="4D77007F"/>
    <w:rsid w:val="4D810EFD"/>
    <w:rsid w:val="4D8A1336"/>
    <w:rsid w:val="4D8B3B2A"/>
    <w:rsid w:val="4D91753F"/>
    <w:rsid w:val="4D955898"/>
    <w:rsid w:val="4D9D19DC"/>
    <w:rsid w:val="4DA70A4C"/>
    <w:rsid w:val="4DAC1E64"/>
    <w:rsid w:val="4DAC253E"/>
    <w:rsid w:val="4DB012A9"/>
    <w:rsid w:val="4DB27CAD"/>
    <w:rsid w:val="4DBD7FFE"/>
    <w:rsid w:val="4DC0115B"/>
    <w:rsid w:val="4DC22E59"/>
    <w:rsid w:val="4DC4703C"/>
    <w:rsid w:val="4DCD5EF0"/>
    <w:rsid w:val="4DD00BA4"/>
    <w:rsid w:val="4DD4583A"/>
    <w:rsid w:val="4DD80599"/>
    <w:rsid w:val="4DDC4073"/>
    <w:rsid w:val="4DDC4386"/>
    <w:rsid w:val="4DDE62FD"/>
    <w:rsid w:val="4DE30E04"/>
    <w:rsid w:val="4DE624F3"/>
    <w:rsid w:val="4DF3564B"/>
    <w:rsid w:val="4DFA480C"/>
    <w:rsid w:val="4DFC4A28"/>
    <w:rsid w:val="4E035DB6"/>
    <w:rsid w:val="4E0468B9"/>
    <w:rsid w:val="4E051F93"/>
    <w:rsid w:val="4E061402"/>
    <w:rsid w:val="4E092CA1"/>
    <w:rsid w:val="4E094A4F"/>
    <w:rsid w:val="4E0D3A82"/>
    <w:rsid w:val="4E0E516C"/>
    <w:rsid w:val="4E1401E7"/>
    <w:rsid w:val="4E1B027B"/>
    <w:rsid w:val="4E3557E0"/>
    <w:rsid w:val="4E3625B1"/>
    <w:rsid w:val="4E393892"/>
    <w:rsid w:val="4E41068C"/>
    <w:rsid w:val="4E465CA3"/>
    <w:rsid w:val="4E4F6B3A"/>
    <w:rsid w:val="4E54216E"/>
    <w:rsid w:val="4E566D32"/>
    <w:rsid w:val="4E593C28"/>
    <w:rsid w:val="4E5E4D9B"/>
    <w:rsid w:val="4E600612"/>
    <w:rsid w:val="4E6629A1"/>
    <w:rsid w:val="4E670D48"/>
    <w:rsid w:val="4E6A3BD2"/>
    <w:rsid w:val="4E6D778E"/>
    <w:rsid w:val="4E6F1522"/>
    <w:rsid w:val="4E830CA5"/>
    <w:rsid w:val="4E834801"/>
    <w:rsid w:val="4E89473F"/>
    <w:rsid w:val="4E8D38D2"/>
    <w:rsid w:val="4E93713A"/>
    <w:rsid w:val="4E962786"/>
    <w:rsid w:val="4E992206"/>
    <w:rsid w:val="4E9B2C5F"/>
    <w:rsid w:val="4E9B4E1E"/>
    <w:rsid w:val="4E9D1D67"/>
    <w:rsid w:val="4EA55AA7"/>
    <w:rsid w:val="4EAD5D22"/>
    <w:rsid w:val="4EB470B0"/>
    <w:rsid w:val="4EB85DB4"/>
    <w:rsid w:val="4EB8649F"/>
    <w:rsid w:val="4EB96475"/>
    <w:rsid w:val="4EBB043F"/>
    <w:rsid w:val="4EBB7A9A"/>
    <w:rsid w:val="4EBC506D"/>
    <w:rsid w:val="4EC106FD"/>
    <w:rsid w:val="4EC54E1A"/>
    <w:rsid w:val="4EC579CA"/>
    <w:rsid w:val="4ECC1004"/>
    <w:rsid w:val="4ECF7A46"/>
    <w:rsid w:val="4ED53E86"/>
    <w:rsid w:val="4EE40330"/>
    <w:rsid w:val="4EE96F60"/>
    <w:rsid w:val="4EF145BA"/>
    <w:rsid w:val="4EF23735"/>
    <w:rsid w:val="4EF75A52"/>
    <w:rsid w:val="4EFB6DE2"/>
    <w:rsid w:val="4F0102D2"/>
    <w:rsid w:val="4F060CFC"/>
    <w:rsid w:val="4F0771E0"/>
    <w:rsid w:val="4F0A0A7E"/>
    <w:rsid w:val="4F0A4F22"/>
    <w:rsid w:val="4F104D93"/>
    <w:rsid w:val="4F147B4F"/>
    <w:rsid w:val="4F206957"/>
    <w:rsid w:val="4F23756B"/>
    <w:rsid w:val="4F2618B6"/>
    <w:rsid w:val="4F340F1B"/>
    <w:rsid w:val="4F385361"/>
    <w:rsid w:val="4F3D3C19"/>
    <w:rsid w:val="4F427DD6"/>
    <w:rsid w:val="4F4354F6"/>
    <w:rsid w:val="4F530677"/>
    <w:rsid w:val="4F611AAD"/>
    <w:rsid w:val="4F6D750F"/>
    <w:rsid w:val="4F6F4D85"/>
    <w:rsid w:val="4F754C20"/>
    <w:rsid w:val="4F7628C5"/>
    <w:rsid w:val="4F7A49B3"/>
    <w:rsid w:val="4F7A5D52"/>
    <w:rsid w:val="4F7F1D4C"/>
    <w:rsid w:val="4F810293"/>
    <w:rsid w:val="4F825634"/>
    <w:rsid w:val="4F8B568E"/>
    <w:rsid w:val="4F90367A"/>
    <w:rsid w:val="4F923F65"/>
    <w:rsid w:val="4F947C83"/>
    <w:rsid w:val="4F951166"/>
    <w:rsid w:val="4F9940AF"/>
    <w:rsid w:val="4F9E48D5"/>
    <w:rsid w:val="4FAB2261"/>
    <w:rsid w:val="4FB11742"/>
    <w:rsid w:val="4FBC1E49"/>
    <w:rsid w:val="4FCA31BD"/>
    <w:rsid w:val="4FDC03F2"/>
    <w:rsid w:val="4FE60DD8"/>
    <w:rsid w:val="4FE6773D"/>
    <w:rsid w:val="4FE8260A"/>
    <w:rsid w:val="4FE9323F"/>
    <w:rsid w:val="4FEA0370"/>
    <w:rsid w:val="4FEC5AC3"/>
    <w:rsid w:val="4FFB57DD"/>
    <w:rsid w:val="4FFC486B"/>
    <w:rsid w:val="50031422"/>
    <w:rsid w:val="50065707"/>
    <w:rsid w:val="501222E0"/>
    <w:rsid w:val="50212138"/>
    <w:rsid w:val="502671FD"/>
    <w:rsid w:val="50267B3A"/>
    <w:rsid w:val="50293E28"/>
    <w:rsid w:val="502C7FBC"/>
    <w:rsid w:val="503C1E0B"/>
    <w:rsid w:val="503F3270"/>
    <w:rsid w:val="50412BC6"/>
    <w:rsid w:val="5043249A"/>
    <w:rsid w:val="504A5D1B"/>
    <w:rsid w:val="504D50C7"/>
    <w:rsid w:val="50505261"/>
    <w:rsid w:val="505C355C"/>
    <w:rsid w:val="505F5531"/>
    <w:rsid w:val="506D156F"/>
    <w:rsid w:val="50731F4F"/>
    <w:rsid w:val="50794B2E"/>
    <w:rsid w:val="507A23E1"/>
    <w:rsid w:val="507E7976"/>
    <w:rsid w:val="50886DB4"/>
    <w:rsid w:val="50896392"/>
    <w:rsid w:val="508C27EB"/>
    <w:rsid w:val="50903205"/>
    <w:rsid w:val="509267AF"/>
    <w:rsid w:val="50983FB0"/>
    <w:rsid w:val="509B1112"/>
    <w:rsid w:val="50AA42C7"/>
    <w:rsid w:val="50AD2009"/>
    <w:rsid w:val="50B71807"/>
    <w:rsid w:val="50C00373"/>
    <w:rsid w:val="50C82C57"/>
    <w:rsid w:val="50CC4B0E"/>
    <w:rsid w:val="50D5348A"/>
    <w:rsid w:val="50D61560"/>
    <w:rsid w:val="50D852D8"/>
    <w:rsid w:val="50D94BAC"/>
    <w:rsid w:val="50DA3095"/>
    <w:rsid w:val="50DB0924"/>
    <w:rsid w:val="50DD4F19"/>
    <w:rsid w:val="50E1404E"/>
    <w:rsid w:val="50E52D9A"/>
    <w:rsid w:val="50E91189"/>
    <w:rsid w:val="50EB7C77"/>
    <w:rsid w:val="50EF43D0"/>
    <w:rsid w:val="50F04678"/>
    <w:rsid w:val="510000F0"/>
    <w:rsid w:val="51015C20"/>
    <w:rsid w:val="510838D5"/>
    <w:rsid w:val="510908C5"/>
    <w:rsid w:val="5110000E"/>
    <w:rsid w:val="511C3E16"/>
    <w:rsid w:val="511F1327"/>
    <w:rsid w:val="51281690"/>
    <w:rsid w:val="51281F4E"/>
    <w:rsid w:val="512C3BEB"/>
    <w:rsid w:val="512F115E"/>
    <w:rsid w:val="51390C3A"/>
    <w:rsid w:val="513917B7"/>
    <w:rsid w:val="513A18F3"/>
    <w:rsid w:val="5144471C"/>
    <w:rsid w:val="51452242"/>
    <w:rsid w:val="51491D79"/>
    <w:rsid w:val="514B6B38"/>
    <w:rsid w:val="51516E38"/>
    <w:rsid w:val="515379CB"/>
    <w:rsid w:val="515406D7"/>
    <w:rsid w:val="5157194A"/>
    <w:rsid w:val="51586419"/>
    <w:rsid w:val="515A6C27"/>
    <w:rsid w:val="515F1555"/>
    <w:rsid w:val="515F781E"/>
    <w:rsid w:val="5165675D"/>
    <w:rsid w:val="516A3920"/>
    <w:rsid w:val="516D5E42"/>
    <w:rsid w:val="517008D8"/>
    <w:rsid w:val="51713037"/>
    <w:rsid w:val="51750D79"/>
    <w:rsid w:val="5176287E"/>
    <w:rsid w:val="51786346"/>
    <w:rsid w:val="517D1373"/>
    <w:rsid w:val="51803079"/>
    <w:rsid w:val="51897B82"/>
    <w:rsid w:val="51907C22"/>
    <w:rsid w:val="519876B8"/>
    <w:rsid w:val="519C30FB"/>
    <w:rsid w:val="519D454C"/>
    <w:rsid w:val="51A37EEB"/>
    <w:rsid w:val="51A907FF"/>
    <w:rsid w:val="51B11685"/>
    <w:rsid w:val="51B27BBA"/>
    <w:rsid w:val="51B451F6"/>
    <w:rsid w:val="51B750E9"/>
    <w:rsid w:val="51B84D15"/>
    <w:rsid w:val="51BB7FAB"/>
    <w:rsid w:val="51BD464E"/>
    <w:rsid w:val="51BD627C"/>
    <w:rsid w:val="51CC6EC2"/>
    <w:rsid w:val="51D33CF1"/>
    <w:rsid w:val="51D36CFE"/>
    <w:rsid w:val="51DA1BCB"/>
    <w:rsid w:val="51EB6FD3"/>
    <w:rsid w:val="51F13035"/>
    <w:rsid w:val="51F174CA"/>
    <w:rsid w:val="51F50923"/>
    <w:rsid w:val="51F7020A"/>
    <w:rsid w:val="51F90C61"/>
    <w:rsid w:val="51FB04CD"/>
    <w:rsid w:val="51FC7708"/>
    <w:rsid w:val="51FD14F9"/>
    <w:rsid w:val="51FD48CA"/>
    <w:rsid w:val="52057438"/>
    <w:rsid w:val="521050DC"/>
    <w:rsid w:val="52146C33"/>
    <w:rsid w:val="521918F5"/>
    <w:rsid w:val="521D10DE"/>
    <w:rsid w:val="521D367A"/>
    <w:rsid w:val="521F224C"/>
    <w:rsid w:val="522400A9"/>
    <w:rsid w:val="52271947"/>
    <w:rsid w:val="52291CD0"/>
    <w:rsid w:val="522A1A79"/>
    <w:rsid w:val="52311B0D"/>
    <w:rsid w:val="52462D3F"/>
    <w:rsid w:val="524D4779"/>
    <w:rsid w:val="52500E9E"/>
    <w:rsid w:val="525869FF"/>
    <w:rsid w:val="52635075"/>
    <w:rsid w:val="526B217C"/>
    <w:rsid w:val="526B3441"/>
    <w:rsid w:val="527343DD"/>
    <w:rsid w:val="528A7684"/>
    <w:rsid w:val="52913AA6"/>
    <w:rsid w:val="52927709"/>
    <w:rsid w:val="52936C0B"/>
    <w:rsid w:val="529C0803"/>
    <w:rsid w:val="52A05FDA"/>
    <w:rsid w:val="52A25069"/>
    <w:rsid w:val="52A719DD"/>
    <w:rsid w:val="52A86F2C"/>
    <w:rsid w:val="52B272BA"/>
    <w:rsid w:val="52B479F6"/>
    <w:rsid w:val="52B70F1D"/>
    <w:rsid w:val="52CD4A8E"/>
    <w:rsid w:val="52CD6993"/>
    <w:rsid w:val="52CF494C"/>
    <w:rsid w:val="52D32C6D"/>
    <w:rsid w:val="52D62130"/>
    <w:rsid w:val="52DC2FB4"/>
    <w:rsid w:val="52E00474"/>
    <w:rsid w:val="52E066C6"/>
    <w:rsid w:val="52EB2FA2"/>
    <w:rsid w:val="52EB79B0"/>
    <w:rsid w:val="52F5148F"/>
    <w:rsid w:val="52F923C2"/>
    <w:rsid w:val="52FD317B"/>
    <w:rsid w:val="530156EE"/>
    <w:rsid w:val="5302334A"/>
    <w:rsid w:val="53082569"/>
    <w:rsid w:val="530D42AD"/>
    <w:rsid w:val="531502A7"/>
    <w:rsid w:val="531706D0"/>
    <w:rsid w:val="531B420E"/>
    <w:rsid w:val="531D3136"/>
    <w:rsid w:val="532A2881"/>
    <w:rsid w:val="53346A12"/>
    <w:rsid w:val="533D56C3"/>
    <w:rsid w:val="534E1FFB"/>
    <w:rsid w:val="53510596"/>
    <w:rsid w:val="535D1F32"/>
    <w:rsid w:val="53677926"/>
    <w:rsid w:val="53722655"/>
    <w:rsid w:val="53891481"/>
    <w:rsid w:val="538B0BB6"/>
    <w:rsid w:val="538C1E4B"/>
    <w:rsid w:val="53904888"/>
    <w:rsid w:val="53964B01"/>
    <w:rsid w:val="539700C2"/>
    <w:rsid w:val="53A84DEB"/>
    <w:rsid w:val="53AC5BB2"/>
    <w:rsid w:val="53B17198"/>
    <w:rsid w:val="53BA1776"/>
    <w:rsid w:val="53BF62DB"/>
    <w:rsid w:val="53CB6E38"/>
    <w:rsid w:val="53CE36FC"/>
    <w:rsid w:val="53D36E49"/>
    <w:rsid w:val="53D63625"/>
    <w:rsid w:val="53D95B0A"/>
    <w:rsid w:val="53E04080"/>
    <w:rsid w:val="53E53868"/>
    <w:rsid w:val="53E5549A"/>
    <w:rsid w:val="53E67D0C"/>
    <w:rsid w:val="53E775E0"/>
    <w:rsid w:val="53E93C41"/>
    <w:rsid w:val="53F214A0"/>
    <w:rsid w:val="53F54CBE"/>
    <w:rsid w:val="53F71F19"/>
    <w:rsid w:val="53FA37B7"/>
    <w:rsid w:val="540B1521"/>
    <w:rsid w:val="540E1011"/>
    <w:rsid w:val="541008E5"/>
    <w:rsid w:val="54135AAB"/>
    <w:rsid w:val="54137503"/>
    <w:rsid w:val="5414309E"/>
    <w:rsid w:val="54187EE0"/>
    <w:rsid w:val="54196E84"/>
    <w:rsid w:val="54236402"/>
    <w:rsid w:val="54273E81"/>
    <w:rsid w:val="542C274A"/>
    <w:rsid w:val="543478C6"/>
    <w:rsid w:val="543C5B7E"/>
    <w:rsid w:val="543D62C3"/>
    <w:rsid w:val="54422694"/>
    <w:rsid w:val="54474BAB"/>
    <w:rsid w:val="54497F1E"/>
    <w:rsid w:val="54554C6E"/>
    <w:rsid w:val="546561F5"/>
    <w:rsid w:val="546E385E"/>
    <w:rsid w:val="547A48F8"/>
    <w:rsid w:val="547B35E8"/>
    <w:rsid w:val="54877909"/>
    <w:rsid w:val="5493721A"/>
    <w:rsid w:val="54950B1B"/>
    <w:rsid w:val="5495703C"/>
    <w:rsid w:val="549A01E4"/>
    <w:rsid w:val="549B561C"/>
    <w:rsid w:val="549C0638"/>
    <w:rsid w:val="54A6489D"/>
    <w:rsid w:val="54A911FF"/>
    <w:rsid w:val="54B102B5"/>
    <w:rsid w:val="54B27E3C"/>
    <w:rsid w:val="54B5046C"/>
    <w:rsid w:val="54B548D4"/>
    <w:rsid w:val="54B71AFA"/>
    <w:rsid w:val="54C067AF"/>
    <w:rsid w:val="54C66B67"/>
    <w:rsid w:val="54CD459F"/>
    <w:rsid w:val="54CF105C"/>
    <w:rsid w:val="54D01E51"/>
    <w:rsid w:val="54D41BA7"/>
    <w:rsid w:val="54D933CD"/>
    <w:rsid w:val="54DA59A3"/>
    <w:rsid w:val="54DD7F14"/>
    <w:rsid w:val="54DE09E3"/>
    <w:rsid w:val="54E45CFC"/>
    <w:rsid w:val="54E63D3C"/>
    <w:rsid w:val="54E90D00"/>
    <w:rsid w:val="54EB2593"/>
    <w:rsid w:val="54EF17DD"/>
    <w:rsid w:val="54F32747"/>
    <w:rsid w:val="54FD105E"/>
    <w:rsid w:val="55052414"/>
    <w:rsid w:val="55176E31"/>
    <w:rsid w:val="552503C0"/>
    <w:rsid w:val="552705DC"/>
    <w:rsid w:val="55377C86"/>
    <w:rsid w:val="55470032"/>
    <w:rsid w:val="554C0043"/>
    <w:rsid w:val="554C3B9F"/>
    <w:rsid w:val="554F7B33"/>
    <w:rsid w:val="55562C6F"/>
    <w:rsid w:val="55591282"/>
    <w:rsid w:val="555C4981"/>
    <w:rsid w:val="555D2250"/>
    <w:rsid w:val="556D1D67"/>
    <w:rsid w:val="556D584E"/>
    <w:rsid w:val="55747599"/>
    <w:rsid w:val="55754B87"/>
    <w:rsid w:val="55763C0E"/>
    <w:rsid w:val="557E60A6"/>
    <w:rsid w:val="55805F3E"/>
    <w:rsid w:val="5582372F"/>
    <w:rsid w:val="55863527"/>
    <w:rsid w:val="55890798"/>
    <w:rsid w:val="558C48E3"/>
    <w:rsid w:val="558E60DF"/>
    <w:rsid w:val="558F3A64"/>
    <w:rsid w:val="559519EA"/>
    <w:rsid w:val="559D43FA"/>
    <w:rsid w:val="55A03EEB"/>
    <w:rsid w:val="55A53C10"/>
    <w:rsid w:val="55AC1A7E"/>
    <w:rsid w:val="55AC66BA"/>
    <w:rsid w:val="55B94FAC"/>
    <w:rsid w:val="55C914A2"/>
    <w:rsid w:val="55D63DB0"/>
    <w:rsid w:val="55DB13C7"/>
    <w:rsid w:val="55DC029A"/>
    <w:rsid w:val="55DC44BB"/>
    <w:rsid w:val="55DF7447"/>
    <w:rsid w:val="55E179E0"/>
    <w:rsid w:val="55E62F10"/>
    <w:rsid w:val="55E667B4"/>
    <w:rsid w:val="55EC5382"/>
    <w:rsid w:val="55EC7130"/>
    <w:rsid w:val="55F36710"/>
    <w:rsid w:val="560005ED"/>
    <w:rsid w:val="56004989"/>
    <w:rsid w:val="5604091D"/>
    <w:rsid w:val="56065A38"/>
    <w:rsid w:val="56066432"/>
    <w:rsid w:val="560F025F"/>
    <w:rsid w:val="560F3109"/>
    <w:rsid w:val="561623FF"/>
    <w:rsid w:val="56222B52"/>
    <w:rsid w:val="562B40FC"/>
    <w:rsid w:val="562C0C6B"/>
    <w:rsid w:val="562C675D"/>
    <w:rsid w:val="562E414E"/>
    <w:rsid w:val="562E6337"/>
    <w:rsid w:val="56321D83"/>
    <w:rsid w:val="56337E3C"/>
    <w:rsid w:val="5637322B"/>
    <w:rsid w:val="563B19C1"/>
    <w:rsid w:val="563D5BDD"/>
    <w:rsid w:val="56404E40"/>
    <w:rsid w:val="565267C1"/>
    <w:rsid w:val="56586573"/>
    <w:rsid w:val="56644AA0"/>
    <w:rsid w:val="56674496"/>
    <w:rsid w:val="56686E72"/>
    <w:rsid w:val="566B44F9"/>
    <w:rsid w:val="566C34CD"/>
    <w:rsid w:val="56706116"/>
    <w:rsid w:val="56737BDD"/>
    <w:rsid w:val="568455BA"/>
    <w:rsid w:val="569712AD"/>
    <w:rsid w:val="569B2037"/>
    <w:rsid w:val="569B49A5"/>
    <w:rsid w:val="569D15D9"/>
    <w:rsid w:val="56A25726"/>
    <w:rsid w:val="56A619D5"/>
    <w:rsid w:val="56A65531"/>
    <w:rsid w:val="56A72D53"/>
    <w:rsid w:val="56B505B7"/>
    <w:rsid w:val="56B57E6A"/>
    <w:rsid w:val="56B75990"/>
    <w:rsid w:val="56BE4761"/>
    <w:rsid w:val="56BF4844"/>
    <w:rsid w:val="56C137C7"/>
    <w:rsid w:val="56C34BB0"/>
    <w:rsid w:val="56CB31E9"/>
    <w:rsid w:val="56D53DD4"/>
    <w:rsid w:val="56DE116E"/>
    <w:rsid w:val="56E176CE"/>
    <w:rsid w:val="56E3372A"/>
    <w:rsid w:val="56E77441"/>
    <w:rsid w:val="56EB2EA1"/>
    <w:rsid w:val="56EF512A"/>
    <w:rsid w:val="56F20031"/>
    <w:rsid w:val="56F3629C"/>
    <w:rsid w:val="56FE711B"/>
    <w:rsid w:val="57081D47"/>
    <w:rsid w:val="57120E18"/>
    <w:rsid w:val="57172D1A"/>
    <w:rsid w:val="57174680"/>
    <w:rsid w:val="57174EEB"/>
    <w:rsid w:val="572110F4"/>
    <w:rsid w:val="57234DD3"/>
    <w:rsid w:val="57236B81"/>
    <w:rsid w:val="5728063B"/>
    <w:rsid w:val="57295637"/>
    <w:rsid w:val="573214BA"/>
    <w:rsid w:val="57325016"/>
    <w:rsid w:val="57354F1A"/>
    <w:rsid w:val="57366770"/>
    <w:rsid w:val="573B036F"/>
    <w:rsid w:val="573D0A11"/>
    <w:rsid w:val="57454278"/>
    <w:rsid w:val="5748483A"/>
    <w:rsid w:val="57486F2E"/>
    <w:rsid w:val="57491784"/>
    <w:rsid w:val="574B60D8"/>
    <w:rsid w:val="57560D05"/>
    <w:rsid w:val="57596A47"/>
    <w:rsid w:val="575A5D3A"/>
    <w:rsid w:val="57732E29"/>
    <w:rsid w:val="57741E6B"/>
    <w:rsid w:val="57743881"/>
    <w:rsid w:val="57752768"/>
    <w:rsid w:val="577837BE"/>
    <w:rsid w:val="57790E97"/>
    <w:rsid w:val="577D08AE"/>
    <w:rsid w:val="57811AFA"/>
    <w:rsid w:val="57835872"/>
    <w:rsid w:val="578908B4"/>
    <w:rsid w:val="578C4726"/>
    <w:rsid w:val="578E4942"/>
    <w:rsid w:val="57962473"/>
    <w:rsid w:val="579D5131"/>
    <w:rsid w:val="57AA4AB3"/>
    <w:rsid w:val="57B51058"/>
    <w:rsid w:val="57BA6E9E"/>
    <w:rsid w:val="57BC1110"/>
    <w:rsid w:val="57BE75AE"/>
    <w:rsid w:val="57C33EC0"/>
    <w:rsid w:val="57C55E8A"/>
    <w:rsid w:val="57C71C02"/>
    <w:rsid w:val="57C93BCD"/>
    <w:rsid w:val="57D16401"/>
    <w:rsid w:val="57D82E5E"/>
    <w:rsid w:val="57D87FD8"/>
    <w:rsid w:val="57DB6D3D"/>
    <w:rsid w:val="57DD38FA"/>
    <w:rsid w:val="57DF3C6E"/>
    <w:rsid w:val="57E04DBF"/>
    <w:rsid w:val="57E143E9"/>
    <w:rsid w:val="57E61CE1"/>
    <w:rsid w:val="57EC6094"/>
    <w:rsid w:val="57EF7DA7"/>
    <w:rsid w:val="57FD1FF0"/>
    <w:rsid w:val="57FE4C0E"/>
    <w:rsid w:val="57FF1099"/>
    <w:rsid w:val="5803175C"/>
    <w:rsid w:val="580544D9"/>
    <w:rsid w:val="58115236"/>
    <w:rsid w:val="58160494"/>
    <w:rsid w:val="581676C7"/>
    <w:rsid w:val="58170F3C"/>
    <w:rsid w:val="581A5E70"/>
    <w:rsid w:val="581C3A95"/>
    <w:rsid w:val="5821223D"/>
    <w:rsid w:val="58214972"/>
    <w:rsid w:val="582333A5"/>
    <w:rsid w:val="5828546A"/>
    <w:rsid w:val="582866F1"/>
    <w:rsid w:val="582E38B0"/>
    <w:rsid w:val="582E7084"/>
    <w:rsid w:val="582E78D1"/>
    <w:rsid w:val="583C4897"/>
    <w:rsid w:val="583F1695"/>
    <w:rsid w:val="58472D43"/>
    <w:rsid w:val="58484357"/>
    <w:rsid w:val="58496ABB"/>
    <w:rsid w:val="5854400C"/>
    <w:rsid w:val="585A1EA8"/>
    <w:rsid w:val="585E711F"/>
    <w:rsid w:val="585F2818"/>
    <w:rsid w:val="586133B8"/>
    <w:rsid w:val="58613E05"/>
    <w:rsid w:val="58615632"/>
    <w:rsid w:val="58684F97"/>
    <w:rsid w:val="586970C5"/>
    <w:rsid w:val="586C2216"/>
    <w:rsid w:val="586E116C"/>
    <w:rsid w:val="5876019D"/>
    <w:rsid w:val="58774429"/>
    <w:rsid w:val="587A2927"/>
    <w:rsid w:val="587F4E2F"/>
    <w:rsid w:val="5884134D"/>
    <w:rsid w:val="588615B2"/>
    <w:rsid w:val="5886561A"/>
    <w:rsid w:val="588E44CE"/>
    <w:rsid w:val="58912AA4"/>
    <w:rsid w:val="589470D5"/>
    <w:rsid w:val="589645C1"/>
    <w:rsid w:val="58A46EE1"/>
    <w:rsid w:val="58A50D34"/>
    <w:rsid w:val="58A557B0"/>
    <w:rsid w:val="58BC7E7B"/>
    <w:rsid w:val="58BD2EA3"/>
    <w:rsid w:val="58C02670"/>
    <w:rsid w:val="58C06C50"/>
    <w:rsid w:val="58C14D6F"/>
    <w:rsid w:val="58C811B3"/>
    <w:rsid w:val="58C92A02"/>
    <w:rsid w:val="58CB5722"/>
    <w:rsid w:val="58D81BED"/>
    <w:rsid w:val="58E24C57"/>
    <w:rsid w:val="58E415AA"/>
    <w:rsid w:val="58E453E6"/>
    <w:rsid w:val="58ED7BD3"/>
    <w:rsid w:val="58F520DA"/>
    <w:rsid w:val="58FE0032"/>
    <w:rsid w:val="590F3616"/>
    <w:rsid w:val="59137BCC"/>
    <w:rsid w:val="59143DC5"/>
    <w:rsid w:val="591547B1"/>
    <w:rsid w:val="591946E0"/>
    <w:rsid w:val="591A5313"/>
    <w:rsid w:val="59215B05"/>
    <w:rsid w:val="59260BAB"/>
    <w:rsid w:val="592B7F6F"/>
    <w:rsid w:val="592F3F03"/>
    <w:rsid w:val="592F4D6F"/>
    <w:rsid w:val="5931649C"/>
    <w:rsid w:val="59340C57"/>
    <w:rsid w:val="59376914"/>
    <w:rsid w:val="59382681"/>
    <w:rsid w:val="593F2505"/>
    <w:rsid w:val="59401C6C"/>
    <w:rsid w:val="5943175D"/>
    <w:rsid w:val="594828CF"/>
    <w:rsid w:val="59482A23"/>
    <w:rsid w:val="59512693"/>
    <w:rsid w:val="59513E7A"/>
    <w:rsid w:val="59592D2E"/>
    <w:rsid w:val="59595E25"/>
    <w:rsid w:val="596001A9"/>
    <w:rsid w:val="59626F88"/>
    <w:rsid w:val="596856DA"/>
    <w:rsid w:val="596F6CF4"/>
    <w:rsid w:val="597236F0"/>
    <w:rsid w:val="59822285"/>
    <w:rsid w:val="59832881"/>
    <w:rsid w:val="59837DAB"/>
    <w:rsid w:val="59886B03"/>
    <w:rsid w:val="59923A4D"/>
    <w:rsid w:val="59934492"/>
    <w:rsid w:val="59941FB8"/>
    <w:rsid w:val="59965D30"/>
    <w:rsid w:val="599769F3"/>
    <w:rsid w:val="599C1B8F"/>
    <w:rsid w:val="599C33BC"/>
    <w:rsid w:val="59A4604E"/>
    <w:rsid w:val="59A619B5"/>
    <w:rsid w:val="59A71CEC"/>
    <w:rsid w:val="59A93AB5"/>
    <w:rsid w:val="59B002B3"/>
    <w:rsid w:val="59B10965"/>
    <w:rsid w:val="59BC26BB"/>
    <w:rsid w:val="59BF63EA"/>
    <w:rsid w:val="59C334DA"/>
    <w:rsid w:val="59C53E78"/>
    <w:rsid w:val="59CC52AE"/>
    <w:rsid w:val="59D05A7C"/>
    <w:rsid w:val="59D800F7"/>
    <w:rsid w:val="59D979CB"/>
    <w:rsid w:val="59DB279C"/>
    <w:rsid w:val="59DF76D7"/>
    <w:rsid w:val="59E002EA"/>
    <w:rsid w:val="59E06EFA"/>
    <w:rsid w:val="59E27C96"/>
    <w:rsid w:val="59E574EB"/>
    <w:rsid w:val="59E7033A"/>
    <w:rsid w:val="59EC3BA2"/>
    <w:rsid w:val="59EC76FE"/>
    <w:rsid w:val="59F36CDF"/>
    <w:rsid w:val="59F83FE5"/>
    <w:rsid w:val="59F842F5"/>
    <w:rsid w:val="59F9604B"/>
    <w:rsid w:val="59FD7B5D"/>
    <w:rsid w:val="59FE629E"/>
    <w:rsid w:val="5A0709DC"/>
    <w:rsid w:val="5A074538"/>
    <w:rsid w:val="5A085523"/>
    <w:rsid w:val="5A0A729E"/>
    <w:rsid w:val="5A0F6FF7"/>
    <w:rsid w:val="5A102BB5"/>
    <w:rsid w:val="5A184997"/>
    <w:rsid w:val="5A1A323F"/>
    <w:rsid w:val="5A1C0938"/>
    <w:rsid w:val="5A223AF7"/>
    <w:rsid w:val="5A2D5E39"/>
    <w:rsid w:val="5A2F3A8F"/>
    <w:rsid w:val="5A334F56"/>
    <w:rsid w:val="5A3A2672"/>
    <w:rsid w:val="5A3A2B3B"/>
    <w:rsid w:val="5A472754"/>
    <w:rsid w:val="5A4B4737"/>
    <w:rsid w:val="5A4B64B5"/>
    <w:rsid w:val="5A4E4A01"/>
    <w:rsid w:val="5A5906F1"/>
    <w:rsid w:val="5A5A2260"/>
    <w:rsid w:val="5A631E54"/>
    <w:rsid w:val="5A6D711C"/>
    <w:rsid w:val="5A7C4D3F"/>
    <w:rsid w:val="5A7D37D6"/>
    <w:rsid w:val="5A7D6637"/>
    <w:rsid w:val="5A837209"/>
    <w:rsid w:val="5A854D8F"/>
    <w:rsid w:val="5A856AD4"/>
    <w:rsid w:val="5A8D6F72"/>
    <w:rsid w:val="5A8D7133"/>
    <w:rsid w:val="5A9A2002"/>
    <w:rsid w:val="5A9D6C4B"/>
    <w:rsid w:val="5A9E4BFB"/>
    <w:rsid w:val="5A9F2A23"/>
    <w:rsid w:val="5AA00322"/>
    <w:rsid w:val="5AA20705"/>
    <w:rsid w:val="5AA24261"/>
    <w:rsid w:val="5AA436CE"/>
    <w:rsid w:val="5AA84FC9"/>
    <w:rsid w:val="5AA858EF"/>
    <w:rsid w:val="5AA97725"/>
    <w:rsid w:val="5AAF577B"/>
    <w:rsid w:val="5AB426B0"/>
    <w:rsid w:val="5ABE3DEE"/>
    <w:rsid w:val="5AC913C0"/>
    <w:rsid w:val="5ACB3C38"/>
    <w:rsid w:val="5ACC1EF9"/>
    <w:rsid w:val="5ACC7482"/>
    <w:rsid w:val="5ACE6F50"/>
    <w:rsid w:val="5ACF0B16"/>
    <w:rsid w:val="5AD308BE"/>
    <w:rsid w:val="5AD34BCE"/>
    <w:rsid w:val="5AD626E7"/>
    <w:rsid w:val="5ADD173D"/>
    <w:rsid w:val="5AE56F06"/>
    <w:rsid w:val="5AE605F2"/>
    <w:rsid w:val="5AE7770C"/>
    <w:rsid w:val="5AF3693D"/>
    <w:rsid w:val="5AF50178"/>
    <w:rsid w:val="5AF70A51"/>
    <w:rsid w:val="5B04316E"/>
    <w:rsid w:val="5B0C41F8"/>
    <w:rsid w:val="5B1838AB"/>
    <w:rsid w:val="5B1A473F"/>
    <w:rsid w:val="5B1E1495"/>
    <w:rsid w:val="5B2630E4"/>
    <w:rsid w:val="5B2854DF"/>
    <w:rsid w:val="5B296730"/>
    <w:rsid w:val="5B2B24A8"/>
    <w:rsid w:val="5B2C22D5"/>
    <w:rsid w:val="5B4D68C3"/>
    <w:rsid w:val="5B516433"/>
    <w:rsid w:val="5B5C727B"/>
    <w:rsid w:val="5B61411C"/>
    <w:rsid w:val="5B6E1A2A"/>
    <w:rsid w:val="5B721E85"/>
    <w:rsid w:val="5B726329"/>
    <w:rsid w:val="5B743E4F"/>
    <w:rsid w:val="5B7622C9"/>
    <w:rsid w:val="5B776ABD"/>
    <w:rsid w:val="5B7878AF"/>
    <w:rsid w:val="5B7C4AB2"/>
    <w:rsid w:val="5B7E4CCE"/>
    <w:rsid w:val="5B81031A"/>
    <w:rsid w:val="5B823596"/>
    <w:rsid w:val="5B8557CF"/>
    <w:rsid w:val="5B927547"/>
    <w:rsid w:val="5B94004E"/>
    <w:rsid w:val="5B956793"/>
    <w:rsid w:val="5B9976DE"/>
    <w:rsid w:val="5B9B5880"/>
    <w:rsid w:val="5BA51798"/>
    <w:rsid w:val="5BA557F4"/>
    <w:rsid w:val="5BA60FE6"/>
    <w:rsid w:val="5BA960B3"/>
    <w:rsid w:val="5BAD0984"/>
    <w:rsid w:val="5BBC75A4"/>
    <w:rsid w:val="5BBE64E2"/>
    <w:rsid w:val="5BC3093E"/>
    <w:rsid w:val="5BC546AB"/>
    <w:rsid w:val="5BC90F32"/>
    <w:rsid w:val="5BCE4273"/>
    <w:rsid w:val="5BCF5430"/>
    <w:rsid w:val="5BCF552A"/>
    <w:rsid w:val="5BDE3464"/>
    <w:rsid w:val="5BDF7090"/>
    <w:rsid w:val="5BE7019D"/>
    <w:rsid w:val="5BF119E3"/>
    <w:rsid w:val="5BF84A80"/>
    <w:rsid w:val="5BF872CF"/>
    <w:rsid w:val="5BFB631F"/>
    <w:rsid w:val="5C040177"/>
    <w:rsid w:val="5C052E74"/>
    <w:rsid w:val="5C0627FA"/>
    <w:rsid w:val="5C097FE8"/>
    <w:rsid w:val="5C115B42"/>
    <w:rsid w:val="5C182A2D"/>
    <w:rsid w:val="5C1967A5"/>
    <w:rsid w:val="5C1A3C85"/>
    <w:rsid w:val="5C1D5FD0"/>
    <w:rsid w:val="5C1E5B4F"/>
    <w:rsid w:val="5C224CF8"/>
    <w:rsid w:val="5C271F84"/>
    <w:rsid w:val="5C2A6C04"/>
    <w:rsid w:val="5C2D50F1"/>
    <w:rsid w:val="5C2F366B"/>
    <w:rsid w:val="5C302E76"/>
    <w:rsid w:val="5C315184"/>
    <w:rsid w:val="5C3151DE"/>
    <w:rsid w:val="5C3A2482"/>
    <w:rsid w:val="5C45362E"/>
    <w:rsid w:val="5C482E9B"/>
    <w:rsid w:val="5C534966"/>
    <w:rsid w:val="5C5D3282"/>
    <w:rsid w:val="5C6120DF"/>
    <w:rsid w:val="5C6374D4"/>
    <w:rsid w:val="5C6949A3"/>
    <w:rsid w:val="5C6A68A5"/>
    <w:rsid w:val="5C7369F0"/>
    <w:rsid w:val="5C78796F"/>
    <w:rsid w:val="5C790656"/>
    <w:rsid w:val="5C7D79C2"/>
    <w:rsid w:val="5C806824"/>
    <w:rsid w:val="5C817872"/>
    <w:rsid w:val="5C8F6A67"/>
    <w:rsid w:val="5C973129"/>
    <w:rsid w:val="5C985FDC"/>
    <w:rsid w:val="5C9A389C"/>
    <w:rsid w:val="5C9C7832"/>
    <w:rsid w:val="5C9D004D"/>
    <w:rsid w:val="5C9D1184"/>
    <w:rsid w:val="5C9F101C"/>
    <w:rsid w:val="5CA249EC"/>
    <w:rsid w:val="5CA637F9"/>
    <w:rsid w:val="5CA7731B"/>
    <w:rsid w:val="5CA92850"/>
    <w:rsid w:val="5CAC47AA"/>
    <w:rsid w:val="5CAE513F"/>
    <w:rsid w:val="5CB44AA8"/>
    <w:rsid w:val="5CB52C4E"/>
    <w:rsid w:val="5CB954A6"/>
    <w:rsid w:val="5CBA3AE4"/>
    <w:rsid w:val="5CBE0CF5"/>
    <w:rsid w:val="5CC2242D"/>
    <w:rsid w:val="5CC42BB4"/>
    <w:rsid w:val="5CC46C4B"/>
    <w:rsid w:val="5CC96CF2"/>
    <w:rsid w:val="5CCB6710"/>
    <w:rsid w:val="5CCD7CBB"/>
    <w:rsid w:val="5CD8040E"/>
    <w:rsid w:val="5CE45F9E"/>
    <w:rsid w:val="5CE70DBC"/>
    <w:rsid w:val="5CE9481E"/>
    <w:rsid w:val="5CF52D6E"/>
    <w:rsid w:val="5CFB06F8"/>
    <w:rsid w:val="5D0153EA"/>
    <w:rsid w:val="5D035CDC"/>
    <w:rsid w:val="5D044011"/>
    <w:rsid w:val="5D0607CD"/>
    <w:rsid w:val="5D0737D1"/>
    <w:rsid w:val="5D0D559B"/>
    <w:rsid w:val="5D0E43AC"/>
    <w:rsid w:val="5D23625D"/>
    <w:rsid w:val="5D2C2B85"/>
    <w:rsid w:val="5D395350"/>
    <w:rsid w:val="5D3970FE"/>
    <w:rsid w:val="5D3C11F3"/>
    <w:rsid w:val="5D3E3DB9"/>
    <w:rsid w:val="5D3F048D"/>
    <w:rsid w:val="5D3F1672"/>
    <w:rsid w:val="5D431D2B"/>
    <w:rsid w:val="5D4D0EA1"/>
    <w:rsid w:val="5D4F50BF"/>
    <w:rsid w:val="5D502B73"/>
    <w:rsid w:val="5D566CFD"/>
    <w:rsid w:val="5D5A7075"/>
    <w:rsid w:val="5D6B528B"/>
    <w:rsid w:val="5D72616D"/>
    <w:rsid w:val="5D740137"/>
    <w:rsid w:val="5D750FB4"/>
    <w:rsid w:val="5D7729E3"/>
    <w:rsid w:val="5D7964E3"/>
    <w:rsid w:val="5D850511"/>
    <w:rsid w:val="5D881E34"/>
    <w:rsid w:val="5D8A772D"/>
    <w:rsid w:val="5D8C76EA"/>
    <w:rsid w:val="5D94083C"/>
    <w:rsid w:val="5D9C1551"/>
    <w:rsid w:val="5D9C5E07"/>
    <w:rsid w:val="5DA57630"/>
    <w:rsid w:val="5DA86032"/>
    <w:rsid w:val="5DA864A0"/>
    <w:rsid w:val="5DAA3B58"/>
    <w:rsid w:val="5DAD611A"/>
    <w:rsid w:val="5DAF3958"/>
    <w:rsid w:val="5DB03139"/>
    <w:rsid w:val="5DB113C0"/>
    <w:rsid w:val="5DB5380B"/>
    <w:rsid w:val="5DB621EE"/>
    <w:rsid w:val="5DB838B5"/>
    <w:rsid w:val="5DB84258"/>
    <w:rsid w:val="5DB9494B"/>
    <w:rsid w:val="5DC170F4"/>
    <w:rsid w:val="5DC42740"/>
    <w:rsid w:val="5DC54774"/>
    <w:rsid w:val="5DD105A3"/>
    <w:rsid w:val="5DD22F5C"/>
    <w:rsid w:val="5DDF6EAB"/>
    <w:rsid w:val="5DE000D6"/>
    <w:rsid w:val="5DE03A1E"/>
    <w:rsid w:val="5DE06E52"/>
    <w:rsid w:val="5DE24181"/>
    <w:rsid w:val="5DE7005B"/>
    <w:rsid w:val="5DE84681"/>
    <w:rsid w:val="5DEB3A4C"/>
    <w:rsid w:val="5DF94AE0"/>
    <w:rsid w:val="5E084D23"/>
    <w:rsid w:val="5E093A84"/>
    <w:rsid w:val="5E0B03FA"/>
    <w:rsid w:val="5E102D9C"/>
    <w:rsid w:val="5E2558D5"/>
    <w:rsid w:val="5E282044"/>
    <w:rsid w:val="5E2E270B"/>
    <w:rsid w:val="5E33164D"/>
    <w:rsid w:val="5E3562F4"/>
    <w:rsid w:val="5E394EDC"/>
    <w:rsid w:val="5E417A42"/>
    <w:rsid w:val="5E420235"/>
    <w:rsid w:val="5E525F9E"/>
    <w:rsid w:val="5E58758A"/>
    <w:rsid w:val="5E622685"/>
    <w:rsid w:val="5E6B193C"/>
    <w:rsid w:val="5E6C3223"/>
    <w:rsid w:val="5E6C3504"/>
    <w:rsid w:val="5E6D4B86"/>
    <w:rsid w:val="5E7303EE"/>
    <w:rsid w:val="5E770480"/>
    <w:rsid w:val="5E79352B"/>
    <w:rsid w:val="5E7B3DF7"/>
    <w:rsid w:val="5E8624A4"/>
    <w:rsid w:val="5E911FEC"/>
    <w:rsid w:val="5E9E7A15"/>
    <w:rsid w:val="5EA67A73"/>
    <w:rsid w:val="5EA924B6"/>
    <w:rsid w:val="5EAB7367"/>
    <w:rsid w:val="5EAC7C41"/>
    <w:rsid w:val="5EAE58CA"/>
    <w:rsid w:val="5EB102DC"/>
    <w:rsid w:val="5EB32EE1"/>
    <w:rsid w:val="5EC36513"/>
    <w:rsid w:val="5EC7073A"/>
    <w:rsid w:val="5EC7698C"/>
    <w:rsid w:val="5ECA3D86"/>
    <w:rsid w:val="5ECC3FA2"/>
    <w:rsid w:val="5ED06E8A"/>
    <w:rsid w:val="5ED40802"/>
    <w:rsid w:val="5ED52E57"/>
    <w:rsid w:val="5EE03C07"/>
    <w:rsid w:val="5EE431F5"/>
    <w:rsid w:val="5EE56729"/>
    <w:rsid w:val="5EE963B9"/>
    <w:rsid w:val="5EEA61D6"/>
    <w:rsid w:val="5EF05EE3"/>
    <w:rsid w:val="5EF3774E"/>
    <w:rsid w:val="5EF534F9"/>
    <w:rsid w:val="5EF808F3"/>
    <w:rsid w:val="5EF855A5"/>
    <w:rsid w:val="5F020305"/>
    <w:rsid w:val="5F054E72"/>
    <w:rsid w:val="5F081DC5"/>
    <w:rsid w:val="5F093737"/>
    <w:rsid w:val="5F096FA4"/>
    <w:rsid w:val="5F0B0627"/>
    <w:rsid w:val="5F0C2090"/>
    <w:rsid w:val="5F0D15D7"/>
    <w:rsid w:val="5F105C3D"/>
    <w:rsid w:val="5F1665C5"/>
    <w:rsid w:val="5F1A654B"/>
    <w:rsid w:val="5F1D47FE"/>
    <w:rsid w:val="5F1D65AC"/>
    <w:rsid w:val="5F204545"/>
    <w:rsid w:val="5F2064BF"/>
    <w:rsid w:val="5F235AFE"/>
    <w:rsid w:val="5F282FD3"/>
    <w:rsid w:val="5F2E6A0B"/>
    <w:rsid w:val="5F37766E"/>
    <w:rsid w:val="5F3C7778"/>
    <w:rsid w:val="5F3F6F36"/>
    <w:rsid w:val="5F426012"/>
    <w:rsid w:val="5F457F02"/>
    <w:rsid w:val="5F4A5B98"/>
    <w:rsid w:val="5F4B3119"/>
    <w:rsid w:val="5F4E7239"/>
    <w:rsid w:val="5F542CA1"/>
    <w:rsid w:val="5F5B030B"/>
    <w:rsid w:val="5F5E0B2A"/>
    <w:rsid w:val="5F5F71CF"/>
    <w:rsid w:val="5F622211"/>
    <w:rsid w:val="5F65183E"/>
    <w:rsid w:val="5F652E15"/>
    <w:rsid w:val="5F775D49"/>
    <w:rsid w:val="5F787A1B"/>
    <w:rsid w:val="5F7E34EF"/>
    <w:rsid w:val="5F8003AD"/>
    <w:rsid w:val="5F814EFD"/>
    <w:rsid w:val="5F8A26F7"/>
    <w:rsid w:val="5F8C3F86"/>
    <w:rsid w:val="5F8D6BD2"/>
    <w:rsid w:val="5F8E1F3F"/>
    <w:rsid w:val="5F903222"/>
    <w:rsid w:val="5F9745B0"/>
    <w:rsid w:val="5F9C4352"/>
    <w:rsid w:val="5F9C7B2B"/>
    <w:rsid w:val="5F9D0AA7"/>
    <w:rsid w:val="5F9D59FD"/>
    <w:rsid w:val="5F9E4734"/>
    <w:rsid w:val="5FAB005C"/>
    <w:rsid w:val="5FAD4477"/>
    <w:rsid w:val="5FB91E65"/>
    <w:rsid w:val="5FBB029F"/>
    <w:rsid w:val="5FBB7D3C"/>
    <w:rsid w:val="5FBC14C5"/>
    <w:rsid w:val="5FCD5990"/>
    <w:rsid w:val="5FD650D9"/>
    <w:rsid w:val="5FDF3861"/>
    <w:rsid w:val="5FE505F4"/>
    <w:rsid w:val="5FE86052"/>
    <w:rsid w:val="5FE95790"/>
    <w:rsid w:val="5FF217E7"/>
    <w:rsid w:val="5FFA71EE"/>
    <w:rsid w:val="5FFB769D"/>
    <w:rsid w:val="5FFF5CB2"/>
    <w:rsid w:val="600862B2"/>
    <w:rsid w:val="6009338C"/>
    <w:rsid w:val="600F2399"/>
    <w:rsid w:val="600F548E"/>
    <w:rsid w:val="602731BE"/>
    <w:rsid w:val="602B7D89"/>
    <w:rsid w:val="6032665A"/>
    <w:rsid w:val="6037026B"/>
    <w:rsid w:val="60383B8E"/>
    <w:rsid w:val="603A7A1A"/>
    <w:rsid w:val="603B4E1E"/>
    <w:rsid w:val="603D5158"/>
    <w:rsid w:val="604007A4"/>
    <w:rsid w:val="604B6664"/>
    <w:rsid w:val="604C2EF1"/>
    <w:rsid w:val="604C6DB9"/>
    <w:rsid w:val="60522F80"/>
    <w:rsid w:val="605543FD"/>
    <w:rsid w:val="605C7663"/>
    <w:rsid w:val="60665237"/>
    <w:rsid w:val="60695F4D"/>
    <w:rsid w:val="606C77EB"/>
    <w:rsid w:val="606C7D42"/>
    <w:rsid w:val="6071407C"/>
    <w:rsid w:val="60716BAF"/>
    <w:rsid w:val="60795A64"/>
    <w:rsid w:val="608368E3"/>
    <w:rsid w:val="608C5797"/>
    <w:rsid w:val="608F34D9"/>
    <w:rsid w:val="608F6ECF"/>
    <w:rsid w:val="60940AF0"/>
    <w:rsid w:val="6097464E"/>
    <w:rsid w:val="609C5C96"/>
    <w:rsid w:val="609D68B2"/>
    <w:rsid w:val="609D79A4"/>
    <w:rsid w:val="60A30D33"/>
    <w:rsid w:val="60AF7E8F"/>
    <w:rsid w:val="60B13450"/>
    <w:rsid w:val="60BA2CED"/>
    <w:rsid w:val="60C74A21"/>
    <w:rsid w:val="60C75998"/>
    <w:rsid w:val="60C824B9"/>
    <w:rsid w:val="60CC6DF2"/>
    <w:rsid w:val="60D31618"/>
    <w:rsid w:val="60D5041F"/>
    <w:rsid w:val="60D64C64"/>
    <w:rsid w:val="60E12B05"/>
    <w:rsid w:val="60E912BD"/>
    <w:rsid w:val="60F10242"/>
    <w:rsid w:val="60F1341C"/>
    <w:rsid w:val="60F24422"/>
    <w:rsid w:val="60F35816"/>
    <w:rsid w:val="61075D4C"/>
    <w:rsid w:val="61080DBA"/>
    <w:rsid w:val="610C2DF5"/>
    <w:rsid w:val="61120392"/>
    <w:rsid w:val="61131A15"/>
    <w:rsid w:val="61180507"/>
    <w:rsid w:val="611D3029"/>
    <w:rsid w:val="612007AF"/>
    <w:rsid w:val="61224D8A"/>
    <w:rsid w:val="6126799A"/>
    <w:rsid w:val="612909DD"/>
    <w:rsid w:val="612A6676"/>
    <w:rsid w:val="61362C91"/>
    <w:rsid w:val="61371BA7"/>
    <w:rsid w:val="613823C0"/>
    <w:rsid w:val="6140338F"/>
    <w:rsid w:val="6149500A"/>
    <w:rsid w:val="615434A5"/>
    <w:rsid w:val="61570D42"/>
    <w:rsid w:val="6159422F"/>
    <w:rsid w:val="615E35D8"/>
    <w:rsid w:val="61674297"/>
    <w:rsid w:val="616B6B50"/>
    <w:rsid w:val="6177433A"/>
    <w:rsid w:val="617F5DF5"/>
    <w:rsid w:val="618225BF"/>
    <w:rsid w:val="61881063"/>
    <w:rsid w:val="61972646"/>
    <w:rsid w:val="61993F9A"/>
    <w:rsid w:val="619C5EAE"/>
    <w:rsid w:val="61A94E9F"/>
    <w:rsid w:val="61A961A0"/>
    <w:rsid w:val="61AE3668"/>
    <w:rsid w:val="61BD2B33"/>
    <w:rsid w:val="61BF1B9C"/>
    <w:rsid w:val="61C11C2D"/>
    <w:rsid w:val="61C31E76"/>
    <w:rsid w:val="61C97908"/>
    <w:rsid w:val="61CE185A"/>
    <w:rsid w:val="61D00F25"/>
    <w:rsid w:val="61D50FE9"/>
    <w:rsid w:val="61D759CA"/>
    <w:rsid w:val="61E2477C"/>
    <w:rsid w:val="61E949E9"/>
    <w:rsid w:val="61F11F59"/>
    <w:rsid w:val="61F80608"/>
    <w:rsid w:val="6200468F"/>
    <w:rsid w:val="62010C82"/>
    <w:rsid w:val="620121B5"/>
    <w:rsid w:val="62056FC1"/>
    <w:rsid w:val="620577D3"/>
    <w:rsid w:val="62127F1E"/>
    <w:rsid w:val="621724B5"/>
    <w:rsid w:val="621B1DD8"/>
    <w:rsid w:val="621D4D0A"/>
    <w:rsid w:val="6220088D"/>
    <w:rsid w:val="62243CEC"/>
    <w:rsid w:val="62255EA3"/>
    <w:rsid w:val="622A7473"/>
    <w:rsid w:val="623161EC"/>
    <w:rsid w:val="62344338"/>
    <w:rsid w:val="623600B0"/>
    <w:rsid w:val="623A38D9"/>
    <w:rsid w:val="623D1262"/>
    <w:rsid w:val="62442EF6"/>
    <w:rsid w:val="624613DA"/>
    <w:rsid w:val="6249682D"/>
    <w:rsid w:val="624A3B5C"/>
    <w:rsid w:val="624C47EB"/>
    <w:rsid w:val="624D53FA"/>
    <w:rsid w:val="625853C2"/>
    <w:rsid w:val="62650996"/>
    <w:rsid w:val="62681B73"/>
    <w:rsid w:val="62683FE2"/>
    <w:rsid w:val="626A6520"/>
    <w:rsid w:val="626F5F64"/>
    <w:rsid w:val="627120AE"/>
    <w:rsid w:val="627135E7"/>
    <w:rsid w:val="627619C6"/>
    <w:rsid w:val="627D5CDF"/>
    <w:rsid w:val="627E6257"/>
    <w:rsid w:val="627F7335"/>
    <w:rsid w:val="62802B1E"/>
    <w:rsid w:val="62816E52"/>
    <w:rsid w:val="62824D3E"/>
    <w:rsid w:val="628506F0"/>
    <w:rsid w:val="628B7B1B"/>
    <w:rsid w:val="62960B4F"/>
    <w:rsid w:val="62990FB6"/>
    <w:rsid w:val="629A1E2A"/>
    <w:rsid w:val="629C4C96"/>
    <w:rsid w:val="62A56FE4"/>
    <w:rsid w:val="62A775D2"/>
    <w:rsid w:val="62AF5A6B"/>
    <w:rsid w:val="62B114E5"/>
    <w:rsid w:val="62B17C91"/>
    <w:rsid w:val="62B2513E"/>
    <w:rsid w:val="62B479A9"/>
    <w:rsid w:val="62B766CD"/>
    <w:rsid w:val="62C51707"/>
    <w:rsid w:val="62C728EC"/>
    <w:rsid w:val="62DA5E61"/>
    <w:rsid w:val="62DD5378"/>
    <w:rsid w:val="62E2684A"/>
    <w:rsid w:val="62E34971"/>
    <w:rsid w:val="62E34DB2"/>
    <w:rsid w:val="62E47B0C"/>
    <w:rsid w:val="62E80C7F"/>
    <w:rsid w:val="62EC5F9A"/>
    <w:rsid w:val="62F41505"/>
    <w:rsid w:val="62F7012E"/>
    <w:rsid w:val="63016180"/>
    <w:rsid w:val="63020226"/>
    <w:rsid w:val="630261E5"/>
    <w:rsid w:val="630C7B81"/>
    <w:rsid w:val="63104802"/>
    <w:rsid w:val="63181564"/>
    <w:rsid w:val="631958C6"/>
    <w:rsid w:val="631D258B"/>
    <w:rsid w:val="632443AD"/>
    <w:rsid w:val="63260125"/>
    <w:rsid w:val="632C5C7E"/>
    <w:rsid w:val="63387188"/>
    <w:rsid w:val="633A597E"/>
    <w:rsid w:val="633A772C"/>
    <w:rsid w:val="633D546F"/>
    <w:rsid w:val="633E6DDC"/>
    <w:rsid w:val="633F4C5E"/>
    <w:rsid w:val="63401D75"/>
    <w:rsid w:val="63403134"/>
    <w:rsid w:val="63406D0B"/>
    <w:rsid w:val="63452D57"/>
    <w:rsid w:val="63463CB8"/>
    <w:rsid w:val="634A459E"/>
    <w:rsid w:val="635608BB"/>
    <w:rsid w:val="636045EC"/>
    <w:rsid w:val="63614F2F"/>
    <w:rsid w:val="636A15F7"/>
    <w:rsid w:val="63745F76"/>
    <w:rsid w:val="637864A7"/>
    <w:rsid w:val="637B1AF3"/>
    <w:rsid w:val="637F097F"/>
    <w:rsid w:val="6381137B"/>
    <w:rsid w:val="63822316"/>
    <w:rsid w:val="63841EB0"/>
    <w:rsid w:val="638766EA"/>
    <w:rsid w:val="638B442C"/>
    <w:rsid w:val="638F51F4"/>
    <w:rsid w:val="639B498E"/>
    <w:rsid w:val="63A159FD"/>
    <w:rsid w:val="63A17FBE"/>
    <w:rsid w:val="63A4729C"/>
    <w:rsid w:val="63B32FD2"/>
    <w:rsid w:val="63B36432"/>
    <w:rsid w:val="63B74069"/>
    <w:rsid w:val="63BE65AF"/>
    <w:rsid w:val="63C05C52"/>
    <w:rsid w:val="63C139AA"/>
    <w:rsid w:val="63C811DC"/>
    <w:rsid w:val="63D12174"/>
    <w:rsid w:val="63D23E09"/>
    <w:rsid w:val="63D77671"/>
    <w:rsid w:val="63E1404C"/>
    <w:rsid w:val="63EC7AA2"/>
    <w:rsid w:val="63F70996"/>
    <w:rsid w:val="63F72574"/>
    <w:rsid w:val="63F7561D"/>
    <w:rsid w:val="63F83144"/>
    <w:rsid w:val="63F91396"/>
    <w:rsid w:val="64013CD8"/>
    <w:rsid w:val="64041AE8"/>
    <w:rsid w:val="640E0761"/>
    <w:rsid w:val="640E10FA"/>
    <w:rsid w:val="64122457"/>
    <w:rsid w:val="642503DD"/>
    <w:rsid w:val="642915D3"/>
    <w:rsid w:val="642B1FF1"/>
    <w:rsid w:val="64356063"/>
    <w:rsid w:val="643F73EB"/>
    <w:rsid w:val="643F7705"/>
    <w:rsid w:val="644A4F68"/>
    <w:rsid w:val="64540CC2"/>
    <w:rsid w:val="645E785A"/>
    <w:rsid w:val="64601415"/>
    <w:rsid w:val="646B3DE9"/>
    <w:rsid w:val="646C0E82"/>
    <w:rsid w:val="646C2C2B"/>
    <w:rsid w:val="64722686"/>
    <w:rsid w:val="64722EF6"/>
    <w:rsid w:val="64747F00"/>
    <w:rsid w:val="64756794"/>
    <w:rsid w:val="64762D98"/>
    <w:rsid w:val="647C4B97"/>
    <w:rsid w:val="647F005D"/>
    <w:rsid w:val="64823C39"/>
    <w:rsid w:val="648E6DA5"/>
    <w:rsid w:val="64910C19"/>
    <w:rsid w:val="64950AA2"/>
    <w:rsid w:val="64961430"/>
    <w:rsid w:val="649B7946"/>
    <w:rsid w:val="649C7F73"/>
    <w:rsid w:val="649D3CEF"/>
    <w:rsid w:val="64A415D0"/>
    <w:rsid w:val="64A467F5"/>
    <w:rsid w:val="64A6577B"/>
    <w:rsid w:val="64A84012"/>
    <w:rsid w:val="64AF152E"/>
    <w:rsid w:val="64AF1704"/>
    <w:rsid w:val="64B84856"/>
    <w:rsid w:val="64BF61DD"/>
    <w:rsid w:val="64C71494"/>
    <w:rsid w:val="64D3610E"/>
    <w:rsid w:val="64D628C3"/>
    <w:rsid w:val="64EB4439"/>
    <w:rsid w:val="64EF5B20"/>
    <w:rsid w:val="64F02128"/>
    <w:rsid w:val="64F63B27"/>
    <w:rsid w:val="64FD4EB5"/>
    <w:rsid w:val="64FD7956"/>
    <w:rsid w:val="65001DF2"/>
    <w:rsid w:val="65002086"/>
    <w:rsid w:val="65005799"/>
    <w:rsid w:val="6502071E"/>
    <w:rsid w:val="65030DDA"/>
    <w:rsid w:val="65051FBC"/>
    <w:rsid w:val="65061405"/>
    <w:rsid w:val="65067D34"/>
    <w:rsid w:val="65085608"/>
    <w:rsid w:val="65104072"/>
    <w:rsid w:val="651421FF"/>
    <w:rsid w:val="651550D8"/>
    <w:rsid w:val="651706BE"/>
    <w:rsid w:val="65171A2A"/>
    <w:rsid w:val="6518134B"/>
    <w:rsid w:val="65193183"/>
    <w:rsid w:val="651A5A67"/>
    <w:rsid w:val="651B5108"/>
    <w:rsid w:val="651E1F0B"/>
    <w:rsid w:val="65257F68"/>
    <w:rsid w:val="65271F32"/>
    <w:rsid w:val="652D70B7"/>
    <w:rsid w:val="652E514F"/>
    <w:rsid w:val="653463FD"/>
    <w:rsid w:val="65404FA1"/>
    <w:rsid w:val="654242E5"/>
    <w:rsid w:val="655454D5"/>
    <w:rsid w:val="65591123"/>
    <w:rsid w:val="65594988"/>
    <w:rsid w:val="655D04B0"/>
    <w:rsid w:val="655F40D5"/>
    <w:rsid w:val="65622F6B"/>
    <w:rsid w:val="656932AC"/>
    <w:rsid w:val="656A760B"/>
    <w:rsid w:val="65767E96"/>
    <w:rsid w:val="65770897"/>
    <w:rsid w:val="657B7C6C"/>
    <w:rsid w:val="65896749"/>
    <w:rsid w:val="658A15B1"/>
    <w:rsid w:val="658D3D93"/>
    <w:rsid w:val="65907AD8"/>
    <w:rsid w:val="659C1F4E"/>
    <w:rsid w:val="65A21488"/>
    <w:rsid w:val="65A256B6"/>
    <w:rsid w:val="65A573B4"/>
    <w:rsid w:val="65A8667D"/>
    <w:rsid w:val="65A92947"/>
    <w:rsid w:val="65AA6944"/>
    <w:rsid w:val="65AC068A"/>
    <w:rsid w:val="65AD1EDC"/>
    <w:rsid w:val="65AD68DC"/>
    <w:rsid w:val="65B062D9"/>
    <w:rsid w:val="65B12DD4"/>
    <w:rsid w:val="65B35574"/>
    <w:rsid w:val="65BA2E77"/>
    <w:rsid w:val="65BB0263"/>
    <w:rsid w:val="65BD70AD"/>
    <w:rsid w:val="65C0624F"/>
    <w:rsid w:val="65C6174B"/>
    <w:rsid w:val="65C77271"/>
    <w:rsid w:val="65D06126"/>
    <w:rsid w:val="65D26468"/>
    <w:rsid w:val="65DA0838"/>
    <w:rsid w:val="65DD539C"/>
    <w:rsid w:val="65E72A17"/>
    <w:rsid w:val="65F92A04"/>
    <w:rsid w:val="65F92DAD"/>
    <w:rsid w:val="65FE0EE5"/>
    <w:rsid w:val="65FF07B9"/>
    <w:rsid w:val="660869D4"/>
    <w:rsid w:val="660A16B3"/>
    <w:rsid w:val="660E0F62"/>
    <w:rsid w:val="660E3E54"/>
    <w:rsid w:val="66106931"/>
    <w:rsid w:val="66106E6A"/>
    <w:rsid w:val="66124991"/>
    <w:rsid w:val="66194607"/>
    <w:rsid w:val="661F4C53"/>
    <w:rsid w:val="66231BCB"/>
    <w:rsid w:val="66240220"/>
    <w:rsid w:val="662446C4"/>
    <w:rsid w:val="6627070C"/>
    <w:rsid w:val="66292968"/>
    <w:rsid w:val="662A2DDB"/>
    <w:rsid w:val="66342F25"/>
    <w:rsid w:val="66357E93"/>
    <w:rsid w:val="6638639E"/>
    <w:rsid w:val="663A5C95"/>
    <w:rsid w:val="663A7A43"/>
    <w:rsid w:val="663C384C"/>
    <w:rsid w:val="66417024"/>
    <w:rsid w:val="66442670"/>
    <w:rsid w:val="6646288C"/>
    <w:rsid w:val="6646463A"/>
    <w:rsid w:val="66495ED8"/>
    <w:rsid w:val="664E34EF"/>
    <w:rsid w:val="664F4EF8"/>
    <w:rsid w:val="66520A4F"/>
    <w:rsid w:val="665723A3"/>
    <w:rsid w:val="66582E7B"/>
    <w:rsid w:val="665F34A3"/>
    <w:rsid w:val="66624DFD"/>
    <w:rsid w:val="666920D7"/>
    <w:rsid w:val="667445FD"/>
    <w:rsid w:val="66753E89"/>
    <w:rsid w:val="66786D26"/>
    <w:rsid w:val="667B2432"/>
    <w:rsid w:val="667C005C"/>
    <w:rsid w:val="667C7C61"/>
    <w:rsid w:val="66821E35"/>
    <w:rsid w:val="66834220"/>
    <w:rsid w:val="66864095"/>
    <w:rsid w:val="6686712D"/>
    <w:rsid w:val="66867451"/>
    <w:rsid w:val="6695111E"/>
    <w:rsid w:val="669970BB"/>
    <w:rsid w:val="669A7BDB"/>
    <w:rsid w:val="66B23433"/>
    <w:rsid w:val="66B707FE"/>
    <w:rsid w:val="66C003F5"/>
    <w:rsid w:val="66C35765"/>
    <w:rsid w:val="66CA526B"/>
    <w:rsid w:val="66D26368"/>
    <w:rsid w:val="66D63AFB"/>
    <w:rsid w:val="66D84587"/>
    <w:rsid w:val="66D954AE"/>
    <w:rsid w:val="66D97662"/>
    <w:rsid w:val="66DA4732"/>
    <w:rsid w:val="66DC597E"/>
    <w:rsid w:val="66E36B59"/>
    <w:rsid w:val="66EB7A24"/>
    <w:rsid w:val="66EC3219"/>
    <w:rsid w:val="66EC612B"/>
    <w:rsid w:val="66F2031E"/>
    <w:rsid w:val="66FB3677"/>
    <w:rsid w:val="67006EDF"/>
    <w:rsid w:val="6703077D"/>
    <w:rsid w:val="671E0C04"/>
    <w:rsid w:val="671E604E"/>
    <w:rsid w:val="671F55B7"/>
    <w:rsid w:val="67232CD9"/>
    <w:rsid w:val="67235F80"/>
    <w:rsid w:val="67246540"/>
    <w:rsid w:val="6729598A"/>
    <w:rsid w:val="672A3F5C"/>
    <w:rsid w:val="672E5653"/>
    <w:rsid w:val="67303132"/>
    <w:rsid w:val="673117A1"/>
    <w:rsid w:val="67395F4D"/>
    <w:rsid w:val="673D2DDC"/>
    <w:rsid w:val="673E6CA6"/>
    <w:rsid w:val="673F7A07"/>
    <w:rsid w:val="674072DB"/>
    <w:rsid w:val="67413BF6"/>
    <w:rsid w:val="674212A6"/>
    <w:rsid w:val="674A63AC"/>
    <w:rsid w:val="675A65EF"/>
    <w:rsid w:val="675B4115"/>
    <w:rsid w:val="675C40F8"/>
    <w:rsid w:val="675E318F"/>
    <w:rsid w:val="67633581"/>
    <w:rsid w:val="67647172"/>
    <w:rsid w:val="6769391C"/>
    <w:rsid w:val="676A25AA"/>
    <w:rsid w:val="676E2419"/>
    <w:rsid w:val="67712FCD"/>
    <w:rsid w:val="67746F85"/>
    <w:rsid w:val="67767967"/>
    <w:rsid w:val="67772E36"/>
    <w:rsid w:val="677937D6"/>
    <w:rsid w:val="677A0A3F"/>
    <w:rsid w:val="67801312"/>
    <w:rsid w:val="67824321"/>
    <w:rsid w:val="6784541A"/>
    <w:rsid w:val="6785562F"/>
    <w:rsid w:val="67857B6D"/>
    <w:rsid w:val="678738AA"/>
    <w:rsid w:val="678C2146"/>
    <w:rsid w:val="67900263"/>
    <w:rsid w:val="679517C0"/>
    <w:rsid w:val="679E0650"/>
    <w:rsid w:val="679F2254"/>
    <w:rsid w:val="67A05FCC"/>
    <w:rsid w:val="67A64393"/>
    <w:rsid w:val="67A96406"/>
    <w:rsid w:val="67AC16CA"/>
    <w:rsid w:val="67AF7FBD"/>
    <w:rsid w:val="67B30ACF"/>
    <w:rsid w:val="67B4474D"/>
    <w:rsid w:val="67CC2909"/>
    <w:rsid w:val="67CE0EC2"/>
    <w:rsid w:val="67D247FF"/>
    <w:rsid w:val="67D50E67"/>
    <w:rsid w:val="67D61813"/>
    <w:rsid w:val="67D77C40"/>
    <w:rsid w:val="67D92B1D"/>
    <w:rsid w:val="67DC5256"/>
    <w:rsid w:val="67DD4B2A"/>
    <w:rsid w:val="67E51529"/>
    <w:rsid w:val="67EB36EB"/>
    <w:rsid w:val="67F03745"/>
    <w:rsid w:val="67F178F7"/>
    <w:rsid w:val="67F55F60"/>
    <w:rsid w:val="67FB3202"/>
    <w:rsid w:val="67FB3DBB"/>
    <w:rsid w:val="67FD341E"/>
    <w:rsid w:val="68006FC6"/>
    <w:rsid w:val="68026259"/>
    <w:rsid w:val="6802739F"/>
    <w:rsid w:val="68091434"/>
    <w:rsid w:val="680F3215"/>
    <w:rsid w:val="68182378"/>
    <w:rsid w:val="68191E2E"/>
    <w:rsid w:val="681C1AF7"/>
    <w:rsid w:val="68241307"/>
    <w:rsid w:val="68242759"/>
    <w:rsid w:val="68246BFD"/>
    <w:rsid w:val="68261123"/>
    <w:rsid w:val="682D3D04"/>
    <w:rsid w:val="682D5C8C"/>
    <w:rsid w:val="68376930"/>
    <w:rsid w:val="683C25E6"/>
    <w:rsid w:val="683D44C8"/>
    <w:rsid w:val="68437083"/>
    <w:rsid w:val="68445950"/>
    <w:rsid w:val="68460981"/>
    <w:rsid w:val="684921C0"/>
    <w:rsid w:val="6849487F"/>
    <w:rsid w:val="68573579"/>
    <w:rsid w:val="685A02DE"/>
    <w:rsid w:val="6865645C"/>
    <w:rsid w:val="686961EC"/>
    <w:rsid w:val="686B65DA"/>
    <w:rsid w:val="686F4D92"/>
    <w:rsid w:val="687234C5"/>
    <w:rsid w:val="687B1E0C"/>
    <w:rsid w:val="687C3C64"/>
    <w:rsid w:val="687E00BB"/>
    <w:rsid w:val="68811BD5"/>
    <w:rsid w:val="68815DFE"/>
    <w:rsid w:val="688B27D8"/>
    <w:rsid w:val="688F02F3"/>
    <w:rsid w:val="68990638"/>
    <w:rsid w:val="689A2A1B"/>
    <w:rsid w:val="689B7994"/>
    <w:rsid w:val="68A814C3"/>
    <w:rsid w:val="68A81F98"/>
    <w:rsid w:val="68AD274F"/>
    <w:rsid w:val="68AF296B"/>
    <w:rsid w:val="68B24209"/>
    <w:rsid w:val="68B773BC"/>
    <w:rsid w:val="68B81D07"/>
    <w:rsid w:val="68B96B17"/>
    <w:rsid w:val="68BA0FB7"/>
    <w:rsid w:val="68BD4508"/>
    <w:rsid w:val="68BD4621"/>
    <w:rsid w:val="68BE495C"/>
    <w:rsid w:val="68C00331"/>
    <w:rsid w:val="68C96D7B"/>
    <w:rsid w:val="68D02873"/>
    <w:rsid w:val="68D47785"/>
    <w:rsid w:val="68D51CA5"/>
    <w:rsid w:val="68D67EF7"/>
    <w:rsid w:val="68DC21D6"/>
    <w:rsid w:val="68DE0B5A"/>
    <w:rsid w:val="68DF1875"/>
    <w:rsid w:val="68E24AEE"/>
    <w:rsid w:val="68E81FE4"/>
    <w:rsid w:val="68EF720B"/>
    <w:rsid w:val="68F53959"/>
    <w:rsid w:val="690507DD"/>
    <w:rsid w:val="690700C6"/>
    <w:rsid w:val="690E792C"/>
    <w:rsid w:val="69106A0C"/>
    <w:rsid w:val="691256B8"/>
    <w:rsid w:val="69132EFA"/>
    <w:rsid w:val="691B3B5C"/>
    <w:rsid w:val="691B6F90"/>
    <w:rsid w:val="692A1471"/>
    <w:rsid w:val="692C5D69"/>
    <w:rsid w:val="692C7B17"/>
    <w:rsid w:val="692E11B1"/>
    <w:rsid w:val="69327233"/>
    <w:rsid w:val="69341963"/>
    <w:rsid w:val="693764BC"/>
    <w:rsid w:val="69380A1B"/>
    <w:rsid w:val="693B5FAC"/>
    <w:rsid w:val="69484BD8"/>
    <w:rsid w:val="694A449E"/>
    <w:rsid w:val="695157D0"/>
    <w:rsid w:val="69531548"/>
    <w:rsid w:val="695977F4"/>
    <w:rsid w:val="696142A0"/>
    <w:rsid w:val="69661E67"/>
    <w:rsid w:val="69672476"/>
    <w:rsid w:val="696A4AE4"/>
    <w:rsid w:val="696C3079"/>
    <w:rsid w:val="69755AAC"/>
    <w:rsid w:val="69781437"/>
    <w:rsid w:val="69801C11"/>
    <w:rsid w:val="698376DA"/>
    <w:rsid w:val="698B0C17"/>
    <w:rsid w:val="698D4236"/>
    <w:rsid w:val="699064E4"/>
    <w:rsid w:val="69912723"/>
    <w:rsid w:val="699B6A4B"/>
    <w:rsid w:val="699E60C0"/>
    <w:rsid w:val="69A27DD9"/>
    <w:rsid w:val="69B17D90"/>
    <w:rsid w:val="69B566C5"/>
    <w:rsid w:val="69BE745D"/>
    <w:rsid w:val="69BF6BDD"/>
    <w:rsid w:val="69C22EC0"/>
    <w:rsid w:val="69C455BB"/>
    <w:rsid w:val="69C60021"/>
    <w:rsid w:val="69CC12FA"/>
    <w:rsid w:val="69D467B8"/>
    <w:rsid w:val="69DA57C5"/>
    <w:rsid w:val="69E14DA6"/>
    <w:rsid w:val="69E20E7E"/>
    <w:rsid w:val="69EC4CA7"/>
    <w:rsid w:val="69ED7EA2"/>
    <w:rsid w:val="69EE0D7A"/>
    <w:rsid w:val="69EE6566"/>
    <w:rsid w:val="69F45FF7"/>
    <w:rsid w:val="69F55085"/>
    <w:rsid w:val="69FD14B4"/>
    <w:rsid w:val="69FD56DA"/>
    <w:rsid w:val="6A00697B"/>
    <w:rsid w:val="6A0960AB"/>
    <w:rsid w:val="6A0D4BE4"/>
    <w:rsid w:val="6A107439"/>
    <w:rsid w:val="6A14109C"/>
    <w:rsid w:val="6A1779EC"/>
    <w:rsid w:val="6A1B7B06"/>
    <w:rsid w:val="6A1D1B56"/>
    <w:rsid w:val="6A275868"/>
    <w:rsid w:val="6A2E0FDE"/>
    <w:rsid w:val="6A335EA2"/>
    <w:rsid w:val="6A3B1B8D"/>
    <w:rsid w:val="6A3F48EE"/>
    <w:rsid w:val="6A4315BC"/>
    <w:rsid w:val="6A475159"/>
    <w:rsid w:val="6A49166D"/>
    <w:rsid w:val="6A492DB9"/>
    <w:rsid w:val="6A4A1414"/>
    <w:rsid w:val="6A4A2B10"/>
    <w:rsid w:val="6A4B161B"/>
    <w:rsid w:val="6A4C4D11"/>
    <w:rsid w:val="6A51241A"/>
    <w:rsid w:val="6A536D12"/>
    <w:rsid w:val="6A546FF2"/>
    <w:rsid w:val="6A5A06B4"/>
    <w:rsid w:val="6A5F3CC1"/>
    <w:rsid w:val="6A602D96"/>
    <w:rsid w:val="6A6552EA"/>
    <w:rsid w:val="6A68153F"/>
    <w:rsid w:val="6A6C0337"/>
    <w:rsid w:val="6A7B7546"/>
    <w:rsid w:val="6A7C35B7"/>
    <w:rsid w:val="6A804764"/>
    <w:rsid w:val="6A8637A5"/>
    <w:rsid w:val="6A867E7E"/>
    <w:rsid w:val="6A8A4A81"/>
    <w:rsid w:val="6A95732B"/>
    <w:rsid w:val="6A982204"/>
    <w:rsid w:val="6AAC22B0"/>
    <w:rsid w:val="6AB10A71"/>
    <w:rsid w:val="6ABA1153"/>
    <w:rsid w:val="6ABE3AB8"/>
    <w:rsid w:val="6AC16985"/>
    <w:rsid w:val="6AD20E4B"/>
    <w:rsid w:val="6AD24287"/>
    <w:rsid w:val="6AD262DF"/>
    <w:rsid w:val="6AD35EC8"/>
    <w:rsid w:val="6AD466B8"/>
    <w:rsid w:val="6AD83BC1"/>
    <w:rsid w:val="6AD83FB1"/>
    <w:rsid w:val="6ADE6BA2"/>
    <w:rsid w:val="6AE0505D"/>
    <w:rsid w:val="6AEC1C1C"/>
    <w:rsid w:val="6AF05745"/>
    <w:rsid w:val="6AF1763B"/>
    <w:rsid w:val="6AF204FC"/>
    <w:rsid w:val="6AF86AEC"/>
    <w:rsid w:val="6AFA2B04"/>
    <w:rsid w:val="6AFD317D"/>
    <w:rsid w:val="6B080110"/>
    <w:rsid w:val="6B097382"/>
    <w:rsid w:val="6B0B0F19"/>
    <w:rsid w:val="6B137831"/>
    <w:rsid w:val="6B1747F7"/>
    <w:rsid w:val="6B19056F"/>
    <w:rsid w:val="6B19231D"/>
    <w:rsid w:val="6B1A1752"/>
    <w:rsid w:val="6B1F15F3"/>
    <w:rsid w:val="6B2643D0"/>
    <w:rsid w:val="6B2D7B77"/>
    <w:rsid w:val="6B2E63C9"/>
    <w:rsid w:val="6B3E1733"/>
    <w:rsid w:val="6B48013F"/>
    <w:rsid w:val="6B481122"/>
    <w:rsid w:val="6B4B624F"/>
    <w:rsid w:val="6B4F185A"/>
    <w:rsid w:val="6B5275A0"/>
    <w:rsid w:val="6B564BDA"/>
    <w:rsid w:val="6B5A286D"/>
    <w:rsid w:val="6B5E7259"/>
    <w:rsid w:val="6B60619E"/>
    <w:rsid w:val="6B607FD8"/>
    <w:rsid w:val="6B657A76"/>
    <w:rsid w:val="6B701064"/>
    <w:rsid w:val="6B737C7F"/>
    <w:rsid w:val="6B774B53"/>
    <w:rsid w:val="6B7C465A"/>
    <w:rsid w:val="6B7D28AC"/>
    <w:rsid w:val="6B7E4876"/>
    <w:rsid w:val="6B8005EE"/>
    <w:rsid w:val="6B8308FD"/>
    <w:rsid w:val="6B8541B4"/>
    <w:rsid w:val="6B895757"/>
    <w:rsid w:val="6B8A526B"/>
    <w:rsid w:val="6B9337F0"/>
    <w:rsid w:val="6B99215D"/>
    <w:rsid w:val="6B9D032E"/>
    <w:rsid w:val="6B9F5688"/>
    <w:rsid w:val="6BAA11C7"/>
    <w:rsid w:val="6BAC61C4"/>
    <w:rsid w:val="6BAD355F"/>
    <w:rsid w:val="6BAD758E"/>
    <w:rsid w:val="6BB237F6"/>
    <w:rsid w:val="6BB25F27"/>
    <w:rsid w:val="6BB512E4"/>
    <w:rsid w:val="6BBD1729"/>
    <w:rsid w:val="6BCC2B18"/>
    <w:rsid w:val="6BD122AE"/>
    <w:rsid w:val="6BD3071E"/>
    <w:rsid w:val="6BD46134"/>
    <w:rsid w:val="6BDA7CFF"/>
    <w:rsid w:val="6BDB5D47"/>
    <w:rsid w:val="6BE3746A"/>
    <w:rsid w:val="6BE553FA"/>
    <w:rsid w:val="6BE6630F"/>
    <w:rsid w:val="6BEC5795"/>
    <w:rsid w:val="6BF36941"/>
    <w:rsid w:val="6BF752AE"/>
    <w:rsid w:val="6BFF1513"/>
    <w:rsid w:val="6C0905E4"/>
    <w:rsid w:val="6C094140"/>
    <w:rsid w:val="6C0E3675"/>
    <w:rsid w:val="6C0F041B"/>
    <w:rsid w:val="6C156B74"/>
    <w:rsid w:val="6C1825D5"/>
    <w:rsid w:val="6C300E1B"/>
    <w:rsid w:val="6C3473D5"/>
    <w:rsid w:val="6C354F35"/>
    <w:rsid w:val="6C413137"/>
    <w:rsid w:val="6C417D7E"/>
    <w:rsid w:val="6C462E57"/>
    <w:rsid w:val="6C465394"/>
    <w:rsid w:val="6C4B0260"/>
    <w:rsid w:val="6C4B6506"/>
    <w:rsid w:val="6C4C0AB9"/>
    <w:rsid w:val="6C4C24F6"/>
    <w:rsid w:val="6C522712"/>
    <w:rsid w:val="6C5B1DE5"/>
    <w:rsid w:val="6C5D6053"/>
    <w:rsid w:val="6C615D2A"/>
    <w:rsid w:val="6C656129"/>
    <w:rsid w:val="6C6770B8"/>
    <w:rsid w:val="6C700663"/>
    <w:rsid w:val="6C7672FB"/>
    <w:rsid w:val="6C771DE0"/>
    <w:rsid w:val="6C7F2654"/>
    <w:rsid w:val="6C8231F4"/>
    <w:rsid w:val="6C8639E2"/>
    <w:rsid w:val="6C9674AB"/>
    <w:rsid w:val="6C983D4B"/>
    <w:rsid w:val="6C9854C4"/>
    <w:rsid w:val="6C9D610B"/>
    <w:rsid w:val="6C9D6479"/>
    <w:rsid w:val="6CA13DEE"/>
    <w:rsid w:val="6CA30CC5"/>
    <w:rsid w:val="6CA4017F"/>
    <w:rsid w:val="6CA44D32"/>
    <w:rsid w:val="6CAB169B"/>
    <w:rsid w:val="6CB237F3"/>
    <w:rsid w:val="6CBA18DE"/>
    <w:rsid w:val="6CBB0C14"/>
    <w:rsid w:val="6CBE1180"/>
    <w:rsid w:val="6CC9701C"/>
    <w:rsid w:val="6CCC7458"/>
    <w:rsid w:val="6CCE55B8"/>
    <w:rsid w:val="6CCF34C1"/>
    <w:rsid w:val="6CCF5C92"/>
    <w:rsid w:val="6CD10816"/>
    <w:rsid w:val="6CD75FEC"/>
    <w:rsid w:val="6CDE424F"/>
    <w:rsid w:val="6CE973B3"/>
    <w:rsid w:val="6CEF3EAA"/>
    <w:rsid w:val="6CEF77DA"/>
    <w:rsid w:val="6CF90F75"/>
    <w:rsid w:val="6CFD64F8"/>
    <w:rsid w:val="6CFE5C6F"/>
    <w:rsid w:val="6CFF5130"/>
    <w:rsid w:val="6D033285"/>
    <w:rsid w:val="6D0D7C60"/>
    <w:rsid w:val="6D106CF2"/>
    <w:rsid w:val="6D1F15FC"/>
    <w:rsid w:val="6D1F19A3"/>
    <w:rsid w:val="6D2474F7"/>
    <w:rsid w:val="6D2D3E5E"/>
    <w:rsid w:val="6D337226"/>
    <w:rsid w:val="6D341690"/>
    <w:rsid w:val="6D4A2C62"/>
    <w:rsid w:val="6D521B17"/>
    <w:rsid w:val="6D543E7C"/>
    <w:rsid w:val="6D5B09CB"/>
    <w:rsid w:val="6D5E02F2"/>
    <w:rsid w:val="6D5E670D"/>
    <w:rsid w:val="6D602485"/>
    <w:rsid w:val="6D633D24"/>
    <w:rsid w:val="6D8A3045"/>
    <w:rsid w:val="6D9370C5"/>
    <w:rsid w:val="6D9A4B0B"/>
    <w:rsid w:val="6D9B78D6"/>
    <w:rsid w:val="6DAD705D"/>
    <w:rsid w:val="6DB010BD"/>
    <w:rsid w:val="6DB12CE1"/>
    <w:rsid w:val="6DB1650E"/>
    <w:rsid w:val="6DB602F7"/>
    <w:rsid w:val="6DBD2905"/>
    <w:rsid w:val="6DBE71AC"/>
    <w:rsid w:val="6DC07A36"/>
    <w:rsid w:val="6DC1431F"/>
    <w:rsid w:val="6DC160DB"/>
    <w:rsid w:val="6DC8293E"/>
    <w:rsid w:val="6DCD7676"/>
    <w:rsid w:val="6DCE3893"/>
    <w:rsid w:val="6DD07435"/>
    <w:rsid w:val="6DD4077E"/>
    <w:rsid w:val="6DD93FE6"/>
    <w:rsid w:val="6DD966B7"/>
    <w:rsid w:val="6DDD3AD6"/>
    <w:rsid w:val="6DE13F49"/>
    <w:rsid w:val="6DE416C7"/>
    <w:rsid w:val="6DE7233A"/>
    <w:rsid w:val="6DE829DD"/>
    <w:rsid w:val="6DF37591"/>
    <w:rsid w:val="6DF90A92"/>
    <w:rsid w:val="6E001677"/>
    <w:rsid w:val="6E014EA2"/>
    <w:rsid w:val="6E020BDA"/>
    <w:rsid w:val="6E100BC5"/>
    <w:rsid w:val="6E107703"/>
    <w:rsid w:val="6E2214E9"/>
    <w:rsid w:val="6E26547D"/>
    <w:rsid w:val="6E2B331C"/>
    <w:rsid w:val="6E3360AE"/>
    <w:rsid w:val="6E355F06"/>
    <w:rsid w:val="6E3B4494"/>
    <w:rsid w:val="6E3D2189"/>
    <w:rsid w:val="6E3D4D7F"/>
    <w:rsid w:val="6E405E13"/>
    <w:rsid w:val="6E565636"/>
    <w:rsid w:val="6E5673E4"/>
    <w:rsid w:val="6E5758FC"/>
    <w:rsid w:val="6E5C3DDE"/>
    <w:rsid w:val="6E5E1ACA"/>
    <w:rsid w:val="6E600263"/>
    <w:rsid w:val="6E626033"/>
    <w:rsid w:val="6E641B01"/>
    <w:rsid w:val="6E691CAD"/>
    <w:rsid w:val="6E696051"/>
    <w:rsid w:val="6E6B0043"/>
    <w:rsid w:val="6E712470"/>
    <w:rsid w:val="6E742770"/>
    <w:rsid w:val="6E777DCF"/>
    <w:rsid w:val="6E7855AD"/>
    <w:rsid w:val="6E847687"/>
    <w:rsid w:val="6E871154"/>
    <w:rsid w:val="6E8D55CB"/>
    <w:rsid w:val="6E926153"/>
    <w:rsid w:val="6E9301FB"/>
    <w:rsid w:val="6E963C85"/>
    <w:rsid w:val="6E9861C4"/>
    <w:rsid w:val="6EA12D56"/>
    <w:rsid w:val="6EA375A9"/>
    <w:rsid w:val="6EA6211A"/>
    <w:rsid w:val="6EA658EB"/>
    <w:rsid w:val="6EA71427"/>
    <w:rsid w:val="6EAB7C88"/>
    <w:rsid w:val="6EAC64C4"/>
    <w:rsid w:val="6EAC7191"/>
    <w:rsid w:val="6EB30665"/>
    <w:rsid w:val="6EB32A89"/>
    <w:rsid w:val="6EBA7973"/>
    <w:rsid w:val="6EBE0753"/>
    <w:rsid w:val="6EBE3907"/>
    <w:rsid w:val="6EC72090"/>
    <w:rsid w:val="6EC922AC"/>
    <w:rsid w:val="6ECA17DD"/>
    <w:rsid w:val="6ED21161"/>
    <w:rsid w:val="6ED44EFC"/>
    <w:rsid w:val="6ED65574"/>
    <w:rsid w:val="6EDA0016"/>
    <w:rsid w:val="6EDD3D15"/>
    <w:rsid w:val="6EE33335"/>
    <w:rsid w:val="6EE669BA"/>
    <w:rsid w:val="6EF1239C"/>
    <w:rsid w:val="6EF235B1"/>
    <w:rsid w:val="6EF410D7"/>
    <w:rsid w:val="6EF54A08"/>
    <w:rsid w:val="6EF64A09"/>
    <w:rsid w:val="6EF70BC7"/>
    <w:rsid w:val="6EFA6D72"/>
    <w:rsid w:val="6F057A18"/>
    <w:rsid w:val="6F0627E9"/>
    <w:rsid w:val="6F093B8C"/>
    <w:rsid w:val="6F09574B"/>
    <w:rsid w:val="6F0A40EE"/>
    <w:rsid w:val="6F0B6421"/>
    <w:rsid w:val="6F146659"/>
    <w:rsid w:val="6F1C4E01"/>
    <w:rsid w:val="6F26325B"/>
    <w:rsid w:val="6F2644E8"/>
    <w:rsid w:val="6F2712E5"/>
    <w:rsid w:val="6F2A2D4B"/>
    <w:rsid w:val="6F2D6397"/>
    <w:rsid w:val="6F3C2A7E"/>
    <w:rsid w:val="6F3C65DA"/>
    <w:rsid w:val="6F43591F"/>
    <w:rsid w:val="6F485939"/>
    <w:rsid w:val="6F4A17D7"/>
    <w:rsid w:val="6F4D07E7"/>
    <w:rsid w:val="6F4F27B2"/>
    <w:rsid w:val="6F55769C"/>
    <w:rsid w:val="6F6049BF"/>
    <w:rsid w:val="6F655008"/>
    <w:rsid w:val="6F66263C"/>
    <w:rsid w:val="6F75691D"/>
    <w:rsid w:val="6F79782E"/>
    <w:rsid w:val="6F7A3626"/>
    <w:rsid w:val="6F8010EF"/>
    <w:rsid w:val="6F805593"/>
    <w:rsid w:val="6F821A18"/>
    <w:rsid w:val="6F883BD3"/>
    <w:rsid w:val="6F891D2E"/>
    <w:rsid w:val="6F977B87"/>
    <w:rsid w:val="6FA00508"/>
    <w:rsid w:val="6FA128E1"/>
    <w:rsid w:val="6FA35E89"/>
    <w:rsid w:val="6FAD1286"/>
    <w:rsid w:val="6FAD6AB6"/>
    <w:rsid w:val="6FB5018B"/>
    <w:rsid w:val="6FB57C6B"/>
    <w:rsid w:val="6FB97C2B"/>
    <w:rsid w:val="6FC31902"/>
    <w:rsid w:val="6FC51A4A"/>
    <w:rsid w:val="6FC565D0"/>
    <w:rsid w:val="6FCE69F5"/>
    <w:rsid w:val="6FCF38F2"/>
    <w:rsid w:val="6FD20CED"/>
    <w:rsid w:val="6FD54C18"/>
    <w:rsid w:val="6FD806FD"/>
    <w:rsid w:val="6FDB4045"/>
    <w:rsid w:val="6FE339B5"/>
    <w:rsid w:val="6FF631DD"/>
    <w:rsid w:val="6FF80A93"/>
    <w:rsid w:val="6FFE5789"/>
    <w:rsid w:val="6FFF5CA1"/>
    <w:rsid w:val="700417EE"/>
    <w:rsid w:val="70052E70"/>
    <w:rsid w:val="700C2451"/>
    <w:rsid w:val="700D1F16"/>
    <w:rsid w:val="700D2B71"/>
    <w:rsid w:val="701133AC"/>
    <w:rsid w:val="70147557"/>
    <w:rsid w:val="701923C6"/>
    <w:rsid w:val="701A2752"/>
    <w:rsid w:val="7020673A"/>
    <w:rsid w:val="702400B9"/>
    <w:rsid w:val="70291255"/>
    <w:rsid w:val="70292E7A"/>
    <w:rsid w:val="702C2AF3"/>
    <w:rsid w:val="702C664F"/>
    <w:rsid w:val="703A0F61"/>
    <w:rsid w:val="703B37BC"/>
    <w:rsid w:val="703D0108"/>
    <w:rsid w:val="703D260A"/>
    <w:rsid w:val="703D58D5"/>
    <w:rsid w:val="70495453"/>
    <w:rsid w:val="704E0281"/>
    <w:rsid w:val="705521D3"/>
    <w:rsid w:val="70571351"/>
    <w:rsid w:val="70573F47"/>
    <w:rsid w:val="70577FA3"/>
    <w:rsid w:val="70656D38"/>
    <w:rsid w:val="70690124"/>
    <w:rsid w:val="70691651"/>
    <w:rsid w:val="706A7177"/>
    <w:rsid w:val="706B79D7"/>
    <w:rsid w:val="706C1141"/>
    <w:rsid w:val="706E4EFF"/>
    <w:rsid w:val="707862EE"/>
    <w:rsid w:val="708B7819"/>
    <w:rsid w:val="708C5AAC"/>
    <w:rsid w:val="70934920"/>
    <w:rsid w:val="70942F09"/>
    <w:rsid w:val="7094676A"/>
    <w:rsid w:val="709644AB"/>
    <w:rsid w:val="70992D4A"/>
    <w:rsid w:val="709A6F07"/>
    <w:rsid w:val="70AB1C6A"/>
    <w:rsid w:val="70AD636B"/>
    <w:rsid w:val="70AD6A76"/>
    <w:rsid w:val="70B054D2"/>
    <w:rsid w:val="70B47514"/>
    <w:rsid w:val="70BE6351"/>
    <w:rsid w:val="70C1323B"/>
    <w:rsid w:val="70C40F7D"/>
    <w:rsid w:val="70C932E0"/>
    <w:rsid w:val="70CA26AE"/>
    <w:rsid w:val="70CB6768"/>
    <w:rsid w:val="70D461C3"/>
    <w:rsid w:val="70ED6E8E"/>
    <w:rsid w:val="70EF02AD"/>
    <w:rsid w:val="70F50586"/>
    <w:rsid w:val="70FB3729"/>
    <w:rsid w:val="71063344"/>
    <w:rsid w:val="71066E2A"/>
    <w:rsid w:val="71075032"/>
    <w:rsid w:val="710A3166"/>
    <w:rsid w:val="71107F04"/>
    <w:rsid w:val="71113A32"/>
    <w:rsid w:val="7113780F"/>
    <w:rsid w:val="71175551"/>
    <w:rsid w:val="711C2B67"/>
    <w:rsid w:val="711F7F62"/>
    <w:rsid w:val="7122081F"/>
    <w:rsid w:val="71237A52"/>
    <w:rsid w:val="712B4B58"/>
    <w:rsid w:val="713018A5"/>
    <w:rsid w:val="71324139"/>
    <w:rsid w:val="713A2BA8"/>
    <w:rsid w:val="7146126D"/>
    <w:rsid w:val="714C620F"/>
    <w:rsid w:val="71520337"/>
    <w:rsid w:val="7154564B"/>
    <w:rsid w:val="71584E3F"/>
    <w:rsid w:val="7168709D"/>
    <w:rsid w:val="71687B5B"/>
    <w:rsid w:val="716A5681"/>
    <w:rsid w:val="716D03F0"/>
    <w:rsid w:val="71732AF1"/>
    <w:rsid w:val="71767874"/>
    <w:rsid w:val="71767C19"/>
    <w:rsid w:val="717C53B4"/>
    <w:rsid w:val="717D272B"/>
    <w:rsid w:val="71804EA4"/>
    <w:rsid w:val="71881FAB"/>
    <w:rsid w:val="71883D59"/>
    <w:rsid w:val="71902C0D"/>
    <w:rsid w:val="7191331B"/>
    <w:rsid w:val="719535CF"/>
    <w:rsid w:val="71970440"/>
    <w:rsid w:val="71973F9C"/>
    <w:rsid w:val="71A01B59"/>
    <w:rsid w:val="71A212BE"/>
    <w:rsid w:val="71A5271A"/>
    <w:rsid w:val="71B026D1"/>
    <w:rsid w:val="71B118EA"/>
    <w:rsid w:val="71B271B3"/>
    <w:rsid w:val="71BA0A1A"/>
    <w:rsid w:val="71BC3E0A"/>
    <w:rsid w:val="71BC6CF1"/>
    <w:rsid w:val="71BD3BA1"/>
    <w:rsid w:val="71BE0BF7"/>
    <w:rsid w:val="71C02F40"/>
    <w:rsid w:val="71C33472"/>
    <w:rsid w:val="71C3685F"/>
    <w:rsid w:val="71C573BF"/>
    <w:rsid w:val="71C72FE2"/>
    <w:rsid w:val="71C85026"/>
    <w:rsid w:val="71CA25C3"/>
    <w:rsid w:val="71CA611F"/>
    <w:rsid w:val="71D006D8"/>
    <w:rsid w:val="71D90F24"/>
    <w:rsid w:val="71E06A73"/>
    <w:rsid w:val="71E64D3E"/>
    <w:rsid w:val="71F0184F"/>
    <w:rsid w:val="71F10449"/>
    <w:rsid w:val="71F1111A"/>
    <w:rsid w:val="71F15A14"/>
    <w:rsid w:val="71F53F27"/>
    <w:rsid w:val="71F66F14"/>
    <w:rsid w:val="71F80EEF"/>
    <w:rsid w:val="71F87127"/>
    <w:rsid w:val="72001B41"/>
    <w:rsid w:val="72084E9A"/>
    <w:rsid w:val="720E2A00"/>
    <w:rsid w:val="7218332F"/>
    <w:rsid w:val="721F0505"/>
    <w:rsid w:val="72205215"/>
    <w:rsid w:val="72225F5B"/>
    <w:rsid w:val="72227D09"/>
    <w:rsid w:val="7225176A"/>
    <w:rsid w:val="722717C4"/>
    <w:rsid w:val="7231232F"/>
    <w:rsid w:val="724F2AC9"/>
    <w:rsid w:val="72520E64"/>
    <w:rsid w:val="72556331"/>
    <w:rsid w:val="72561839"/>
    <w:rsid w:val="725956F5"/>
    <w:rsid w:val="725B0142"/>
    <w:rsid w:val="725C671A"/>
    <w:rsid w:val="7260609B"/>
    <w:rsid w:val="72617618"/>
    <w:rsid w:val="72640322"/>
    <w:rsid w:val="72655028"/>
    <w:rsid w:val="72691DDC"/>
    <w:rsid w:val="726C2C84"/>
    <w:rsid w:val="72710C91"/>
    <w:rsid w:val="72722D49"/>
    <w:rsid w:val="727442DD"/>
    <w:rsid w:val="72785B7B"/>
    <w:rsid w:val="727D3318"/>
    <w:rsid w:val="72817B0F"/>
    <w:rsid w:val="728269FA"/>
    <w:rsid w:val="72830640"/>
    <w:rsid w:val="728C2DCD"/>
    <w:rsid w:val="72900213"/>
    <w:rsid w:val="72907369"/>
    <w:rsid w:val="729239DE"/>
    <w:rsid w:val="729569EE"/>
    <w:rsid w:val="729A3D44"/>
    <w:rsid w:val="729D0095"/>
    <w:rsid w:val="72A11576"/>
    <w:rsid w:val="72A51862"/>
    <w:rsid w:val="72A90C93"/>
    <w:rsid w:val="72AA71BD"/>
    <w:rsid w:val="72B55021"/>
    <w:rsid w:val="72B721EF"/>
    <w:rsid w:val="72B83705"/>
    <w:rsid w:val="72B9392D"/>
    <w:rsid w:val="72BC63B0"/>
    <w:rsid w:val="72BD5971"/>
    <w:rsid w:val="72C072DE"/>
    <w:rsid w:val="72C07522"/>
    <w:rsid w:val="72CE42CC"/>
    <w:rsid w:val="72D06CD4"/>
    <w:rsid w:val="72D27981"/>
    <w:rsid w:val="72D37256"/>
    <w:rsid w:val="72D57472"/>
    <w:rsid w:val="72DB610A"/>
    <w:rsid w:val="72E41463"/>
    <w:rsid w:val="72E42E3F"/>
    <w:rsid w:val="72E50FAD"/>
    <w:rsid w:val="72EB1683"/>
    <w:rsid w:val="72ED3DFE"/>
    <w:rsid w:val="72F71FC6"/>
    <w:rsid w:val="72F86CBC"/>
    <w:rsid w:val="72FB358C"/>
    <w:rsid w:val="73076BF4"/>
    <w:rsid w:val="730B186E"/>
    <w:rsid w:val="731004AA"/>
    <w:rsid w:val="73107FB9"/>
    <w:rsid w:val="7315024B"/>
    <w:rsid w:val="731B4BB1"/>
    <w:rsid w:val="731F2276"/>
    <w:rsid w:val="731F693F"/>
    <w:rsid w:val="732609E3"/>
    <w:rsid w:val="7329331A"/>
    <w:rsid w:val="732950C8"/>
    <w:rsid w:val="73313D34"/>
    <w:rsid w:val="7338355D"/>
    <w:rsid w:val="733A1083"/>
    <w:rsid w:val="73426189"/>
    <w:rsid w:val="734343DB"/>
    <w:rsid w:val="734939BC"/>
    <w:rsid w:val="734B6C18"/>
    <w:rsid w:val="734C2EB7"/>
    <w:rsid w:val="73584D3C"/>
    <w:rsid w:val="735D7BF6"/>
    <w:rsid w:val="736B1C20"/>
    <w:rsid w:val="736F1C9E"/>
    <w:rsid w:val="73726A6F"/>
    <w:rsid w:val="7374360D"/>
    <w:rsid w:val="73774085"/>
    <w:rsid w:val="738B7B30"/>
    <w:rsid w:val="73976D08"/>
    <w:rsid w:val="73AB3D2F"/>
    <w:rsid w:val="73AE7C48"/>
    <w:rsid w:val="73B452D9"/>
    <w:rsid w:val="73B8066B"/>
    <w:rsid w:val="73B8799A"/>
    <w:rsid w:val="73C03ED3"/>
    <w:rsid w:val="73CD0149"/>
    <w:rsid w:val="73CD1EF7"/>
    <w:rsid w:val="73CD639B"/>
    <w:rsid w:val="73CF07B1"/>
    <w:rsid w:val="73CF1EA2"/>
    <w:rsid w:val="73D13413"/>
    <w:rsid w:val="73D622A1"/>
    <w:rsid w:val="73D72923"/>
    <w:rsid w:val="73DB41A7"/>
    <w:rsid w:val="73E34D01"/>
    <w:rsid w:val="73E51E24"/>
    <w:rsid w:val="73E5424F"/>
    <w:rsid w:val="73EA0CFB"/>
    <w:rsid w:val="73F2195D"/>
    <w:rsid w:val="73F74FF6"/>
    <w:rsid w:val="73FA419A"/>
    <w:rsid w:val="73FF0119"/>
    <w:rsid w:val="74012278"/>
    <w:rsid w:val="740921AE"/>
    <w:rsid w:val="74125961"/>
    <w:rsid w:val="74200227"/>
    <w:rsid w:val="74244D68"/>
    <w:rsid w:val="7424513C"/>
    <w:rsid w:val="742566BD"/>
    <w:rsid w:val="742A18DE"/>
    <w:rsid w:val="742C4368"/>
    <w:rsid w:val="742C6156"/>
    <w:rsid w:val="74300FC5"/>
    <w:rsid w:val="74321D84"/>
    <w:rsid w:val="74324984"/>
    <w:rsid w:val="74367A9C"/>
    <w:rsid w:val="743779A6"/>
    <w:rsid w:val="74384663"/>
    <w:rsid w:val="743C2434"/>
    <w:rsid w:val="743E6FB4"/>
    <w:rsid w:val="743F7090"/>
    <w:rsid w:val="7444399C"/>
    <w:rsid w:val="74463A57"/>
    <w:rsid w:val="744A79EB"/>
    <w:rsid w:val="744D3038"/>
    <w:rsid w:val="74512B28"/>
    <w:rsid w:val="74532343"/>
    <w:rsid w:val="745D771F"/>
    <w:rsid w:val="74610332"/>
    <w:rsid w:val="74650E6A"/>
    <w:rsid w:val="746633FA"/>
    <w:rsid w:val="746A3CE6"/>
    <w:rsid w:val="746D05CC"/>
    <w:rsid w:val="74744A68"/>
    <w:rsid w:val="74785E04"/>
    <w:rsid w:val="747D391D"/>
    <w:rsid w:val="74865E7C"/>
    <w:rsid w:val="748702F8"/>
    <w:rsid w:val="748C1DB2"/>
    <w:rsid w:val="748D5477"/>
    <w:rsid w:val="749347AB"/>
    <w:rsid w:val="74934EEE"/>
    <w:rsid w:val="749A7573"/>
    <w:rsid w:val="749E18C7"/>
    <w:rsid w:val="74A149EA"/>
    <w:rsid w:val="74B24548"/>
    <w:rsid w:val="74B44E65"/>
    <w:rsid w:val="74B71D23"/>
    <w:rsid w:val="74BC6E11"/>
    <w:rsid w:val="74BE7F85"/>
    <w:rsid w:val="74BF748A"/>
    <w:rsid w:val="74C51790"/>
    <w:rsid w:val="74C86540"/>
    <w:rsid w:val="74CC1AB4"/>
    <w:rsid w:val="74CE5F27"/>
    <w:rsid w:val="74CF288C"/>
    <w:rsid w:val="74D86DA5"/>
    <w:rsid w:val="74DE1CCD"/>
    <w:rsid w:val="74E21E14"/>
    <w:rsid w:val="74E474F8"/>
    <w:rsid w:val="74E568F7"/>
    <w:rsid w:val="74EC0AA3"/>
    <w:rsid w:val="74EC2851"/>
    <w:rsid w:val="74F577AD"/>
    <w:rsid w:val="74F82FA3"/>
    <w:rsid w:val="75044256"/>
    <w:rsid w:val="750C425C"/>
    <w:rsid w:val="75135032"/>
    <w:rsid w:val="75170102"/>
    <w:rsid w:val="75193EA7"/>
    <w:rsid w:val="751C1388"/>
    <w:rsid w:val="751C54C7"/>
    <w:rsid w:val="751D2A0A"/>
    <w:rsid w:val="75262EE8"/>
    <w:rsid w:val="75297AD3"/>
    <w:rsid w:val="752A6107"/>
    <w:rsid w:val="753677BC"/>
    <w:rsid w:val="75375EDA"/>
    <w:rsid w:val="753A7A60"/>
    <w:rsid w:val="753C7334"/>
    <w:rsid w:val="75426FA8"/>
    <w:rsid w:val="75475CD9"/>
    <w:rsid w:val="754C0FF0"/>
    <w:rsid w:val="754D7245"/>
    <w:rsid w:val="754E7067"/>
    <w:rsid w:val="754F2483"/>
    <w:rsid w:val="755212F7"/>
    <w:rsid w:val="755742CD"/>
    <w:rsid w:val="75627688"/>
    <w:rsid w:val="756400D1"/>
    <w:rsid w:val="75656D39"/>
    <w:rsid w:val="756861AD"/>
    <w:rsid w:val="756B17AA"/>
    <w:rsid w:val="756E3266"/>
    <w:rsid w:val="75746304"/>
    <w:rsid w:val="7575152B"/>
    <w:rsid w:val="757B5B30"/>
    <w:rsid w:val="757E7B33"/>
    <w:rsid w:val="75856C16"/>
    <w:rsid w:val="75882579"/>
    <w:rsid w:val="75943B7B"/>
    <w:rsid w:val="75994786"/>
    <w:rsid w:val="759A22AD"/>
    <w:rsid w:val="759D1E72"/>
    <w:rsid w:val="75A17244"/>
    <w:rsid w:val="75A27218"/>
    <w:rsid w:val="75A36C90"/>
    <w:rsid w:val="75A46352"/>
    <w:rsid w:val="75AB44BA"/>
    <w:rsid w:val="75AB6268"/>
    <w:rsid w:val="75AC07FE"/>
    <w:rsid w:val="75B90985"/>
    <w:rsid w:val="75C02056"/>
    <w:rsid w:val="75C42FAE"/>
    <w:rsid w:val="75C63608"/>
    <w:rsid w:val="75CF63FA"/>
    <w:rsid w:val="75D02172"/>
    <w:rsid w:val="75D21A46"/>
    <w:rsid w:val="75D85E6C"/>
    <w:rsid w:val="75D91027"/>
    <w:rsid w:val="75D91695"/>
    <w:rsid w:val="75E1031B"/>
    <w:rsid w:val="75E87D13"/>
    <w:rsid w:val="75ED0813"/>
    <w:rsid w:val="75FD19B2"/>
    <w:rsid w:val="75FF0308"/>
    <w:rsid w:val="760D5101"/>
    <w:rsid w:val="761107C1"/>
    <w:rsid w:val="76125099"/>
    <w:rsid w:val="76171EA7"/>
    <w:rsid w:val="7618561F"/>
    <w:rsid w:val="761E2EDE"/>
    <w:rsid w:val="76216E9E"/>
    <w:rsid w:val="7622160C"/>
    <w:rsid w:val="7629587A"/>
    <w:rsid w:val="762C3BC8"/>
    <w:rsid w:val="76307608"/>
    <w:rsid w:val="763414D9"/>
    <w:rsid w:val="76393874"/>
    <w:rsid w:val="764062FA"/>
    <w:rsid w:val="764364A0"/>
    <w:rsid w:val="76447A9F"/>
    <w:rsid w:val="76465FE5"/>
    <w:rsid w:val="76486EC7"/>
    <w:rsid w:val="76495040"/>
    <w:rsid w:val="764D5571"/>
    <w:rsid w:val="765972A1"/>
    <w:rsid w:val="765C7562"/>
    <w:rsid w:val="765F33E2"/>
    <w:rsid w:val="76667440"/>
    <w:rsid w:val="76682880"/>
    <w:rsid w:val="766D1D16"/>
    <w:rsid w:val="766D5CCF"/>
    <w:rsid w:val="76796366"/>
    <w:rsid w:val="767F36D6"/>
    <w:rsid w:val="76804E54"/>
    <w:rsid w:val="768314AD"/>
    <w:rsid w:val="76852F5D"/>
    <w:rsid w:val="768726CF"/>
    <w:rsid w:val="768A2321"/>
    <w:rsid w:val="768C5166"/>
    <w:rsid w:val="76942605"/>
    <w:rsid w:val="76A43628"/>
    <w:rsid w:val="76A54E8D"/>
    <w:rsid w:val="76B65977"/>
    <w:rsid w:val="76BD49F2"/>
    <w:rsid w:val="76C95CBA"/>
    <w:rsid w:val="76CA4FC7"/>
    <w:rsid w:val="76D01A14"/>
    <w:rsid w:val="76D637B8"/>
    <w:rsid w:val="76D65C08"/>
    <w:rsid w:val="76D67314"/>
    <w:rsid w:val="76D87530"/>
    <w:rsid w:val="76DF3CD0"/>
    <w:rsid w:val="76ED78A6"/>
    <w:rsid w:val="76F2437C"/>
    <w:rsid w:val="76F81798"/>
    <w:rsid w:val="76FD5138"/>
    <w:rsid w:val="76FD595E"/>
    <w:rsid w:val="77024A14"/>
    <w:rsid w:val="77060213"/>
    <w:rsid w:val="77087D9A"/>
    <w:rsid w:val="770B42E0"/>
    <w:rsid w:val="770D439B"/>
    <w:rsid w:val="770F6E13"/>
    <w:rsid w:val="77100A78"/>
    <w:rsid w:val="7717699C"/>
    <w:rsid w:val="771A632F"/>
    <w:rsid w:val="771B741D"/>
    <w:rsid w:val="77212C85"/>
    <w:rsid w:val="7721426D"/>
    <w:rsid w:val="773359AD"/>
    <w:rsid w:val="77387BD2"/>
    <w:rsid w:val="773A5AF5"/>
    <w:rsid w:val="773B6A9F"/>
    <w:rsid w:val="77420E4E"/>
    <w:rsid w:val="77451CF3"/>
    <w:rsid w:val="774521C4"/>
    <w:rsid w:val="774921DC"/>
    <w:rsid w:val="774B0F1B"/>
    <w:rsid w:val="774E4838"/>
    <w:rsid w:val="775331AB"/>
    <w:rsid w:val="77562346"/>
    <w:rsid w:val="775839B7"/>
    <w:rsid w:val="77620687"/>
    <w:rsid w:val="7762504C"/>
    <w:rsid w:val="77662CE1"/>
    <w:rsid w:val="776C706F"/>
    <w:rsid w:val="777F01B6"/>
    <w:rsid w:val="77837DD1"/>
    <w:rsid w:val="77846D70"/>
    <w:rsid w:val="7789445C"/>
    <w:rsid w:val="779928E7"/>
    <w:rsid w:val="779F30E7"/>
    <w:rsid w:val="77AD4519"/>
    <w:rsid w:val="77B07B65"/>
    <w:rsid w:val="77B434F2"/>
    <w:rsid w:val="77B608C7"/>
    <w:rsid w:val="77B85C13"/>
    <w:rsid w:val="77C43611"/>
    <w:rsid w:val="77C600DC"/>
    <w:rsid w:val="77C875A5"/>
    <w:rsid w:val="77C97641"/>
    <w:rsid w:val="77CA4B27"/>
    <w:rsid w:val="77D306AE"/>
    <w:rsid w:val="77DC4DFE"/>
    <w:rsid w:val="77DF4A3E"/>
    <w:rsid w:val="77DF669D"/>
    <w:rsid w:val="77ED743D"/>
    <w:rsid w:val="77F0041B"/>
    <w:rsid w:val="77FE1D7A"/>
    <w:rsid w:val="77FE6B23"/>
    <w:rsid w:val="77FE7E6E"/>
    <w:rsid w:val="77FF41ED"/>
    <w:rsid w:val="78076271"/>
    <w:rsid w:val="7808174F"/>
    <w:rsid w:val="78146346"/>
    <w:rsid w:val="7816220E"/>
    <w:rsid w:val="78223469"/>
    <w:rsid w:val="782E1682"/>
    <w:rsid w:val="783163C0"/>
    <w:rsid w:val="78352640"/>
    <w:rsid w:val="783A6CB4"/>
    <w:rsid w:val="783C3AEF"/>
    <w:rsid w:val="783D1C99"/>
    <w:rsid w:val="7845028A"/>
    <w:rsid w:val="785716F6"/>
    <w:rsid w:val="786256B6"/>
    <w:rsid w:val="78654C0A"/>
    <w:rsid w:val="7869141F"/>
    <w:rsid w:val="78745037"/>
    <w:rsid w:val="7874566B"/>
    <w:rsid w:val="78767001"/>
    <w:rsid w:val="78786071"/>
    <w:rsid w:val="787C514D"/>
    <w:rsid w:val="787E17C8"/>
    <w:rsid w:val="78850FF2"/>
    <w:rsid w:val="788B01D8"/>
    <w:rsid w:val="78906A59"/>
    <w:rsid w:val="78917997"/>
    <w:rsid w:val="78941235"/>
    <w:rsid w:val="789E0306"/>
    <w:rsid w:val="789E6DA1"/>
    <w:rsid w:val="789F6891"/>
    <w:rsid w:val="789F71D2"/>
    <w:rsid w:val="78A52C01"/>
    <w:rsid w:val="78A668CC"/>
    <w:rsid w:val="78AD0549"/>
    <w:rsid w:val="78AF2513"/>
    <w:rsid w:val="78B1730C"/>
    <w:rsid w:val="78B70F8F"/>
    <w:rsid w:val="78C37D6C"/>
    <w:rsid w:val="78C733B9"/>
    <w:rsid w:val="78CA2332"/>
    <w:rsid w:val="78CE2999"/>
    <w:rsid w:val="78D0249F"/>
    <w:rsid w:val="78D02D89"/>
    <w:rsid w:val="78D140A8"/>
    <w:rsid w:val="78D22E3D"/>
    <w:rsid w:val="78D54F77"/>
    <w:rsid w:val="78D9133E"/>
    <w:rsid w:val="78D930EC"/>
    <w:rsid w:val="78E34E46"/>
    <w:rsid w:val="78EB2996"/>
    <w:rsid w:val="78EB6441"/>
    <w:rsid w:val="78EB6DF7"/>
    <w:rsid w:val="78EC2E1F"/>
    <w:rsid w:val="78EF28D7"/>
    <w:rsid w:val="78F25EE0"/>
    <w:rsid w:val="78F91DD1"/>
    <w:rsid w:val="78F9680A"/>
    <w:rsid w:val="79025667"/>
    <w:rsid w:val="79084BD3"/>
    <w:rsid w:val="790939D1"/>
    <w:rsid w:val="790A38B1"/>
    <w:rsid w:val="790A599B"/>
    <w:rsid w:val="79112D8F"/>
    <w:rsid w:val="791B142B"/>
    <w:rsid w:val="791B1956"/>
    <w:rsid w:val="792A5F06"/>
    <w:rsid w:val="7938004C"/>
    <w:rsid w:val="793F408B"/>
    <w:rsid w:val="79413E8B"/>
    <w:rsid w:val="794246E2"/>
    <w:rsid w:val="79460E22"/>
    <w:rsid w:val="794B4AAE"/>
    <w:rsid w:val="794F62E9"/>
    <w:rsid w:val="7952177A"/>
    <w:rsid w:val="79535A14"/>
    <w:rsid w:val="79565A1E"/>
    <w:rsid w:val="79586707"/>
    <w:rsid w:val="79624787"/>
    <w:rsid w:val="79651014"/>
    <w:rsid w:val="796F2CC6"/>
    <w:rsid w:val="79733540"/>
    <w:rsid w:val="79770AEF"/>
    <w:rsid w:val="797C59A0"/>
    <w:rsid w:val="797E6DEE"/>
    <w:rsid w:val="797F047B"/>
    <w:rsid w:val="798B6ADC"/>
    <w:rsid w:val="799951DB"/>
    <w:rsid w:val="799A085D"/>
    <w:rsid w:val="799D6BDD"/>
    <w:rsid w:val="79AD46DE"/>
    <w:rsid w:val="79B42EE5"/>
    <w:rsid w:val="79B80F53"/>
    <w:rsid w:val="79B9255F"/>
    <w:rsid w:val="79BA2F1D"/>
    <w:rsid w:val="79BC1E41"/>
    <w:rsid w:val="79C21DD2"/>
    <w:rsid w:val="79C97604"/>
    <w:rsid w:val="79CA6F6F"/>
    <w:rsid w:val="79CF529F"/>
    <w:rsid w:val="79D7762B"/>
    <w:rsid w:val="79DD09BA"/>
    <w:rsid w:val="79E22183"/>
    <w:rsid w:val="79E8222F"/>
    <w:rsid w:val="79E961DA"/>
    <w:rsid w:val="79EB30D7"/>
    <w:rsid w:val="79EF30C6"/>
    <w:rsid w:val="79F20909"/>
    <w:rsid w:val="79F3452B"/>
    <w:rsid w:val="79F53F55"/>
    <w:rsid w:val="79F552C5"/>
    <w:rsid w:val="79F557A3"/>
    <w:rsid w:val="79FB0171"/>
    <w:rsid w:val="79FC1788"/>
    <w:rsid w:val="79FF312C"/>
    <w:rsid w:val="79FF468A"/>
    <w:rsid w:val="7A0342D9"/>
    <w:rsid w:val="7A07363A"/>
    <w:rsid w:val="7A073791"/>
    <w:rsid w:val="7A083B7A"/>
    <w:rsid w:val="7A096FBB"/>
    <w:rsid w:val="7A0C00F4"/>
    <w:rsid w:val="7A1843EC"/>
    <w:rsid w:val="7A1A0663"/>
    <w:rsid w:val="7A3A7BEE"/>
    <w:rsid w:val="7A433504"/>
    <w:rsid w:val="7A4822D7"/>
    <w:rsid w:val="7A533406"/>
    <w:rsid w:val="7A5549F4"/>
    <w:rsid w:val="7A5A461F"/>
    <w:rsid w:val="7A5A6EA0"/>
    <w:rsid w:val="7A5F6462"/>
    <w:rsid w:val="7A616338"/>
    <w:rsid w:val="7A6559E2"/>
    <w:rsid w:val="7A695037"/>
    <w:rsid w:val="7A6F5AB6"/>
    <w:rsid w:val="7A701E1B"/>
    <w:rsid w:val="7A730237"/>
    <w:rsid w:val="7A796935"/>
    <w:rsid w:val="7A7B26AD"/>
    <w:rsid w:val="7A7C5AF6"/>
    <w:rsid w:val="7A92261D"/>
    <w:rsid w:val="7A951295"/>
    <w:rsid w:val="7A951531"/>
    <w:rsid w:val="7A9B1DAE"/>
    <w:rsid w:val="7A9B7997"/>
    <w:rsid w:val="7A9C2623"/>
    <w:rsid w:val="7A9E40F1"/>
    <w:rsid w:val="7AA04A12"/>
    <w:rsid w:val="7AA21E38"/>
    <w:rsid w:val="7AAA65F4"/>
    <w:rsid w:val="7AAF2356"/>
    <w:rsid w:val="7AC10CA0"/>
    <w:rsid w:val="7AC51AE3"/>
    <w:rsid w:val="7AC60DB7"/>
    <w:rsid w:val="7ACA7190"/>
    <w:rsid w:val="7AD34CC4"/>
    <w:rsid w:val="7ADA2E6E"/>
    <w:rsid w:val="7ADB2EB6"/>
    <w:rsid w:val="7ADF17C5"/>
    <w:rsid w:val="7AE00762"/>
    <w:rsid w:val="7AE52CFE"/>
    <w:rsid w:val="7AE70843"/>
    <w:rsid w:val="7AEA338E"/>
    <w:rsid w:val="7AF661D7"/>
    <w:rsid w:val="7AF81F4F"/>
    <w:rsid w:val="7AF92EE8"/>
    <w:rsid w:val="7AF97966"/>
    <w:rsid w:val="7B042644"/>
    <w:rsid w:val="7B095F9D"/>
    <w:rsid w:val="7B0A401C"/>
    <w:rsid w:val="7B0E0142"/>
    <w:rsid w:val="7B113D7D"/>
    <w:rsid w:val="7B136D89"/>
    <w:rsid w:val="7B1856C3"/>
    <w:rsid w:val="7B1A0118"/>
    <w:rsid w:val="7B1B0447"/>
    <w:rsid w:val="7B1F6ED0"/>
    <w:rsid w:val="7B2965AD"/>
    <w:rsid w:val="7B2C3BED"/>
    <w:rsid w:val="7B325E29"/>
    <w:rsid w:val="7B3B25D2"/>
    <w:rsid w:val="7B414271"/>
    <w:rsid w:val="7B452CBB"/>
    <w:rsid w:val="7B480E7F"/>
    <w:rsid w:val="7B4E1B6F"/>
    <w:rsid w:val="7B5142C8"/>
    <w:rsid w:val="7B560948"/>
    <w:rsid w:val="7B570210"/>
    <w:rsid w:val="7B57222E"/>
    <w:rsid w:val="7B5934B8"/>
    <w:rsid w:val="7B5B603A"/>
    <w:rsid w:val="7B6018A2"/>
    <w:rsid w:val="7B641EE9"/>
    <w:rsid w:val="7B656EB9"/>
    <w:rsid w:val="7B670E83"/>
    <w:rsid w:val="7B682161"/>
    <w:rsid w:val="7B6D2995"/>
    <w:rsid w:val="7B743715"/>
    <w:rsid w:val="7B787028"/>
    <w:rsid w:val="7B814860"/>
    <w:rsid w:val="7B93228E"/>
    <w:rsid w:val="7B965A26"/>
    <w:rsid w:val="7B99423B"/>
    <w:rsid w:val="7B9D269D"/>
    <w:rsid w:val="7BA4421D"/>
    <w:rsid w:val="7BA7127F"/>
    <w:rsid w:val="7BA93249"/>
    <w:rsid w:val="7BAB6FC2"/>
    <w:rsid w:val="7BAE7E1E"/>
    <w:rsid w:val="7BB3142A"/>
    <w:rsid w:val="7BB61AA3"/>
    <w:rsid w:val="7BB648D9"/>
    <w:rsid w:val="7BB73BB8"/>
    <w:rsid w:val="7BB84EFA"/>
    <w:rsid w:val="7BC167E5"/>
    <w:rsid w:val="7BC41DE3"/>
    <w:rsid w:val="7BC6304B"/>
    <w:rsid w:val="7BC65BA9"/>
    <w:rsid w:val="7BC94588"/>
    <w:rsid w:val="7BCA093B"/>
    <w:rsid w:val="7BCA76E7"/>
    <w:rsid w:val="7BCF41C5"/>
    <w:rsid w:val="7BD06A28"/>
    <w:rsid w:val="7BD1454E"/>
    <w:rsid w:val="7BD15BFB"/>
    <w:rsid w:val="7BDA3403"/>
    <w:rsid w:val="7BDF4EBD"/>
    <w:rsid w:val="7BE65527"/>
    <w:rsid w:val="7BF77872"/>
    <w:rsid w:val="7BF96885"/>
    <w:rsid w:val="7BFE4079"/>
    <w:rsid w:val="7C06069C"/>
    <w:rsid w:val="7C097E38"/>
    <w:rsid w:val="7C0C66C4"/>
    <w:rsid w:val="7C1001FC"/>
    <w:rsid w:val="7C29438A"/>
    <w:rsid w:val="7C2B26B6"/>
    <w:rsid w:val="7C3910AF"/>
    <w:rsid w:val="7C405CCF"/>
    <w:rsid w:val="7C463B8E"/>
    <w:rsid w:val="7C480CB4"/>
    <w:rsid w:val="7C490589"/>
    <w:rsid w:val="7C497D7D"/>
    <w:rsid w:val="7C541407"/>
    <w:rsid w:val="7C5779E2"/>
    <w:rsid w:val="7C5A4544"/>
    <w:rsid w:val="7C6159C7"/>
    <w:rsid w:val="7C6333F8"/>
    <w:rsid w:val="7C64023E"/>
    <w:rsid w:val="7C686C61"/>
    <w:rsid w:val="7C6902A2"/>
    <w:rsid w:val="7C695E1F"/>
    <w:rsid w:val="7C6A0FA1"/>
    <w:rsid w:val="7C6A20A3"/>
    <w:rsid w:val="7C6B19BF"/>
    <w:rsid w:val="7C6F7FEF"/>
    <w:rsid w:val="7C72188D"/>
    <w:rsid w:val="7C725D31"/>
    <w:rsid w:val="7C781755"/>
    <w:rsid w:val="7C7917C4"/>
    <w:rsid w:val="7C7A045C"/>
    <w:rsid w:val="7C7F6756"/>
    <w:rsid w:val="7C8B00EE"/>
    <w:rsid w:val="7C8F49A1"/>
    <w:rsid w:val="7C91616B"/>
    <w:rsid w:val="7C932B7E"/>
    <w:rsid w:val="7C945CA8"/>
    <w:rsid w:val="7C95292D"/>
    <w:rsid w:val="7C9932BE"/>
    <w:rsid w:val="7C995810"/>
    <w:rsid w:val="7C9C5EB4"/>
    <w:rsid w:val="7CA12173"/>
    <w:rsid w:val="7CA431AF"/>
    <w:rsid w:val="7CAA1027"/>
    <w:rsid w:val="7CB2612E"/>
    <w:rsid w:val="7CB50984"/>
    <w:rsid w:val="7CB73A40"/>
    <w:rsid w:val="7CBF65C3"/>
    <w:rsid w:val="7CC112D7"/>
    <w:rsid w:val="7CC35828"/>
    <w:rsid w:val="7CCA0A3C"/>
    <w:rsid w:val="7CCF0A8E"/>
    <w:rsid w:val="7CD460A4"/>
    <w:rsid w:val="7CDD1B87"/>
    <w:rsid w:val="7CDE6F23"/>
    <w:rsid w:val="7CE02C1E"/>
    <w:rsid w:val="7CE21ECB"/>
    <w:rsid w:val="7CF73BC5"/>
    <w:rsid w:val="7CFD2E77"/>
    <w:rsid w:val="7D020E63"/>
    <w:rsid w:val="7D033FC7"/>
    <w:rsid w:val="7D0A507E"/>
    <w:rsid w:val="7D124E1E"/>
    <w:rsid w:val="7D17439D"/>
    <w:rsid w:val="7D1943FF"/>
    <w:rsid w:val="7D1C7A4B"/>
    <w:rsid w:val="7D276369"/>
    <w:rsid w:val="7D2B1A1D"/>
    <w:rsid w:val="7D2B26D3"/>
    <w:rsid w:val="7D365B3C"/>
    <w:rsid w:val="7D3E7381"/>
    <w:rsid w:val="7D4B192B"/>
    <w:rsid w:val="7D4D78CE"/>
    <w:rsid w:val="7D533734"/>
    <w:rsid w:val="7D5648DB"/>
    <w:rsid w:val="7D5947FB"/>
    <w:rsid w:val="7D5B67C5"/>
    <w:rsid w:val="7D67516A"/>
    <w:rsid w:val="7D821FA4"/>
    <w:rsid w:val="7D87606E"/>
    <w:rsid w:val="7D902913"/>
    <w:rsid w:val="7D9536E2"/>
    <w:rsid w:val="7D9615AC"/>
    <w:rsid w:val="7D9A5540"/>
    <w:rsid w:val="7D9A72EE"/>
    <w:rsid w:val="7DA37E53"/>
    <w:rsid w:val="7DA5564D"/>
    <w:rsid w:val="7DAB4E6B"/>
    <w:rsid w:val="7DAE6514"/>
    <w:rsid w:val="7DC0487A"/>
    <w:rsid w:val="7DC46C38"/>
    <w:rsid w:val="7DCE3D3D"/>
    <w:rsid w:val="7DCE7506"/>
    <w:rsid w:val="7DD555F5"/>
    <w:rsid w:val="7DD751B4"/>
    <w:rsid w:val="7DDA3B8E"/>
    <w:rsid w:val="7DDB4235"/>
    <w:rsid w:val="7DEA02BE"/>
    <w:rsid w:val="7DFE4E3C"/>
    <w:rsid w:val="7E015280"/>
    <w:rsid w:val="7E085442"/>
    <w:rsid w:val="7E106BCC"/>
    <w:rsid w:val="7E162512"/>
    <w:rsid w:val="7E162A33"/>
    <w:rsid w:val="7E221091"/>
    <w:rsid w:val="7E245731"/>
    <w:rsid w:val="7E2E1EDF"/>
    <w:rsid w:val="7E3050E0"/>
    <w:rsid w:val="7E382BCB"/>
    <w:rsid w:val="7E3E411D"/>
    <w:rsid w:val="7E414E2E"/>
    <w:rsid w:val="7E467C6C"/>
    <w:rsid w:val="7E541527"/>
    <w:rsid w:val="7E594C43"/>
    <w:rsid w:val="7E5A4CCF"/>
    <w:rsid w:val="7E6130CD"/>
    <w:rsid w:val="7E65627E"/>
    <w:rsid w:val="7E6A0395"/>
    <w:rsid w:val="7E6D055E"/>
    <w:rsid w:val="7E74183B"/>
    <w:rsid w:val="7E766178"/>
    <w:rsid w:val="7E793318"/>
    <w:rsid w:val="7E7C4806"/>
    <w:rsid w:val="7E7E09BD"/>
    <w:rsid w:val="7E7F4735"/>
    <w:rsid w:val="7E83798F"/>
    <w:rsid w:val="7E8671FB"/>
    <w:rsid w:val="7E88183C"/>
    <w:rsid w:val="7E8827D6"/>
    <w:rsid w:val="7E8A177C"/>
    <w:rsid w:val="7E8B2249"/>
    <w:rsid w:val="7E8B2B3E"/>
    <w:rsid w:val="7E8B6C36"/>
    <w:rsid w:val="7E8C7EED"/>
    <w:rsid w:val="7E8D618B"/>
    <w:rsid w:val="7E8E43F6"/>
    <w:rsid w:val="7E947583"/>
    <w:rsid w:val="7E9957F7"/>
    <w:rsid w:val="7E9E7A9F"/>
    <w:rsid w:val="7E9F2CB5"/>
    <w:rsid w:val="7EA1097F"/>
    <w:rsid w:val="7EAA3560"/>
    <w:rsid w:val="7EAC29D8"/>
    <w:rsid w:val="7EAE01FA"/>
    <w:rsid w:val="7EAE68C8"/>
    <w:rsid w:val="7EAF1DBC"/>
    <w:rsid w:val="7EB663A9"/>
    <w:rsid w:val="7EC22872"/>
    <w:rsid w:val="7ECB1BA3"/>
    <w:rsid w:val="7ECB2067"/>
    <w:rsid w:val="7ECD54A1"/>
    <w:rsid w:val="7ECF21DA"/>
    <w:rsid w:val="7ED101A1"/>
    <w:rsid w:val="7ED928CF"/>
    <w:rsid w:val="7EDC7492"/>
    <w:rsid w:val="7EE55846"/>
    <w:rsid w:val="7EEA4F6F"/>
    <w:rsid w:val="7EEF3128"/>
    <w:rsid w:val="7EF56065"/>
    <w:rsid w:val="7EF72216"/>
    <w:rsid w:val="7EFC5347"/>
    <w:rsid w:val="7F01514B"/>
    <w:rsid w:val="7F1629A4"/>
    <w:rsid w:val="7F182BC0"/>
    <w:rsid w:val="7F1A6E34"/>
    <w:rsid w:val="7F205261"/>
    <w:rsid w:val="7F211154"/>
    <w:rsid w:val="7F213492"/>
    <w:rsid w:val="7F24781D"/>
    <w:rsid w:val="7F25258F"/>
    <w:rsid w:val="7F2606C7"/>
    <w:rsid w:val="7F2770EC"/>
    <w:rsid w:val="7F2D5D3C"/>
    <w:rsid w:val="7F2F3E5D"/>
    <w:rsid w:val="7F315A30"/>
    <w:rsid w:val="7F392CB9"/>
    <w:rsid w:val="7F3D4D25"/>
    <w:rsid w:val="7F3E31C5"/>
    <w:rsid w:val="7F3F386D"/>
    <w:rsid w:val="7F4062C6"/>
    <w:rsid w:val="7F410A76"/>
    <w:rsid w:val="7F4206D6"/>
    <w:rsid w:val="7F430221"/>
    <w:rsid w:val="7F444802"/>
    <w:rsid w:val="7F5636E8"/>
    <w:rsid w:val="7F5B1339"/>
    <w:rsid w:val="7F6C1778"/>
    <w:rsid w:val="7F6C4CBA"/>
    <w:rsid w:val="7F7C1532"/>
    <w:rsid w:val="7F7F2C3F"/>
    <w:rsid w:val="7F8319A1"/>
    <w:rsid w:val="7F8D3AC2"/>
    <w:rsid w:val="7F8F1C0A"/>
    <w:rsid w:val="7F930498"/>
    <w:rsid w:val="7F93494A"/>
    <w:rsid w:val="7F98785D"/>
    <w:rsid w:val="7F9B559F"/>
    <w:rsid w:val="7F9D7968"/>
    <w:rsid w:val="7FA40D5D"/>
    <w:rsid w:val="7FA501CC"/>
    <w:rsid w:val="7FA527E6"/>
    <w:rsid w:val="7FAD416A"/>
    <w:rsid w:val="7FAE0ACC"/>
    <w:rsid w:val="7FB54106"/>
    <w:rsid w:val="7FB777C0"/>
    <w:rsid w:val="7FB871E6"/>
    <w:rsid w:val="7FBD5445"/>
    <w:rsid w:val="7FC142EE"/>
    <w:rsid w:val="7FD14043"/>
    <w:rsid w:val="7FD8466A"/>
    <w:rsid w:val="7FED19C8"/>
    <w:rsid w:val="7FF07079"/>
    <w:rsid w:val="7FF14725"/>
    <w:rsid w:val="7FF630A7"/>
    <w:rsid w:val="7FFC1AB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420" w:firstLineChars="200"/>
      <w:jc w:val="both"/>
    </w:pPr>
    <w:rPr>
      <w:rFonts w:ascii="宋体" w:hAnsi="宋体" w:eastAsia="宋体" w:cs="宋体"/>
      <w:kern w:val="2"/>
      <w:sz w:val="21"/>
      <w:szCs w:val="24"/>
      <w:lang w:val="en-US" w:eastAsia="zh-CN" w:bidi="ar-SA"/>
    </w:rPr>
  </w:style>
  <w:style w:type="paragraph" w:styleId="2">
    <w:name w:val="heading 1"/>
    <w:basedOn w:val="1"/>
    <w:next w:val="1"/>
    <w:link w:val="220"/>
    <w:autoRedefine/>
    <w:qFormat/>
    <w:uiPriority w:val="0"/>
    <w:pPr>
      <w:keepNext/>
      <w:jc w:val="center"/>
      <w:outlineLvl w:val="0"/>
    </w:pPr>
    <w:rPr>
      <w:b/>
      <w:bCs/>
      <w:sz w:val="24"/>
      <w:szCs w:val="20"/>
    </w:rPr>
  </w:style>
  <w:style w:type="paragraph" w:styleId="3">
    <w:name w:val="heading 2"/>
    <w:basedOn w:val="1"/>
    <w:next w:val="1"/>
    <w:link w:val="209"/>
    <w:autoRedefine/>
    <w:qFormat/>
    <w:uiPriority w:val="0"/>
    <w:pPr>
      <w:keepNext/>
      <w:keepLines/>
      <w:outlineLvl w:val="1"/>
    </w:pPr>
    <w:rPr>
      <w:rFonts w:ascii="Arial" w:hAnsi="Arial"/>
      <w:b/>
      <w:bCs/>
      <w:sz w:val="24"/>
      <w:szCs w:val="32"/>
    </w:rPr>
  </w:style>
  <w:style w:type="paragraph" w:styleId="4">
    <w:name w:val="heading 3"/>
    <w:basedOn w:val="1"/>
    <w:next w:val="1"/>
    <w:link w:val="179"/>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169"/>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174"/>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228"/>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246"/>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73"/>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225"/>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5">
    <w:name w:val="Default Paragraph Font"/>
    <w:autoRedefine/>
    <w:semiHidden/>
    <w:unhideWhenUsed/>
    <w:qFormat/>
    <w:uiPriority w:val="1"/>
  </w:style>
  <w:style w:type="table" w:default="1" w:styleId="43">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rPr>
      <w:szCs w:val="22"/>
    </w:rPr>
  </w:style>
  <w:style w:type="paragraph" w:styleId="12">
    <w:name w:val="table of authorities"/>
    <w:basedOn w:val="1"/>
    <w:next w:val="1"/>
    <w:autoRedefine/>
    <w:unhideWhenUsed/>
    <w:qFormat/>
    <w:uiPriority w:val="99"/>
    <w:pPr>
      <w:ind w:left="420" w:leftChars="200"/>
    </w:pPr>
  </w:style>
  <w:style w:type="paragraph" w:styleId="13">
    <w:name w:val="Normal Indent"/>
    <w:basedOn w:val="1"/>
    <w:autoRedefine/>
    <w:qFormat/>
    <w:uiPriority w:val="0"/>
    <w:pPr>
      <w:widowControl/>
      <w:jc w:val="left"/>
    </w:pPr>
    <w:rPr>
      <w:kern w:val="0"/>
      <w:sz w:val="20"/>
      <w:szCs w:val="20"/>
    </w:rPr>
  </w:style>
  <w:style w:type="paragraph" w:styleId="14">
    <w:name w:val="Document Map"/>
    <w:basedOn w:val="1"/>
    <w:autoRedefine/>
    <w:semiHidden/>
    <w:qFormat/>
    <w:uiPriority w:val="0"/>
    <w:pPr>
      <w:shd w:val="clear" w:color="auto" w:fill="000080"/>
    </w:pPr>
  </w:style>
  <w:style w:type="paragraph" w:styleId="15">
    <w:name w:val="annotation text"/>
    <w:basedOn w:val="1"/>
    <w:link w:val="221"/>
    <w:autoRedefine/>
    <w:semiHidden/>
    <w:qFormat/>
    <w:uiPriority w:val="0"/>
    <w:pPr>
      <w:jc w:val="left"/>
    </w:pPr>
  </w:style>
  <w:style w:type="paragraph" w:styleId="16">
    <w:name w:val="Salutation"/>
    <w:basedOn w:val="1"/>
    <w:next w:val="1"/>
    <w:autoRedefine/>
    <w:qFormat/>
    <w:uiPriority w:val="0"/>
    <w:rPr>
      <w:rFonts w:ascii="仿宋_GB2312" w:eastAsia="仿宋_GB2312"/>
      <w:sz w:val="24"/>
    </w:rPr>
  </w:style>
  <w:style w:type="paragraph" w:styleId="17">
    <w:name w:val="Body Text 3"/>
    <w:basedOn w:val="1"/>
    <w:autoRedefine/>
    <w:qFormat/>
    <w:uiPriority w:val="0"/>
    <w:pPr>
      <w:autoSpaceDE w:val="0"/>
      <w:autoSpaceDN w:val="0"/>
      <w:adjustRightInd w:val="0"/>
      <w:spacing w:line="410" w:lineRule="atLeast"/>
      <w:jc w:val="left"/>
    </w:pPr>
    <w:rPr>
      <w:color w:val="000000"/>
      <w:kern w:val="0"/>
      <w:sz w:val="24"/>
      <w:szCs w:val="20"/>
    </w:rPr>
  </w:style>
  <w:style w:type="paragraph" w:styleId="18">
    <w:name w:val="Body Text"/>
    <w:basedOn w:val="1"/>
    <w:next w:val="1"/>
    <w:autoRedefine/>
    <w:qFormat/>
    <w:uiPriority w:val="0"/>
    <w:pPr>
      <w:spacing w:after="120"/>
    </w:pPr>
  </w:style>
  <w:style w:type="paragraph" w:styleId="19">
    <w:name w:val="Body Text Indent"/>
    <w:basedOn w:val="1"/>
    <w:next w:val="20"/>
    <w:link w:val="199"/>
    <w:autoRedefine/>
    <w:qFormat/>
    <w:uiPriority w:val="0"/>
    <w:pPr>
      <w:spacing w:after="120"/>
      <w:ind w:left="420" w:leftChars="200"/>
    </w:pPr>
  </w:style>
  <w:style w:type="paragraph" w:styleId="20">
    <w:name w:val="annotation subject"/>
    <w:basedOn w:val="15"/>
    <w:next w:val="1"/>
    <w:link w:val="167"/>
    <w:autoRedefine/>
    <w:qFormat/>
    <w:uiPriority w:val="0"/>
    <w:rPr>
      <w:b/>
      <w:bCs/>
    </w:rPr>
  </w:style>
  <w:style w:type="paragraph" w:styleId="21">
    <w:name w:val="Block Text"/>
    <w:basedOn w:val="1"/>
    <w:autoRedefine/>
    <w:qFormat/>
    <w:uiPriority w:val="0"/>
    <w:pPr>
      <w:ind w:left="1171" w:right="91" w:hanging="1080"/>
    </w:pPr>
    <w:rPr>
      <w:rFonts w:eastAsia="楷体_GB2312"/>
      <w:szCs w:val="20"/>
    </w:rPr>
  </w:style>
  <w:style w:type="paragraph" w:styleId="22">
    <w:name w:val="toc 5"/>
    <w:basedOn w:val="1"/>
    <w:next w:val="1"/>
    <w:autoRedefine/>
    <w:qFormat/>
    <w:uiPriority w:val="0"/>
    <w:pPr>
      <w:ind w:left="1680" w:leftChars="800"/>
    </w:pPr>
    <w:rPr>
      <w:szCs w:val="22"/>
    </w:rPr>
  </w:style>
  <w:style w:type="paragraph" w:styleId="23">
    <w:name w:val="toc 3"/>
    <w:basedOn w:val="1"/>
    <w:next w:val="1"/>
    <w:autoRedefine/>
    <w:qFormat/>
    <w:uiPriority w:val="0"/>
    <w:pPr>
      <w:ind w:left="840" w:leftChars="400"/>
    </w:pPr>
  </w:style>
  <w:style w:type="paragraph" w:styleId="24">
    <w:name w:val="Plain Text"/>
    <w:basedOn w:val="1"/>
    <w:next w:val="1"/>
    <w:link w:val="247"/>
    <w:autoRedefine/>
    <w:qFormat/>
    <w:uiPriority w:val="0"/>
    <w:rPr>
      <w:rFonts w:hAnsi="Courier New" w:cs="Courier New"/>
      <w:szCs w:val="21"/>
    </w:rPr>
  </w:style>
  <w:style w:type="paragraph" w:styleId="25">
    <w:name w:val="toc 8"/>
    <w:basedOn w:val="1"/>
    <w:next w:val="1"/>
    <w:autoRedefine/>
    <w:qFormat/>
    <w:uiPriority w:val="0"/>
    <w:pPr>
      <w:ind w:left="2940" w:leftChars="1400"/>
    </w:pPr>
    <w:rPr>
      <w:szCs w:val="22"/>
    </w:rPr>
  </w:style>
  <w:style w:type="paragraph" w:styleId="26">
    <w:name w:val="Date"/>
    <w:basedOn w:val="1"/>
    <w:next w:val="1"/>
    <w:link w:val="198"/>
    <w:autoRedefine/>
    <w:qFormat/>
    <w:uiPriority w:val="0"/>
    <w:rPr>
      <w:sz w:val="24"/>
      <w:szCs w:val="20"/>
    </w:rPr>
  </w:style>
  <w:style w:type="paragraph" w:styleId="27">
    <w:name w:val="Body Text Indent 2"/>
    <w:basedOn w:val="1"/>
    <w:next w:val="28"/>
    <w:autoRedefine/>
    <w:qFormat/>
    <w:uiPriority w:val="0"/>
    <w:pPr>
      <w:spacing w:after="120" w:line="480" w:lineRule="auto"/>
      <w:ind w:left="420" w:leftChars="200"/>
    </w:pPr>
  </w:style>
  <w:style w:type="paragraph" w:customStyle="1" w:styleId="28">
    <w:name w:val="目录 91"/>
    <w:basedOn w:val="1"/>
    <w:next w:val="1"/>
    <w:autoRedefine/>
    <w:qFormat/>
    <w:uiPriority w:val="99"/>
    <w:pPr>
      <w:ind w:left="3360"/>
    </w:pPr>
  </w:style>
  <w:style w:type="paragraph" w:styleId="29">
    <w:name w:val="Balloon Text"/>
    <w:basedOn w:val="1"/>
    <w:link w:val="226"/>
    <w:autoRedefine/>
    <w:qFormat/>
    <w:uiPriority w:val="0"/>
    <w:rPr>
      <w:sz w:val="18"/>
      <w:szCs w:val="18"/>
    </w:rPr>
  </w:style>
  <w:style w:type="paragraph" w:styleId="30">
    <w:name w:val="footer"/>
    <w:basedOn w:val="1"/>
    <w:link w:val="243"/>
    <w:autoRedefine/>
    <w:qFormat/>
    <w:uiPriority w:val="0"/>
    <w:pPr>
      <w:tabs>
        <w:tab w:val="center" w:pos="4153"/>
        <w:tab w:val="right" w:pos="8306"/>
      </w:tabs>
      <w:snapToGrid w:val="0"/>
      <w:jc w:val="left"/>
    </w:pPr>
    <w:rPr>
      <w:sz w:val="18"/>
      <w:szCs w:val="18"/>
    </w:rPr>
  </w:style>
  <w:style w:type="paragraph" w:styleId="31">
    <w:name w:val="header"/>
    <w:basedOn w:val="1"/>
    <w:link w:val="201"/>
    <w:autoRedefine/>
    <w:qFormat/>
    <w:uiPriority w:val="0"/>
    <w:pPr>
      <w:pBdr>
        <w:bottom w:val="single" w:color="auto" w:sz="6" w:space="1"/>
      </w:pBdr>
      <w:tabs>
        <w:tab w:val="center" w:pos="4153"/>
        <w:tab w:val="right" w:pos="8306"/>
      </w:tabs>
      <w:snapToGrid w:val="0"/>
      <w:jc w:val="center"/>
    </w:pPr>
    <w:rPr>
      <w:sz w:val="18"/>
      <w:szCs w:val="18"/>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rPr>
      <w:szCs w:val="22"/>
    </w:rPr>
  </w:style>
  <w:style w:type="paragraph" w:styleId="34">
    <w:name w:val="Body Text Indent 3"/>
    <w:basedOn w:val="1"/>
    <w:link w:val="245"/>
    <w:autoRedefine/>
    <w:qFormat/>
    <w:uiPriority w:val="0"/>
    <w:pPr>
      <w:spacing w:after="120"/>
      <w:ind w:left="420" w:leftChars="200"/>
    </w:pPr>
    <w:rPr>
      <w:sz w:val="16"/>
      <w:szCs w:val="16"/>
    </w:rPr>
  </w:style>
  <w:style w:type="paragraph" w:styleId="35">
    <w:name w:val="toc 2"/>
    <w:basedOn w:val="1"/>
    <w:next w:val="1"/>
    <w:autoRedefine/>
    <w:qFormat/>
    <w:uiPriority w:val="0"/>
    <w:pPr>
      <w:ind w:left="420" w:leftChars="200"/>
    </w:pPr>
  </w:style>
  <w:style w:type="paragraph" w:styleId="36">
    <w:name w:val="toc 9"/>
    <w:basedOn w:val="1"/>
    <w:next w:val="1"/>
    <w:autoRedefine/>
    <w:qFormat/>
    <w:uiPriority w:val="0"/>
    <w:pPr>
      <w:ind w:left="3360" w:leftChars="1600"/>
    </w:pPr>
    <w:rPr>
      <w:szCs w:val="22"/>
    </w:rPr>
  </w:style>
  <w:style w:type="paragraph" w:styleId="37">
    <w:name w:val="Body Text 2"/>
    <w:basedOn w:val="1"/>
    <w:autoRedefine/>
    <w:qFormat/>
    <w:uiPriority w:val="0"/>
    <w:pPr>
      <w:spacing w:after="120" w:line="480" w:lineRule="auto"/>
    </w:pPr>
  </w:style>
  <w:style w:type="paragraph" w:styleId="38">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9">
    <w:name w:val="Normal (Web)"/>
    <w:basedOn w:val="1"/>
    <w:next w:val="1"/>
    <w:autoRedefine/>
    <w:qFormat/>
    <w:uiPriority w:val="0"/>
    <w:pPr>
      <w:widowControl/>
      <w:spacing w:before="100" w:beforeAutospacing="1" w:after="100" w:afterAutospacing="1"/>
      <w:jc w:val="left"/>
    </w:pPr>
    <w:rPr>
      <w:kern w:val="0"/>
      <w:sz w:val="24"/>
    </w:rPr>
  </w:style>
  <w:style w:type="paragraph" w:styleId="40">
    <w:name w:val="index 1"/>
    <w:basedOn w:val="1"/>
    <w:next w:val="1"/>
    <w:autoRedefine/>
    <w:qFormat/>
    <w:uiPriority w:val="0"/>
    <w:pPr>
      <w:spacing w:line="220" w:lineRule="exact"/>
      <w:jc w:val="center"/>
    </w:pPr>
    <w:rPr>
      <w:rFonts w:ascii="仿宋_GB2312" w:eastAsia="仿宋_GB2312"/>
      <w:szCs w:val="20"/>
    </w:rPr>
  </w:style>
  <w:style w:type="paragraph" w:styleId="41">
    <w:name w:val="Title"/>
    <w:basedOn w:val="1"/>
    <w:next w:val="1"/>
    <w:autoRedefine/>
    <w:qFormat/>
    <w:uiPriority w:val="0"/>
    <w:pPr>
      <w:spacing w:before="240" w:after="60"/>
      <w:jc w:val="center"/>
      <w:outlineLvl w:val="0"/>
    </w:pPr>
    <w:rPr>
      <w:rFonts w:ascii="Cambria" w:hAnsi="Cambria"/>
      <w:b/>
      <w:sz w:val="32"/>
    </w:rPr>
  </w:style>
  <w:style w:type="paragraph" w:styleId="42">
    <w:name w:val="Body Text First Indent 2"/>
    <w:basedOn w:val="19"/>
    <w:next w:val="1"/>
    <w:link w:val="268"/>
    <w:autoRedefine/>
    <w:unhideWhenUsed/>
    <w:qFormat/>
    <w:uiPriority w:val="99"/>
  </w:style>
  <w:style w:type="table" w:styleId="44">
    <w:name w:val="Table Grid"/>
    <w:basedOn w:val="4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autoRedefine/>
    <w:qFormat/>
    <w:uiPriority w:val="0"/>
    <w:rPr>
      <w:b/>
      <w:bCs/>
    </w:rPr>
  </w:style>
  <w:style w:type="character" w:styleId="47">
    <w:name w:val="page number"/>
    <w:basedOn w:val="45"/>
    <w:autoRedefine/>
    <w:qFormat/>
    <w:uiPriority w:val="0"/>
  </w:style>
  <w:style w:type="character" w:styleId="48">
    <w:name w:val="FollowedHyperlink"/>
    <w:autoRedefine/>
    <w:qFormat/>
    <w:uiPriority w:val="0"/>
    <w:rPr>
      <w:color w:val="800080"/>
      <w:u w:val="none"/>
    </w:rPr>
  </w:style>
  <w:style w:type="character" w:styleId="49">
    <w:name w:val="Emphasis"/>
    <w:autoRedefine/>
    <w:qFormat/>
    <w:uiPriority w:val="0"/>
    <w:rPr>
      <w:rFonts w:ascii="Times New Roman" w:hAnsi="Times New Roman" w:eastAsia="宋体"/>
    </w:rPr>
  </w:style>
  <w:style w:type="character" w:styleId="50">
    <w:name w:val="HTML Definition"/>
    <w:autoRedefine/>
    <w:qFormat/>
    <w:uiPriority w:val="0"/>
    <w:rPr>
      <w:rFonts w:ascii="Times New Roman" w:hAnsi="Times New Roman" w:eastAsia="宋体"/>
    </w:rPr>
  </w:style>
  <w:style w:type="character" w:styleId="51">
    <w:name w:val="HTML Variable"/>
    <w:autoRedefine/>
    <w:qFormat/>
    <w:uiPriority w:val="0"/>
    <w:rPr>
      <w:rFonts w:ascii="Times New Roman" w:hAnsi="Times New Roman" w:eastAsia="宋体"/>
    </w:rPr>
  </w:style>
  <w:style w:type="character" w:styleId="52">
    <w:name w:val="Hyperlink"/>
    <w:autoRedefine/>
    <w:qFormat/>
    <w:uiPriority w:val="0"/>
    <w:rPr>
      <w:color w:val="136EC2"/>
      <w:u w:val="single"/>
    </w:rPr>
  </w:style>
  <w:style w:type="character" w:styleId="53">
    <w:name w:val="HTML Code"/>
    <w:autoRedefine/>
    <w:qFormat/>
    <w:uiPriority w:val="0"/>
    <w:rPr>
      <w:rFonts w:ascii="Courier New" w:hAnsi="Courier New" w:eastAsia="Courier New" w:cs="Courier New"/>
      <w:sz w:val="20"/>
    </w:rPr>
  </w:style>
  <w:style w:type="character" w:styleId="54">
    <w:name w:val="annotation reference"/>
    <w:autoRedefine/>
    <w:qFormat/>
    <w:uiPriority w:val="0"/>
    <w:rPr>
      <w:sz w:val="21"/>
      <w:szCs w:val="21"/>
    </w:rPr>
  </w:style>
  <w:style w:type="character" w:styleId="55">
    <w:name w:val="HTML Cite"/>
    <w:autoRedefine/>
    <w:qFormat/>
    <w:uiPriority w:val="0"/>
    <w:rPr>
      <w:rFonts w:ascii="Times New Roman" w:hAnsi="Times New Roman" w:eastAsia="宋体"/>
    </w:rPr>
  </w:style>
  <w:style w:type="character" w:styleId="56">
    <w:name w:val="HTML Keyboard"/>
    <w:autoRedefine/>
    <w:qFormat/>
    <w:uiPriority w:val="0"/>
    <w:rPr>
      <w:rFonts w:ascii="Courier New" w:hAnsi="Courier New" w:eastAsia="Courier New" w:cs="Courier New"/>
      <w:sz w:val="20"/>
    </w:rPr>
  </w:style>
  <w:style w:type="character" w:styleId="57">
    <w:name w:val="HTML Sample"/>
    <w:autoRedefine/>
    <w:qFormat/>
    <w:uiPriority w:val="0"/>
    <w:rPr>
      <w:rFonts w:ascii="Courier New" w:hAnsi="Courier New" w:eastAsia="Courier New" w:cs="Courier New"/>
    </w:rPr>
  </w:style>
  <w:style w:type="paragraph" w:customStyle="1" w:styleId="58">
    <w:name w:val="正文（缩进）"/>
    <w:basedOn w:val="1"/>
    <w:autoRedefine/>
    <w:qFormat/>
    <w:uiPriority w:val="0"/>
    <w:pPr>
      <w:spacing w:beforeLines="50" w:afterLines="50" w:line="360" w:lineRule="auto"/>
      <w:ind w:firstLine="480" w:firstLineChars="200"/>
    </w:pPr>
    <w:rPr>
      <w:sz w:val="24"/>
    </w:rPr>
  </w:style>
  <w:style w:type="paragraph" w:customStyle="1" w:styleId="59">
    <w:name w:val="正文1"/>
    <w:basedOn w:val="1"/>
    <w:autoRedefine/>
    <w:qFormat/>
    <w:uiPriority w:val="0"/>
    <w:pPr>
      <w:ind w:firstLine="480"/>
    </w:pPr>
    <w:rPr>
      <w:rFonts w:ascii="Times New Roman" w:hAnsi="Times New Roman"/>
      <w:sz w:val="24"/>
    </w:rPr>
  </w:style>
  <w:style w:type="paragraph" w:customStyle="1" w:styleId="60">
    <w:name w:val="列出段落1"/>
    <w:basedOn w:val="61"/>
    <w:next w:val="62"/>
    <w:autoRedefine/>
    <w:qFormat/>
    <w:uiPriority w:val="0"/>
    <w:pPr>
      <w:ind w:firstLine="420" w:firstLineChars="200"/>
    </w:pPr>
  </w:style>
  <w:style w:type="paragraph" w:customStyle="1" w:styleId="61">
    <w:name w:val="正文_10_4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2">
    <w:name w:val="标题 7_0"/>
    <w:basedOn w:val="63"/>
    <w:next w:val="63"/>
    <w:autoRedefine/>
    <w:unhideWhenUsed/>
    <w:qFormat/>
    <w:uiPriority w:val="9"/>
    <w:pPr>
      <w:keepNext/>
      <w:keepLines/>
      <w:adjustRightInd w:val="0"/>
      <w:spacing w:before="240" w:after="64" w:line="320" w:lineRule="atLeast"/>
      <w:jc w:val="left"/>
      <w:textAlignment w:val="baseline"/>
      <w:outlineLvl w:val="6"/>
    </w:pPr>
    <w:rPr>
      <w:b/>
      <w:bCs/>
      <w:kern w:val="0"/>
      <w:sz w:val="24"/>
    </w:rPr>
  </w:style>
  <w:style w:type="paragraph" w:customStyle="1" w:styleId="63">
    <w:name w:val="正文_37"/>
    <w:next w:val="6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4">
    <w:name w:val="标题 2_37"/>
    <w:basedOn w:val="63"/>
    <w:next w:val="63"/>
    <w:autoRedefine/>
    <w:unhideWhenUsed/>
    <w:qFormat/>
    <w:uiPriority w:val="9"/>
    <w:pPr>
      <w:keepNext/>
      <w:keepLines/>
      <w:spacing w:line="360" w:lineRule="auto"/>
      <w:outlineLvl w:val="1"/>
    </w:pPr>
    <w:rPr>
      <w:rFonts w:ascii="Arial" w:hAnsi="Arial"/>
      <w:b/>
      <w:bCs/>
      <w:sz w:val="24"/>
      <w:szCs w:val="32"/>
    </w:rPr>
  </w:style>
  <w:style w:type="paragraph" w:customStyle="1" w:styleId="65">
    <w:name w:val="Default"/>
    <w:autoRedefine/>
    <w:qFormat/>
    <w:uiPriority w:val="0"/>
    <w:pPr>
      <w:widowControl w:val="0"/>
      <w:autoSpaceDE w:val="0"/>
      <w:autoSpaceDN w:val="0"/>
      <w:adjustRightInd w:val="0"/>
    </w:pPr>
    <w:rPr>
      <w:rFonts w:ascii="黑体" w:hAnsi="Calibri" w:eastAsia="黑体" w:cs="Times New Roman"/>
      <w:lang w:val="en-US" w:eastAsia="zh-CN" w:bidi="ar-SA"/>
    </w:rPr>
  </w:style>
  <w:style w:type="character" w:customStyle="1" w:styleId="66">
    <w:name w:val="标题 4 Char"/>
    <w:autoRedefine/>
    <w:qFormat/>
    <w:uiPriority w:val="0"/>
    <w:rPr>
      <w:rFonts w:ascii="Arial" w:hAnsi="Arial" w:eastAsia="宋体" w:cs="Times New Roman"/>
      <w:b/>
      <w:bCs/>
      <w:szCs w:val="28"/>
    </w:rPr>
  </w:style>
  <w:style w:type="character" w:customStyle="1" w:styleId="67">
    <w:name w:val="标题 3 Char"/>
    <w:autoRedefine/>
    <w:qFormat/>
    <w:uiPriority w:val="0"/>
    <w:rPr>
      <w:b/>
      <w:bCs/>
      <w:sz w:val="24"/>
      <w:szCs w:val="24"/>
    </w:rPr>
  </w:style>
  <w:style w:type="character" w:customStyle="1" w:styleId="68">
    <w:name w:val="标题 2 Char"/>
    <w:autoRedefine/>
    <w:qFormat/>
    <w:uiPriority w:val="0"/>
    <w:rPr>
      <w:rFonts w:ascii="Cambria" w:hAnsi="Cambria" w:eastAsia="宋体" w:cs="Times New Roman"/>
      <w:b/>
      <w:bCs/>
      <w:kern w:val="2"/>
      <w:sz w:val="32"/>
      <w:szCs w:val="32"/>
    </w:rPr>
  </w:style>
  <w:style w:type="character" w:customStyle="1" w:styleId="69">
    <w:name w:val="标题 1 Char"/>
    <w:autoRedefine/>
    <w:qFormat/>
    <w:uiPriority w:val="0"/>
    <w:rPr>
      <w:rFonts w:ascii="Cambria" w:hAnsi="Cambria"/>
      <w:b/>
      <w:bCs/>
      <w:kern w:val="32"/>
      <w:sz w:val="32"/>
      <w:szCs w:val="32"/>
    </w:rPr>
  </w:style>
  <w:style w:type="paragraph" w:customStyle="1" w:styleId="70">
    <w:name w:val="reader-word-layer reader-word-s1-1"/>
    <w:basedOn w:val="1"/>
    <w:autoRedefine/>
    <w:qFormat/>
    <w:uiPriority w:val="0"/>
    <w:pPr>
      <w:widowControl/>
      <w:spacing w:before="100" w:beforeAutospacing="1" w:after="100" w:afterAutospacing="1"/>
      <w:jc w:val="left"/>
    </w:pPr>
    <w:rPr>
      <w:kern w:val="0"/>
      <w:sz w:val="24"/>
    </w:rPr>
  </w:style>
  <w:style w:type="paragraph" w:customStyle="1" w:styleId="71">
    <w:name w:val="Char Char1 Char Char Char Char Char1 Char Char Char Char"/>
    <w:basedOn w:val="14"/>
    <w:autoRedefine/>
    <w:qFormat/>
    <w:uiPriority w:val="0"/>
    <w:rPr>
      <w:rFonts w:ascii="Tahoma" w:hAnsi="Tahoma"/>
    </w:rPr>
  </w:style>
  <w:style w:type="paragraph" w:customStyle="1" w:styleId="72">
    <w:name w:val="Char Char1 Char Char Char Char Char Char Char"/>
    <w:basedOn w:val="1"/>
    <w:autoRedefine/>
    <w:qFormat/>
    <w:uiPriority w:val="0"/>
    <w:pPr>
      <w:widowControl/>
      <w:spacing w:after="160" w:line="240" w:lineRule="exact"/>
      <w:jc w:val="left"/>
    </w:pPr>
  </w:style>
  <w:style w:type="paragraph" w:customStyle="1" w:styleId="73">
    <w:name w:val="Style69"/>
    <w:basedOn w:val="1"/>
    <w:autoRedefine/>
    <w:unhideWhenUsed/>
    <w:qFormat/>
    <w:uiPriority w:val="0"/>
    <w:pPr>
      <w:spacing w:line="557" w:lineRule="exact"/>
      <w:ind w:firstLine="1666"/>
    </w:pPr>
  </w:style>
  <w:style w:type="paragraph" w:customStyle="1" w:styleId="74">
    <w:name w:val="Style64"/>
    <w:basedOn w:val="1"/>
    <w:autoRedefine/>
    <w:unhideWhenUsed/>
    <w:qFormat/>
    <w:uiPriority w:val="0"/>
  </w:style>
  <w:style w:type="paragraph" w:customStyle="1" w:styleId="75">
    <w:name w:val="Style46"/>
    <w:basedOn w:val="1"/>
    <w:autoRedefine/>
    <w:unhideWhenUsed/>
    <w:qFormat/>
    <w:uiPriority w:val="0"/>
    <w:pPr>
      <w:spacing w:line="672" w:lineRule="exact"/>
    </w:pPr>
  </w:style>
  <w:style w:type="paragraph" w:customStyle="1" w:styleId="76">
    <w:name w:val="Style24"/>
    <w:basedOn w:val="1"/>
    <w:autoRedefine/>
    <w:unhideWhenUsed/>
    <w:qFormat/>
    <w:uiPriority w:val="0"/>
  </w:style>
  <w:style w:type="paragraph" w:customStyle="1" w:styleId="77">
    <w:name w:val="Style23"/>
    <w:basedOn w:val="1"/>
    <w:autoRedefine/>
    <w:unhideWhenUsed/>
    <w:qFormat/>
    <w:uiPriority w:val="0"/>
  </w:style>
  <w:style w:type="paragraph" w:customStyle="1" w:styleId="78">
    <w:name w:val="Char Char Char1 Char"/>
    <w:basedOn w:val="1"/>
    <w:autoRedefine/>
    <w:qFormat/>
    <w:uiPriority w:val="0"/>
    <w:pPr>
      <w:tabs>
        <w:tab w:val="left" w:pos="360"/>
      </w:tabs>
      <w:snapToGrid w:val="0"/>
    </w:pPr>
    <w:rPr>
      <w:rFonts w:eastAsia="仿宋_GB2312"/>
      <w:sz w:val="24"/>
    </w:rPr>
  </w:style>
  <w:style w:type="paragraph" w:customStyle="1" w:styleId="79">
    <w:name w:val="标题 1 +"/>
    <w:basedOn w:val="2"/>
    <w:next w:val="1"/>
    <w:autoRedefine/>
    <w:qFormat/>
    <w:uiPriority w:val="0"/>
    <w:pPr>
      <w:keepLines/>
      <w:spacing w:line="600" w:lineRule="auto"/>
    </w:pPr>
    <w:rPr>
      <w:rFonts w:eastAsia="黑体"/>
      <w:kern w:val="0"/>
      <w:sz w:val="32"/>
      <w:szCs w:val="32"/>
    </w:rPr>
  </w:style>
  <w:style w:type="paragraph" w:customStyle="1" w:styleId="80">
    <w:name w:val="Style63"/>
    <w:basedOn w:val="1"/>
    <w:autoRedefine/>
    <w:unhideWhenUsed/>
    <w:qFormat/>
    <w:uiPriority w:val="0"/>
    <w:pPr>
      <w:spacing w:line="564" w:lineRule="exact"/>
      <w:ind w:firstLine="682"/>
    </w:pPr>
  </w:style>
  <w:style w:type="paragraph" w:customStyle="1" w:styleId="81">
    <w:name w:val="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82">
    <w:name w:val="Style10"/>
    <w:basedOn w:val="1"/>
    <w:autoRedefine/>
    <w:unhideWhenUsed/>
    <w:qFormat/>
    <w:uiPriority w:val="0"/>
    <w:pPr>
      <w:spacing w:line="538" w:lineRule="exact"/>
    </w:pPr>
  </w:style>
  <w:style w:type="paragraph" w:customStyle="1" w:styleId="83">
    <w:name w:val="默认段落字体 Para Char Char Char Char Char Char Char Char Char Char Char Char Char Char Char Char Char Char Char"/>
    <w:basedOn w:val="1"/>
    <w:autoRedefine/>
    <w:qFormat/>
    <w:uiPriority w:val="0"/>
  </w:style>
  <w:style w:type="paragraph" w:customStyle="1" w:styleId="84">
    <w:name w:val="Style9"/>
    <w:basedOn w:val="1"/>
    <w:autoRedefine/>
    <w:unhideWhenUsed/>
    <w:qFormat/>
    <w:uiPriority w:val="0"/>
  </w:style>
  <w:style w:type="paragraph" w:customStyle="1" w:styleId="85">
    <w:name w:val="p15"/>
    <w:basedOn w:val="1"/>
    <w:autoRedefine/>
    <w:qFormat/>
    <w:uiPriority w:val="0"/>
    <w:pPr>
      <w:widowControl/>
      <w:spacing w:line="220" w:lineRule="atLeast"/>
      <w:jc w:val="center"/>
    </w:pPr>
    <w:rPr>
      <w:rFonts w:ascii="仿宋_GB2312" w:eastAsia="仿宋_GB2312"/>
      <w:kern w:val="0"/>
      <w:szCs w:val="21"/>
    </w:rPr>
  </w:style>
  <w:style w:type="paragraph" w:customStyle="1" w:styleId="86">
    <w:name w:val="Style21"/>
    <w:basedOn w:val="1"/>
    <w:autoRedefine/>
    <w:unhideWhenUsed/>
    <w:qFormat/>
    <w:uiPriority w:val="0"/>
    <w:pPr>
      <w:spacing w:line="566" w:lineRule="exact"/>
      <w:ind w:firstLine="682"/>
    </w:pPr>
  </w:style>
  <w:style w:type="paragraph" w:customStyle="1" w:styleId="87">
    <w:name w:val="Style8"/>
    <w:basedOn w:val="1"/>
    <w:autoRedefine/>
    <w:unhideWhenUsed/>
    <w:qFormat/>
    <w:uiPriority w:val="0"/>
    <w:pPr>
      <w:spacing w:line="566" w:lineRule="exact"/>
      <w:jc w:val="center"/>
    </w:pPr>
  </w:style>
  <w:style w:type="paragraph" w:customStyle="1" w:styleId="88">
    <w:name w:val="Style12"/>
    <w:basedOn w:val="1"/>
    <w:autoRedefine/>
    <w:unhideWhenUsed/>
    <w:qFormat/>
    <w:uiPriority w:val="0"/>
    <w:pPr>
      <w:spacing w:line="564" w:lineRule="exact"/>
      <w:ind w:hanging="115"/>
    </w:pPr>
  </w:style>
  <w:style w:type="paragraph" w:customStyle="1" w:styleId="89">
    <w:name w:val="Style47"/>
    <w:basedOn w:val="1"/>
    <w:autoRedefine/>
    <w:unhideWhenUsed/>
    <w:qFormat/>
    <w:uiPriority w:val="0"/>
  </w:style>
  <w:style w:type="paragraph" w:customStyle="1" w:styleId="90">
    <w:name w:val="Char Char1 Char Char Char"/>
    <w:basedOn w:val="1"/>
    <w:autoRedefine/>
    <w:qFormat/>
    <w:uiPriority w:val="0"/>
    <w:rPr>
      <w:kern w:val="0"/>
      <w:sz w:val="20"/>
      <w:szCs w:val="20"/>
    </w:rPr>
  </w:style>
  <w:style w:type="paragraph" w:customStyle="1" w:styleId="91">
    <w:name w:val="Style34"/>
    <w:basedOn w:val="1"/>
    <w:autoRedefine/>
    <w:unhideWhenUsed/>
    <w:qFormat/>
    <w:uiPriority w:val="0"/>
    <w:pPr>
      <w:spacing w:line="375" w:lineRule="exact"/>
    </w:pPr>
  </w:style>
  <w:style w:type="paragraph" w:customStyle="1" w:styleId="92">
    <w:name w:val="_Style 39"/>
    <w:basedOn w:val="93"/>
    <w:autoRedefine/>
    <w:qFormat/>
    <w:uiPriority w:val="0"/>
  </w:style>
  <w:style w:type="paragraph" w:customStyle="1" w:styleId="93">
    <w:name w:val="正文 New New New"/>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94">
    <w:name w:val="标题2"/>
    <w:basedOn w:val="41"/>
    <w:autoRedefine/>
    <w:qFormat/>
    <w:uiPriority w:val="0"/>
    <w:pPr>
      <w:spacing w:after="240"/>
      <w:jc w:val="left"/>
    </w:pPr>
    <w:rPr>
      <w:sz w:val="30"/>
    </w:rPr>
  </w:style>
  <w:style w:type="paragraph" w:customStyle="1" w:styleId="95">
    <w:name w:val="Style50"/>
    <w:basedOn w:val="1"/>
    <w:autoRedefine/>
    <w:unhideWhenUsed/>
    <w:qFormat/>
    <w:uiPriority w:val="0"/>
  </w:style>
  <w:style w:type="paragraph" w:customStyle="1" w:styleId="96">
    <w:name w:val="Style4"/>
    <w:basedOn w:val="1"/>
    <w:autoRedefine/>
    <w:unhideWhenUsed/>
    <w:qFormat/>
    <w:uiPriority w:val="0"/>
  </w:style>
  <w:style w:type="paragraph" w:customStyle="1" w:styleId="97">
    <w:name w:val="Style71"/>
    <w:basedOn w:val="1"/>
    <w:autoRedefine/>
    <w:unhideWhenUsed/>
    <w:qFormat/>
    <w:uiPriority w:val="0"/>
    <w:pPr>
      <w:spacing w:line="538" w:lineRule="exact"/>
      <w:ind w:firstLine="101"/>
    </w:pPr>
  </w:style>
  <w:style w:type="paragraph" w:customStyle="1" w:styleId="98">
    <w:name w:val="Char1 Char Char Char"/>
    <w:basedOn w:val="1"/>
    <w:autoRedefine/>
    <w:qFormat/>
    <w:uiPriority w:val="0"/>
    <w:pPr>
      <w:widowControl/>
      <w:spacing w:after="160" w:line="240" w:lineRule="exact"/>
      <w:jc w:val="left"/>
    </w:pPr>
    <w:rPr>
      <w:kern w:val="0"/>
      <w:sz w:val="24"/>
      <w:szCs w:val="20"/>
    </w:rPr>
  </w:style>
  <w:style w:type="paragraph" w:customStyle="1" w:styleId="99">
    <w:name w:val="附录标识"/>
    <w:basedOn w:val="100"/>
    <w:autoRedefine/>
    <w:qFormat/>
    <w:uiPriority w:val="0"/>
    <w:pPr>
      <w:tabs>
        <w:tab w:val="left" w:pos="360"/>
        <w:tab w:val="left" w:pos="720"/>
        <w:tab w:val="left" w:pos="6405"/>
      </w:tabs>
      <w:spacing w:after="200"/>
    </w:pPr>
    <w:rPr>
      <w:sz w:val="21"/>
    </w:rPr>
  </w:style>
  <w:style w:type="paragraph" w:customStyle="1" w:styleId="100">
    <w:name w:val="前言、引言标题"/>
    <w:next w:val="1"/>
    <w:autoRedefine/>
    <w:qFormat/>
    <w:uiPriority w:val="0"/>
    <w:pPr>
      <w:shd w:val="clear" w:color="FFFFFF" w:fill="FFFFFF"/>
      <w:tabs>
        <w:tab w:val="left" w:pos="360"/>
        <w:tab w:val="left" w:pos="720"/>
      </w:tabs>
      <w:spacing w:before="640" w:after="560"/>
      <w:ind w:left="720" w:hanging="720"/>
      <w:jc w:val="center"/>
      <w:outlineLvl w:val="0"/>
    </w:pPr>
    <w:rPr>
      <w:rFonts w:ascii="黑体" w:hAnsi="Calibri" w:eastAsia="黑体" w:cs="Times New Roman"/>
      <w:sz w:val="32"/>
      <w:lang w:val="en-US" w:eastAsia="zh-CN" w:bidi="ar-SA"/>
    </w:rPr>
  </w:style>
  <w:style w:type="paragraph" w:customStyle="1" w:styleId="101">
    <w:name w:val="Char Char Char"/>
    <w:basedOn w:val="1"/>
    <w:autoRedefine/>
    <w:qFormat/>
    <w:uiPriority w:val="0"/>
    <w:rPr>
      <w:b/>
      <w:sz w:val="28"/>
      <w:szCs w:val="28"/>
    </w:rPr>
  </w:style>
  <w:style w:type="paragraph" w:customStyle="1" w:styleId="102">
    <w:name w:val="Style65"/>
    <w:basedOn w:val="1"/>
    <w:autoRedefine/>
    <w:unhideWhenUsed/>
    <w:qFormat/>
    <w:uiPriority w:val="0"/>
  </w:style>
  <w:style w:type="paragraph" w:customStyle="1" w:styleId="103">
    <w:name w:val="Style52"/>
    <w:basedOn w:val="1"/>
    <w:autoRedefine/>
    <w:unhideWhenUsed/>
    <w:qFormat/>
    <w:uiPriority w:val="0"/>
    <w:pPr>
      <w:spacing w:line="682" w:lineRule="exact"/>
      <w:ind w:firstLine="557"/>
    </w:pPr>
  </w:style>
  <w:style w:type="paragraph" w:customStyle="1" w:styleId="104">
    <w:name w:val="Style80"/>
    <w:basedOn w:val="1"/>
    <w:autoRedefine/>
    <w:unhideWhenUsed/>
    <w:qFormat/>
    <w:uiPriority w:val="0"/>
  </w:style>
  <w:style w:type="paragraph" w:customStyle="1" w:styleId="105">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6">
    <w:name w:val="Style62"/>
    <w:basedOn w:val="1"/>
    <w:autoRedefine/>
    <w:unhideWhenUsed/>
    <w:qFormat/>
    <w:uiPriority w:val="0"/>
  </w:style>
  <w:style w:type="paragraph" w:customStyle="1" w:styleId="107">
    <w:name w:val="Style36"/>
    <w:basedOn w:val="1"/>
    <w:autoRedefine/>
    <w:unhideWhenUsed/>
    <w:qFormat/>
    <w:uiPriority w:val="0"/>
  </w:style>
  <w:style w:type="paragraph" w:customStyle="1" w:styleId="108">
    <w:name w:val="Char1 Char Char Char 字元 Char Char 字元 Char 字元 Char1 Char Char Char"/>
    <w:basedOn w:val="1"/>
    <w:autoRedefine/>
    <w:qFormat/>
    <w:uiPriority w:val="0"/>
    <w:rPr>
      <w:szCs w:val="20"/>
    </w:rPr>
  </w:style>
  <w:style w:type="paragraph" w:customStyle="1" w:styleId="109">
    <w:name w:val="Style5"/>
    <w:basedOn w:val="1"/>
    <w:autoRedefine/>
    <w:unhideWhenUsed/>
    <w:qFormat/>
    <w:uiPriority w:val="0"/>
  </w:style>
  <w:style w:type="paragraph" w:customStyle="1" w:styleId="110">
    <w:name w:val="Char1 Char Char Char Char Char Char Char Char Char"/>
    <w:basedOn w:val="1"/>
    <w:autoRedefine/>
    <w:qFormat/>
    <w:uiPriority w:val="0"/>
    <w:rPr>
      <w:szCs w:val="20"/>
    </w:rPr>
  </w:style>
  <w:style w:type="paragraph" w:customStyle="1" w:styleId="111">
    <w:name w:val="表正文"/>
    <w:autoRedefine/>
    <w:qFormat/>
    <w:uiPriority w:val="0"/>
    <w:pPr>
      <w:widowControl w:val="0"/>
      <w:ind w:left="840" w:leftChars="350"/>
      <w:jc w:val="both"/>
      <w:outlineLvl w:val="0"/>
    </w:pPr>
    <w:rPr>
      <w:rFonts w:ascii="宋体" w:hAnsi="Calibri" w:eastAsia="宋体" w:cs="Times New Roman"/>
      <w:b/>
      <w:sz w:val="24"/>
      <w:lang w:val="en-US" w:eastAsia="zh-CN" w:bidi="ar-SA"/>
    </w:rPr>
  </w:style>
  <w:style w:type="paragraph" w:customStyle="1" w:styleId="112">
    <w:name w:val="列出段落11"/>
    <w:basedOn w:val="1"/>
    <w:autoRedefine/>
    <w:qFormat/>
    <w:uiPriority w:val="99"/>
  </w:style>
  <w:style w:type="paragraph" w:customStyle="1" w:styleId="113">
    <w:name w:val="Style73"/>
    <w:basedOn w:val="1"/>
    <w:autoRedefine/>
    <w:unhideWhenUsed/>
    <w:qFormat/>
    <w:uiPriority w:val="0"/>
    <w:pPr>
      <w:spacing w:line="538" w:lineRule="exact"/>
      <w:ind w:firstLine="533"/>
    </w:pPr>
  </w:style>
  <w:style w:type="paragraph" w:customStyle="1" w:styleId="114">
    <w:name w:val="Style26"/>
    <w:basedOn w:val="1"/>
    <w:autoRedefine/>
    <w:unhideWhenUsed/>
    <w:qFormat/>
    <w:uiPriority w:val="0"/>
  </w:style>
  <w:style w:type="paragraph" w:customStyle="1" w:styleId="115">
    <w:name w:val="Style56"/>
    <w:basedOn w:val="1"/>
    <w:autoRedefine/>
    <w:unhideWhenUsed/>
    <w:qFormat/>
    <w:uiPriority w:val="0"/>
  </w:style>
  <w:style w:type="paragraph" w:customStyle="1" w:styleId="116">
    <w:name w:val="表格内容"/>
    <w:basedOn w:val="18"/>
    <w:autoRedefine/>
    <w:qFormat/>
    <w:uiPriority w:val="0"/>
    <w:pPr>
      <w:suppressLineNumbers/>
      <w:suppressAutoHyphens/>
      <w:jc w:val="left"/>
    </w:pPr>
    <w:rPr>
      <w:rFonts w:cs="Tahoma"/>
      <w:kern w:val="0"/>
      <w:sz w:val="24"/>
    </w:rPr>
  </w:style>
  <w:style w:type="paragraph" w:customStyle="1" w:styleId="117">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18">
    <w:name w:val="Style78"/>
    <w:basedOn w:val="1"/>
    <w:autoRedefine/>
    <w:unhideWhenUsed/>
    <w:qFormat/>
    <w:uiPriority w:val="0"/>
  </w:style>
  <w:style w:type="paragraph" w:customStyle="1" w:styleId="119">
    <w:name w:val="Style29"/>
    <w:basedOn w:val="1"/>
    <w:autoRedefine/>
    <w:unhideWhenUsed/>
    <w:qFormat/>
    <w:uiPriority w:val="0"/>
    <w:pPr>
      <w:spacing w:line="547" w:lineRule="exact"/>
      <w:ind w:firstLine="547"/>
    </w:pPr>
  </w:style>
  <w:style w:type="paragraph" w:customStyle="1" w:styleId="120">
    <w:name w:val="Style70"/>
    <w:basedOn w:val="1"/>
    <w:autoRedefine/>
    <w:unhideWhenUsed/>
    <w:qFormat/>
    <w:uiPriority w:val="0"/>
    <w:pPr>
      <w:spacing w:line="549" w:lineRule="exact"/>
      <w:ind w:firstLine="686"/>
    </w:pPr>
  </w:style>
  <w:style w:type="paragraph" w:customStyle="1" w:styleId="121">
    <w:name w:val="Style27"/>
    <w:basedOn w:val="1"/>
    <w:autoRedefine/>
    <w:unhideWhenUsed/>
    <w:qFormat/>
    <w:uiPriority w:val="0"/>
  </w:style>
  <w:style w:type="paragraph" w:customStyle="1" w:styleId="122">
    <w:name w:val="Style45"/>
    <w:basedOn w:val="1"/>
    <w:autoRedefine/>
    <w:unhideWhenUsed/>
    <w:qFormat/>
    <w:uiPriority w:val="0"/>
  </w:style>
  <w:style w:type="paragraph" w:customStyle="1" w:styleId="123">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4">
    <w:name w:val="Style16"/>
    <w:basedOn w:val="1"/>
    <w:autoRedefine/>
    <w:unhideWhenUsed/>
    <w:qFormat/>
    <w:uiPriority w:val="0"/>
    <w:pPr>
      <w:jc w:val="right"/>
    </w:pPr>
  </w:style>
  <w:style w:type="paragraph" w:customStyle="1" w:styleId="125">
    <w:name w:val="Style11"/>
    <w:basedOn w:val="1"/>
    <w:autoRedefine/>
    <w:unhideWhenUsed/>
    <w:qFormat/>
    <w:uiPriority w:val="0"/>
    <w:pPr>
      <w:spacing w:line="559" w:lineRule="exact"/>
      <w:ind w:firstLine="590"/>
    </w:pPr>
  </w:style>
  <w:style w:type="paragraph" w:customStyle="1" w:styleId="126">
    <w:name w:val="样式 标题 2 + 宋体 五号 行距: 单倍行距"/>
    <w:basedOn w:val="3"/>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27">
    <w:name w:val="Char2"/>
    <w:basedOn w:val="1"/>
    <w:autoRedefine/>
    <w:qFormat/>
    <w:uiPriority w:val="0"/>
    <w:pPr>
      <w:tabs>
        <w:tab w:val="left" w:pos="360"/>
      </w:tabs>
      <w:ind w:left="360" w:hanging="360" w:hangingChars="200"/>
    </w:pPr>
    <w:rPr>
      <w:sz w:val="24"/>
    </w:rPr>
  </w:style>
  <w:style w:type="paragraph" w:customStyle="1" w:styleId="128">
    <w:name w:val="Style59"/>
    <w:basedOn w:val="1"/>
    <w:autoRedefine/>
    <w:unhideWhenUsed/>
    <w:qFormat/>
    <w:uiPriority w:val="0"/>
  </w:style>
  <w:style w:type="paragraph" w:customStyle="1" w:styleId="129">
    <w:name w:val="p16"/>
    <w:basedOn w:val="1"/>
    <w:autoRedefine/>
    <w:qFormat/>
    <w:uiPriority w:val="0"/>
    <w:pPr>
      <w:widowControl/>
      <w:jc w:val="left"/>
    </w:pPr>
    <w:rPr>
      <w:kern w:val="0"/>
      <w:szCs w:val="21"/>
    </w:rPr>
  </w:style>
  <w:style w:type="paragraph" w:customStyle="1" w:styleId="130">
    <w:name w:val="Style81"/>
    <w:basedOn w:val="1"/>
    <w:autoRedefine/>
    <w:unhideWhenUsed/>
    <w:qFormat/>
    <w:uiPriority w:val="0"/>
    <w:pPr>
      <w:spacing w:line="547" w:lineRule="exact"/>
    </w:pPr>
  </w:style>
  <w:style w:type="paragraph" w:customStyle="1" w:styleId="131">
    <w:name w:val="NO3"/>
    <w:basedOn w:val="1"/>
    <w:autoRedefine/>
    <w:qFormat/>
    <w:uiPriority w:val="0"/>
    <w:pPr>
      <w:tabs>
        <w:tab w:val="left" w:pos="907"/>
      </w:tabs>
    </w:pPr>
    <w:rPr>
      <w:sz w:val="24"/>
    </w:rPr>
  </w:style>
  <w:style w:type="paragraph" w:customStyle="1" w:styleId="132">
    <w:name w:val="文档正文"/>
    <w:basedOn w:val="1"/>
    <w:autoRedefine/>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133">
    <w:name w:val="修订1"/>
    <w:autoRedefine/>
    <w:qFormat/>
    <w:uiPriority w:val="0"/>
    <w:rPr>
      <w:rFonts w:ascii="Calibri" w:hAnsi="Calibri" w:eastAsia="宋体" w:cs="Times New Roman"/>
      <w:kern w:val="2"/>
      <w:sz w:val="21"/>
      <w:szCs w:val="24"/>
      <w:lang w:val="en-US" w:eastAsia="zh-CN" w:bidi="ar-SA"/>
    </w:rPr>
  </w:style>
  <w:style w:type="paragraph" w:customStyle="1" w:styleId="134">
    <w:name w:val="Style68"/>
    <w:basedOn w:val="1"/>
    <w:autoRedefine/>
    <w:unhideWhenUsed/>
    <w:qFormat/>
    <w:uiPriority w:val="0"/>
    <w:pPr>
      <w:spacing w:line="547" w:lineRule="exact"/>
    </w:pPr>
  </w:style>
  <w:style w:type="paragraph" w:customStyle="1" w:styleId="135">
    <w:name w:val="Style41"/>
    <w:basedOn w:val="1"/>
    <w:autoRedefine/>
    <w:unhideWhenUsed/>
    <w:qFormat/>
    <w:uiPriority w:val="0"/>
    <w:pPr>
      <w:spacing w:line="542" w:lineRule="exact"/>
      <w:ind w:firstLine="125"/>
    </w:pPr>
  </w:style>
  <w:style w:type="paragraph" w:customStyle="1" w:styleId="136">
    <w:name w:val="1 Char Char Char Char"/>
    <w:basedOn w:val="1"/>
    <w:autoRedefine/>
    <w:qFormat/>
    <w:uiPriority w:val="0"/>
  </w:style>
  <w:style w:type="paragraph" w:customStyle="1" w:styleId="137">
    <w:name w:val="Style28"/>
    <w:basedOn w:val="1"/>
    <w:autoRedefine/>
    <w:unhideWhenUsed/>
    <w:qFormat/>
    <w:uiPriority w:val="0"/>
    <w:pPr>
      <w:spacing w:line="552" w:lineRule="exact"/>
      <w:ind w:firstLine="547"/>
    </w:pPr>
  </w:style>
  <w:style w:type="paragraph" w:customStyle="1" w:styleId="138">
    <w:name w:val="列出段落2"/>
    <w:basedOn w:val="1"/>
    <w:autoRedefine/>
    <w:qFormat/>
    <w:uiPriority w:val="0"/>
    <w:rPr>
      <w:szCs w:val="22"/>
    </w:rPr>
  </w:style>
  <w:style w:type="paragraph" w:customStyle="1" w:styleId="139">
    <w:name w:val="Style53"/>
    <w:basedOn w:val="1"/>
    <w:autoRedefine/>
    <w:unhideWhenUsed/>
    <w:qFormat/>
    <w:uiPriority w:val="0"/>
    <w:pPr>
      <w:spacing w:line="533" w:lineRule="exact"/>
      <w:ind w:firstLine="581"/>
    </w:pPr>
  </w:style>
  <w:style w:type="paragraph" w:customStyle="1" w:styleId="140">
    <w:name w:val="样式1"/>
    <w:basedOn w:val="1"/>
    <w:autoRedefine/>
    <w:qFormat/>
    <w:uiPriority w:val="0"/>
    <w:pPr>
      <w:tabs>
        <w:tab w:val="left" w:pos="360"/>
      </w:tabs>
      <w:adjustRightInd w:val="0"/>
      <w:ind w:left="360" w:hanging="360"/>
      <w:textAlignment w:val="baseline"/>
    </w:pPr>
    <w:rPr>
      <w:kern w:val="0"/>
      <w:szCs w:val="21"/>
    </w:rPr>
  </w:style>
  <w:style w:type="paragraph" w:customStyle="1" w:styleId="141">
    <w:name w:val="Char Char Char Char Char Char Char"/>
    <w:basedOn w:val="1"/>
    <w:autoRedefine/>
    <w:qFormat/>
    <w:uiPriority w:val="0"/>
    <w:pPr>
      <w:snapToGrid w:val="0"/>
      <w:ind w:firstLine="200"/>
    </w:pPr>
    <w:rPr>
      <w:rFonts w:eastAsia="仿宋_GB2312"/>
      <w:sz w:val="24"/>
    </w:rPr>
  </w:style>
  <w:style w:type="paragraph" w:customStyle="1" w:styleId="142">
    <w:name w:val="Style48"/>
    <w:basedOn w:val="1"/>
    <w:autoRedefine/>
    <w:unhideWhenUsed/>
    <w:qFormat/>
    <w:uiPriority w:val="0"/>
    <w:pPr>
      <w:spacing w:line="542" w:lineRule="exact"/>
      <w:jc w:val="right"/>
    </w:pPr>
  </w:style>
  <w:style w:type="paragraph" w:customStyle="1" w:styleId="143">
    <w:name w:val="列表段落1"/>
    <w:basedOn w:val="1"/>
    <w:autoRedefine/>
    <w:qFormat/>
    <w:uiPriority w:val="0"/>
    <w:rPr>
      <w:rFonts w:cs="Calibri"/>
      <w:szCs w:val="21"/>
    </w:rPr>
  </w:style>
  <w:style w:type="paragraph" w:customStyle="1" w:styleId="144">
    <w:name w:val="Style74"/>
    <w:basedOn w:val="1"/>
    <w:autoRedefine/>
    <w:unhideWhenUsed/>
    <w:qFormat/>
    <w:uiPriority w:val="0"/>
    <w:pPr>
      <w:spacing w:line="437" w:lineRule="exact"/>
    </w:pPr>
  </w:style>
  <w:style w:type="paragraph" w:customStyle="1" w:styleId="145">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46">
    <w:name w:val="样式 标题 2 + Times New Roman 四号 非加粗 段前: 5 磅 段后: 0 磅 行距: 固定值 20..."/>
    <w:basedOn w:val="3"/>
    <w:autoRedefine/>
    <w:qFormat/>
    <w:uiPriority w:val="0"/>
    <w:pPr>
      <w:spacing w:before="100" w:line="400" w:lineRule="exact"/>
    </w:pPr>
    <w:rPr>
      <w:rFonts w:ascii="Times New Roman" w:hAnsi="Times New Roman" w:eastAsia="黑体"/>
      <w:b w:val="0"/>
      <w:bCs w:val="0"/>
      <w:sz w:val="28"/>
      <w:szCs w:val="20"/>
    </w:rPr>
  </w:style>
  <w:style w:type="paragraph" w:customStyle="1" w:styleId="147">
    <w:name w:val="Style15"/>
    <w:basedOn w:val="1"/>
    <w:autoRedefine/>
    <w:unhideWhenUsed/>
    <w:qFormat/>
    <w:uiPriority w:val="0"/>
    <w:pPr>
      <w:spacing w:line="557" w:lineRule="exact"/>
      <w:ind w:firstLine="672"/>
    </w:pPr>
  </w:style>
  <w:style w:type="paragraph" w:customStyle="1" w:styleId="148">
    <w:name w:val="Style77"/>
    <w:basedOn w:val="1"/>
    <w:autoRedefine/>
    <w:unhideWhenUsed/>
    <w:qFormat/>
    <w:uiPriority w:val="0"/>
  </w:style>
  <w:style w:type="paragraph" w:customStyle="1" w:styleId="149">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b/>
      <w:bCs/>
      <w:color w:val="000000"/>
      <w:kern w:val="0"/>
      <w:szCs w:val="20"/>
    </w:rPr>
  </w:style>
  <w:style w:type="paragraph" w:customStyle="1" w:styleId="150">
    <w:name w:val="Style13"/>
    <w:basedOn w:val="1"/>
    <w:autoRedefine/>
    <w:unhideWhenUsed/>
    <w:qFormat/>
    <w:uiPriority w:val="0"/>
  </w:style>
  <w:style w:type="paragraph" w:customStyle="1" w:styleId="151">
    <w:name w:val="Style44"/>
    <w:basedOn w:val="1"/>
    <w:autoRedefine/>
    <w:unhideWhenUsed/>
    <w:qFormat/>
    <w:uiPriority w:val="0"/>
  </w:style>
  <w:style w:type="paragraph" w:customStyle="1" w:styleId="152">
    <w:name w:val="1"/>
    <w:basedOn w:val="1"/>
    <w:autoRedefine/>
    <w:qFormat/>
    <w:uiPriority w:val="0"/>
    <w:pPr>
      <w:spacing w:afterLines="50"/>
    </w:pPr>
    <w:rPr>
      <w:b/>
      <w:sz w:val="30"/>
      <w:szCs w:val="21"/>
    </w:rPr>
  </w:style>
  <w:style w:type="paragraph" w:customStyle="1" w:styleId="153">
    <w:name w:val="Style60"/>
    <w:basedOn w:val="1"/>
    <w:autoRedefine/>
    <w:unhideWhenUsed/>
    <w:qFormat/>
    <w:uiPriority w:val="0"/>
    <w:pPr>
      <w:spacing w:line="566" w:lineRule="exact"/>
    </w:pPr>
  </w:style>
  <w:style w:type="paragraph" w:customStyle="1" w:styleId="154">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55">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6">
    <w:name w:val="Style61"/>
    <w:basedOn w:val="1"/>
    <w:autoRedefine/>
    <w:unhideWhenUsed/>
    <w:qFormat/>
    <w:uiPriority w:val="0"/>
  </w:style>
  <w:style w:type="paragraph" w:customStyle="1" w:styleId="157">
    <w:name w:val="无间距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8">
    <w:name w:val="Style54"/>
    <w:basedOn w:val="1"/>
    <w:autoRedefine/>
    <w:unhideWhenUsed/>
    <w:qFormat/>
    <w:uiPriority w:val="0"/>
  </w:style>
  <w:style w:type="paragraph" w:customStyle="1" w:styleId="159">
    <w:name w:val="p0"/>
    <w:basedOn w:val="1"/>
    <w:link w:val="253"/>
    <w:autoRedefine/>
    <w:qFormat/>
    <w:uiPriority w:val="0"/>
    <w:pPr>
      <w:widowControl/>
    </w:pPr>
    <w:rPr>
      <w:kern w:val="0"/>
      <w:szCs w:val="21"/>
    </w:rPr>
  </w:style>
  <w:style w:type="paragraph" w:customStyle="1" w:styleId="160">
    <w:name w:val="Char Char Char Char Char Char Char1"/>
    <w:basedOn w:val="1"/>
    <w:autoRedefine/>
    <w:qFormat/>
    <w:uiPriority w:val="0"/>
    <w:pPr>
      <w:snapToGrid w:val="0"/>
      <w:ind w:firstLine="200"/>
    </w:pPr>
    <w:rPr>
      <w:rFonts w:eastAsia="仿宋_GB2312"/>
      <w:sz w:val="24"/>
    </w:rPr>
  </w:style>
  <w:style w:type="paragraph" w:customStyle="1" w:styleId="161">
    <w:name w:val="Style76"/>
    <w:basedOn w:val="1"/>
    <w:autoRedefine/>
    <w:unhideWhenUsed/>
    <w:qFormat/>
    <w:uiPriority w:val="0"/>
  </w:style>
  <w:style w:type="paragraph" w:customStyle="1" w:styleId="162">
    <w:name w:val="Style67"/>
    <w:basedOn w:val="1"/>
    <w:autoRedefine/>
    <w:unhideWhenUsed/>
    <w:qFormat/>
    <w:uiPriority w:val="0"/>
    <w:pPr>
      <w:spacing w:line="566" w:lineRule="exact"/>
      <w:ind w:firstLine="552"/>
    </w:pPr>
  </w:style>
  <w:style w:type="paragraph" w:customStyle="1" w:styleId="163">
    <w:name w:val="Style42"/>
    <w:basedOn w:val="1"/>
    <w:autoRedefine/>
    <w:unhideWhenUsed/>
    <w:qFormat/>
    <w:uiPriority w:val="0"/>
    <w:pPr>
      <w:spacing w:line="542" w:lineRule="exact"/>
      <w:ind w:firstLine="547"/>
    </w:pPr>
  </w:style>
  <w:style w:type="paragraph" w:customStyle="1" w:styleId="164">
    <w:name w:val="Style72"/>
    <w:basedOn w:val="1"/>
    <w:autoRedefine/>
    <w:unhideWhenUsed/>
    <w:qFormat/>
    <w:uiPriority w:val="0"/>
  </w:style>
  <w:style w:type="paragraph" w:customStyle="1" w:styleId="165">
    <w:name w:val="标题3"/>
    <w:basedOn w:val="2"/>
    <w:autoRedefine/>
    <w:qFormat/>
    <w:uiPriority w:val="0"/>
    <w:pPr>
      <w:spacing w:beforeLines="50" w:afterLines="50" w:line="400" w:lineRule="exact"/>
      <w:jc w:val="both"/>
    </w:pPr>
    <w:rPr>
      <w:kern w:val="32"/>
      <w:szCs w:val="32"/>
    </w:rPr>
  </w:style>
  <w:style w:type="paragraph" w:customStyle="1" w:styleId="166">
    <w:name w:val="Style58"/>
    <w:basedOn w:val="1"/>
    <w:autoRedefine/>
    <w:unhideWhenUsed/>
    <w:qFormat/>
    <w:uiPriority w:val="0"/>
    <w:pPr>
      <w:spacing w:line="413" w:lineRule="exact"/>
    </w:pPr>
  </w:style>
  <w:style w:type="character" w:customStyle="1" w:styleId="167">
    <w:name w:val="批注主题 Char1"/>
    <w:link w:val="20"/>
    <w:autoRedefine/>
    <w:qFormat/>
    <w:uiPriority w:val="0"/>
    <w:rPr>
      <w:rFonts w:eastAsia="宋体"/>
      <w:b/>
      <w:bCs/>
      <w:kern w:val="2"/>
      <w:sz w:val="21"/>
      <w:szCs w:val="24"/>
      <w:lang w:val="en-US" w:eastAsia="zh-CN" w:bidi="ar-SA"/>
    </w:rPr>
  </w:style>
  <w:style w:type="character" w:customStyle="1" w:styleId="168">
    <w:name w:val="Char Char6"/>
    <w:autoRedefine/>
    <w:qFormat/>
    <w:uiPriority w:val="0"/>
    <w:rPr>
      <w:rFonts w:ascii="Arial" w:hAnsi="Arial" w:eastAsia="黑体"/>
      <w:sz w:val="24"/>
      <w:szCs w:val="24"/>
      <w:lang w:val="en-US" w:eastAsia="zh-CN" w:bidi="ar-SA"/>
    </w:rPr>
  </w:style>
  <w:style w:type="character" w:customStyle="1" w:styleId="169">
    <w:name w:val="标题 4 Char1"/>
    <w:link w:val="5"/>
    <w:autoRedefine/>
    <w:qFormat/>
    <w:uiPriority w:val="0"/>
    <w:rPr>
      <w:rFonts w:ascii="Arial" w:hAnsi="Arial" w:eastAsia="黑体"/>
      <w:b/>
      <w:bCs/>
      <w:kern w:val="2"/>
      <w:sz w:val="28"/>
      <w:szCs w:val="28"/>
      <w:lang w:val="en-US" w:eastAsia="zh-CN" w:bidi="ar-SA"/>
    </w:rPr>
  </w:style>
  <w:style w:type="character" w:customStyle="1" w:styleId="170">
    <w:name w:val="Font Style134"/>
    <w:autoRedefine/>
    <w:unhideWhenUsed/>
    <w:qFormat/>
    <w:uiPriority w:val="0"/>
    <w:rPr>
      <w:rFonts w:hint="eastAsia" w:ascii="宋体" w:hAnsi="宋体" w:eastAsia="宋体"/>
      <w:spacing w:val="20"/>
      <w:sz w:val="22"/>
    </w:rPr>
  </w:style>
  <w:style w:type="character" w:customStyle="1" w:styleId="171">
    <w:name w:val="desc"/>
    <w:autoRedefine/>
    <w:qFormat/>
    <w:uiPriority w:val="0"/>
    <w:rPr>
      <w:rFonts w:ascii="Times New Roman" w:hAnsi="Times New Roman" w:eastAsia="宋体"/>
      <w:color w:val="000000"/>
      <w:sz w:val="18"/>
      <w:szCs w:val="18"/>
    </w:rPr>
  </w:style>
  <w:style w:type="character" w:customStyle="1" w:styleId="172">
    <w:name w:val="plus"/>
    <w:autoRedefine/>
    <w:qFormat/>
    <w:uiPriority w:val="0"/>
    <w:rPr>
      <w:rFonts w:ascii="Times New Roman" w:hAnsi="Times New Roman" w:eastAsia="宋体"/>
      <w:b/>
      <w:vanish/>
      <w:color w:val="1F8DEF"/>
      <w:sz w:val="24"/>
      <w:szCs w:val="24"/>
    </w:rPr>
  </w:style>
  <w:style w:type="character" w:customStyle="1" w:styleId="173">
    <w:name w:val="标题 8 Char1"/>
    <w:link w:val="9"/>
    <w:autoRedefine/>
    <w:qFormat/>
    <w:uiPriority w:val="0"/>
    <w:rPr>
      <w:rFonts w:ascii="Arial" w:hAnsi="Arial" w:eastAsia="黑体"/>
      <w:sz w:val="24"/>
      <w:szCs w:val="24"/>
      <w:lang w:val="en-US" w:eastAsia="zh-CN" w:bidi="ar-SA"/>
    </w:rPr>
  </w:style>
  <w:style w:type="character" w:customStyle="1" w:styleId="174">
    <w:name w:val="标题 5 Char1"/>
    <w:link w:val="6"/>
    <w:autoRedefine/>
    <w:qFormat/>
    <w:uiPriority w:val="0"/>
    <w:rPr>
      <w:rFonts w:eastAsia="宋体"/>
      <w:b/>
      <w:bCs/>
      <w:sz w:val="28"/>
      <w:szCs w:val="28"/>
      <w:lang w:val="en-US" w:eastAsia="zh-CN" w:bidi="ar-SA"/>
    </w:rPr>
  </w:style>
  <w:style w:type="character" w:customStyle="1" w:styleId="175">
    <w:name w:val="Font Style104"/>
    <w:autoRedefine/>
    <w:unhideWhenUsed/>
    <w:qFormat/>
    <w:uiPriority w:val="0"/>
    <w:rPr>
      <w:rFonts w:hint="eastAsia" w:ascii="宋体" w:hAnsi="宋体" w:eastAsia="宋体"/>
      <w:spacing w:val="30"/>
      <w:sz w:val="18"/>
    </w:rPr>
  </w:style>
  <w:style w:type="character" w:customStyle="1" w:styleId="176">
    <w:name w:val="morelink-item"/>
    <w:autoRedefine/>
    <w:qFormat/>
    <w:uiPriority w:val="0"/>
    <w:rPr>
      <w:rFonts w:ascii="Times New Roman" w:hAnsi="Times New Roman" w:eastAsia="宋体"/>
    </w:rPr>
  </w:style>
  <w:style w:type="character" w:customStyle="1" w:styleId="177">
    <w:name w:val="批注文字 Char Char"/>
    <w:autoRedefine/>
    <w:qFormat/>
    <w:uiPriority w:val="0"/>
    <w:rPr>
      <w:kern w:val="2"/>
      <w:sz w:val="21"/>
      <w:szCs w:val="24"/>
      <w:lang w:bidi="ar-SA"/>
    </w:rPr>
  </w:style>
  <w:style w:type="character" w:customStyle="1" w:styleId="178">
    <w:name w:val="批注框文本 Char"/>
    <w:autoRedefine/>
    <w:qFormat/>
    <w:uiPriority w:val="0"/>
    <w:rPr>
      <w:kern w:val="2"/>
      <w:sz w:val="18"/>
      <w:szCs w:val="18"/>
    </w:rPr>
  </w:style>
  <w:style w:type="character" w:customStyle="1" w:styleId="179">
    <w:name w:val="标题 3 Char1"/>
    <w:link w:val="4"/>
    <w:autoRedefine/>
    <w:qFormat/>
    <w:uiPriority w:val="0"/>
    <w:rPr>
      <w:rFonts w:eastAsia="宋体"/>
      <w:b/>
      <w:bCs/>
      <w:kern w:val="2"/>
      <w:sz w:val="32"/>
      <w:szCs w:val="32"/>
      <w:lang w:val="en-US" w:eastAsia="zh-CN" w:bidi="ar-SA"/>
    </w:rPr>
  </w:style>
  <w:style w:type="character" w:customStyle="1" w:styleId="180">
    <w:name w:val="标题 9 Char"/>
    <w:autoRedefine/>
    <w:qFormat/>
    <w:uiPriority w:val="0"/>
    <w:rPr>
      <w:rFonts w:ascii="Arial" w:hAnsi="Arial" w:eastAsia="黑体"/>
      <w:sz w:val="21"/>
      <w:szCs w:val="21"/>
    </w:rPr>
  </w:style>
  <w:style w:type="character" w:customStyle="1" w:styleId="181">
    <w:name w:val="日期 Char"/>
    <w:autoRedefine/>
    <w:qFormat/>
    <w:uiPriority w:val="0"/>
    <w:rPr>
      <w:kern w:val="2"/>
      <w:sz w:val="21"/>
      <w:szCs w:val="24"/>
    </w:rPr>
  </w:style>
  <w:style w:type="character" w:customStyle="1" w:styleId="182">
    <w:name w:val="Font Style133"/>
    <w:autoRedefine/>
    <w:unhideWhenUsed/>
    <w:qFormat/>
    <w:uiPriority w:val="0"/>
    <w:rPr>
      <w:rFonts w:hint="eastAsia" w:ascii="宋体" w:hAnsi="宋体" w:eastAsia="宋体"/>
      <w:spacing w:val="30"/>
      <w:sz w:val="24"/>
    </w:rPr>
  </w:style>
  <w:style w:type="character" w:customStyle="1" w:styleId="183">
    <w:name w:val="Font Style124"/>
    <w:autoRedefine/>
    <w:unhideWhenUsed/>
    <w:qFormat/>
    <w:uiPriority w:val="0"/>
    <w:rPr>
      <w:rFonts w:hint="eastAsia" w:ascii="宋体" w:hAnsi="宋体" w:eastAsia="宋体"/>
      <w:spacing w:val="30"/>
      <w:sz w:val="24"/>
    </w:rPr>
  </w:style>
  <w:style w:type="character" w:customStyle="1" w:styleId="184">
    <w:name w:val="标题 7 Char"/>
    <w:autoRedefine/>
    <w:qFormat/>
    <w:uiPriority w:val="0"/>
    <w:rPr>
      <w:b/>
      <w:bCs/>
      <w:sz w:val="24"/>
      <w:szCs w:val="24"/>
    </w:rPr>
  </w:style>
  <w:style w:type="character" w:customStyle="1" w:styleId="185">
    <w:name w:val="bds_more9"/>
    <w:autoRedefine/>
    <w:qFormat/>
    <w:uiPriority w:val="0"/>
    <w:rPr>
      <w:rFonts w:ascii="Times New Roman" w:hAnsi="Times New Roman" w:eastAsia="宋体"/>
    </w:rPr>
  </w:style>
  <w:style w:type="character" w:customStyle="1" w:styleId="186">
    <w:name w:val="Font Style121"/>
    <w:autoRedefine/>
    <w:unhideWhenUsed/>
    <w:qFormat/>
    <w:uiPriority w:val="0"/>
    <w:rPr>
      <w:rFonts w:hint="eastAsia" w:ascii="宋体" w:hAnsi="宋体" w:eastAsia="宋体"/>
      <w:spacing w:val="-10"/>
      <w:sz w:val="30"/>
    </w:rPr>
  </w:style>
  <w:style w:type="character" w:customStyle="1" w:styleId="187">
    <w:name w:val="Font Style127"/>
    <w:autoRedefine/>
    <w:unhideWhenUsed/>
    <w:qFormat/>
    <w:uiPriority w:val="0"/>
    <w:rPr>
      <w:rFonts w:hint="eastAsia" w:ascii="Times New Roman" w:hAnsi="Times New Roman" w:eastAsia="Times New Roman"/>
      <w:sz w:val="20"/>
    </w:rPr>
  </w:style>
  <w:style w:type="character" w:customStyle="1" w:styleId="188">
    <w:name w:val="polysemyred"/>
    <w:autoRedefine/>
    <w:qFormat/>
    <w:uiPriority w:val="0"/>
    <w:rPr>
      <w:rFonts w:ascii="Times New Roman" w:hAnsi="Times New Roman" w:eastAsia="宋体"/>
      <w:color w:val="FF6666"/>
      <w:sz w:val="18"/>
      <w:szCs w:val="18"/>
    </w:rPr>
  </w:style>
  <w:style w:type="character" w:customStyle="1" w:styleId="189">
    <w:name w:val="页眉 Char"/>
    <w:autoRedefine/>
    <w:qFormat/>
    <w:uiPriority w:val="0"/>
    <w:rPr>
      <w:kern w:val="2"/>
      <w:sz w:val="18"/>
      <w:szCs w:val="18"/>
    </w:rPr>
  </w:style>
  <w:style w:type="character" w:customStyle="1" w:styleId="190">
    <w:name w:val="标题 4 Char Char"/>
    <w:autoRedefine/>
    <w:qFormat/>
    <w:uiPriority w:val="0"/>
    <w:rPr>
      <w:rFonts w:ascii="Arial" w:hAnsi="Arial" w:eastAsia="宋体"/>
      <w:b/>
      <w:bCs/>
      <w:kern w:val="2"/>
      <w:sz w:val="21"/>
      <w:szCs w:val="28"/>
      <w:lang w:val="en-US" w:eastAsia="zh-CN" w:bidi="ar-SA"/>
    </w:rPr>
  </w:style>
  <w:style w:type="character" w:customStyle="1" w:styleId="191">
    <w:name w:val="Char Char16"/>
    <w:autoRedefine/>
    <w:qFormat/>
    <w:uiPriority w:val="0"/>
    <w:rPr>
      <w:rFonts w:ascii="宋体" w:hAnsi="Times New Roman" w:eastAsia="宋体"/>
      <w:b/>
      <w:sz w:val="24"/>
      <w:lang w:val="en-US" w:eastAsia="zh-CN" w:bidi="ar-SA"/>
    </w:rPr>
  </w:style>
  <w:style w:type="character" w:customStyle="1" w:styleId="192">
    <w:name w:val="fontstrikethrough"/>
    <w:basedOn w:val="45"/>
    <w:autoRedefine/>
    <w:qFormat/>
    <w:uiPriority w:val="0"/>
    <w:rPr>
      <w:strike/>
    </w:rPr>
  </w:style>
  <w:style w:type="character" w:customStyle="1" w:styleId="193">
    <w:name w:val="polysemyexp"/>
    <w:autoRedefine/>
    <w:qFormat/>
    <w:uiPriority w:val="0"/>
    <w:rPr>
      <w:rFonts w:ascii="Times New Roman" w:hAnsi="Times New Roman" w:eastAsia="宋体"/>
      <w:color w:val="AAAAAA"/>
      <w:sz w:val="18"/>
      <w:szCs w:val="18"/>
    </w:rPr>
  </w:style>
  <w:style w:type="character" w:customStyle="1" w:styleId="194">
    <w:name w:val="Font Style123"/>
    <w:autoRedefine/>
    <w:unhideWhenUsed/>
    <w:qFormat/>
    <w:uiPriority w:val="0"/>
    <w:rPr>
      <w:rFonts w:hint="eastAsia" w:ascii="宋体" w:hAnsi="宋体" w:eastAsia="宋体"/>
      <w:b/>
      <w:sz w:val="32"/>
    </w:rPr>
  </w:style>
  <w:style w:type="character" w:customStyle="1" w:styleId="195">
    <w:name w:val="sort"/>
    <w:autoRedefine/>
    <w:qFormat/>
    <w:uiPriority w:val="0"/>
    <w:rPr>
      <w:rFonts w:ascii="Times New Roman" w:hAnsi="Times New Roman" w:eastAsia="宋体"/>
      <w:color w:val="FFFFFF"/>
      <w:bdr w:val="single" w:color="auto" w:sz="24" w:space="0"/>
    </w:rPr>
  </w:style>
  <w:style w:type="character" w:customStyle="1" w:styleId="196">
    <w:name w:val="纯文本 Char1"/>
    <w:autoRedefine/>
    <w:semiHidden/>
    <w:qFormat/>
    <w:locked/>
    <w:uiPriority w:val="0"/>
    <w:rPr>
      <w:rFonts w:ascii="宋体" w:hAnsi="Courier New" w:eastAsia="宋体" w:cs="Courier New"/>
      <w:kern w:val="2"/>
      <w:sz w:val="21"/>
      <w:szCs w:val="21"/>
      <w:lang w:val="en-US" w:eastAsia="zh-CN" w:bidi="ar-SA"/>
    </w:rPr>
  </w:style>
  <w:style w:type="character" w:customStyle="1" w:styleId="197">
    <w:name w:val="Font Style86"/>
    <w:autoRedefine/>
    <w:unhideWhenUsed/>
    <w:qFormat/>
    <w:uiPriority w:val="0"/>
    <w:rPr>
      <w:rFonts w:hint="eastAsia" w:ascii="黑体" w:hAnsi="黑体" w:eastAsia="黑体"/>
      <w:spacing w:val="10"/>
      <w:sz w:val="30"/>
    </w:rPr>
  </w:style>
  <w:style w:type="character" w:customStyle="1" w:styleId="198">
    <w:name w:val="日期 Char1"/>
    <w:link w:val="26"/>
    <w:autoRedefine/>
    <w:qFormat/>
    <w:uiPriority w:val="0"/>
    <w:rPr>
      <w:rFonts w:eastAsia="宋体"/>
      <w:kern w:val="2"/>
      <w:sz w:val="24"/>
      <w:lang w:val="en-US" w:eastAsia="zh-CN" w:bidi="ar-SA"/>
    </w:rPr>
  </w:style>
  <w:style w:type="character" w:customStyle="1" w:styleId="199">
    <w:name w:val="正文文本缩进 Char"/>
    <w:link w:val="19"/>
    <w:autoRedefine/>
    <w:qFormat/>
    <w:uiPriority w:val="0"/>
    <w:rPr>
      <w:rFonts w:eastAsia="宋体"/>
      <w:kern w:val="2"/>
      <w:sz w:val="21"/>
      <w:szCs w:val="24"/>
      <w:lang w:val="en-US" w:eastAsia="zh-CN" w:bidi="ar-SA"/>
    </w:rPr>
  </w:style>
  <w:style w:type="character" w:customStyle="1" w:styleId="200">
    <w:name w:val="Font Style115"/>
    <w:autoRedefine/>
    <w:unhideWhenUsed/>
    <w:qFormat/>
    <w:uiPriority w:val="0"/>
    <w:rPr>
      <w:rFonts w:hint="eastAsia" w:ascii="Times New Roman" w:hAnsi="Times New Roman" w:eastAsia="Times New Roman"/>
      <w:sz w:val="16"/>
    </w:rPr>
  </w:style>
  <w:style w:type="character" w:customStyle="1" w:styleId="201">
    <w:name w:val="页眉 Char1"/>
    <w:link w:val="31"/>
    <w:autoRedefine/>
    <w:qFormat/>
    <w:uiPriority w:val="0"/>
    <w:rPr>
      <w:rFonts w:eastAsia="宋体"/>
      <w:kern w:val="2"/>
      <w:sz w:val="18"/>
      <w:szCs w:val="18"/>
      <w:lang w:val="en-US" w:eastAsia="zh-CN" w:bidi="ar-SA"/>
    </w:rPr>
  </w:style>
  <w:style w:type="character" w:customStyle="1" w:styleId="202">
    <w:name w:val="Char Char17"/>
    <w:autoRedefine/>
    <w:qFormat/>
    <w:uiPriority w:val="0"/>
    <w:rPr>
      <w:rFonts w:ascii="宋体" w:hAnsi="Times New Roman" w:eastAsia="宋体"/>
      <w:b/>
      <w:sz w:val="28"/>
      <w:lang w:val="en-US" w:eastAsia="zh-CN" w:bidi="ar-SA"/>
    </w:rPr>
  </w:style>
  <w:style w:type="character" w:customStyle="1" w:styleId="203">
    <w:name w:val="content_2"/>
    <w:basedOn w:val="45"/>
    <w:autoRedefine/>
    <w:qFormat/>
    <w:uiPriority w:val="0"/>
    <w:rPr>
      <w:sz w:val="19"/>
      <w:szCs w:val="19"/>
    </w:rPr>
  </w:style>
  <w:style w:type="character" w:customStyle="1" w:styleId="204">
    <w:name w:val="Font Style116"/>
    <w:autoRedefine/>
    <w:unhideWhenUsed/>
    <w:qFormat/>
    <w:uiPriority w:val="0"/>
    <w:rPr>
      <w:rFonts w:hint="eastAsia" w:ascii="宋体" w:hAnsi="宋体" w:eastAsia="宋体"/>
      <w:spacing w:val="-20"/>
      <w:sz w:val="24"/>
    </w:rPr>
  </w:style>
  <w:style w:type="character" w:customStyle="1" w:styleId="205">
    <w:name w:val="标题 Char"/>
    <w:autoRedefine/>
    <w:qFormat/>
    <w:uiPriority w:val="0"/>
    <w:rPr>
      <w:rFonts w:ascii="Cambria" w:hAnsi="Cambria"/>
      <w:b/>
      <w:kern w:val="2"/>
      <w:sz w:val="32"/>
      <w:szCs w:val="24"/>
    </w:rPr>
  </w:style>
  <w:style w:type="character" w:customStyle="1" w:styleId="206">
    <w:name w:val="批注主题 Char"/>
    <w:autoRedefine/>
    <w:qFormat/>
    <w:uiPriority w:val="0"/>
    <w:rPr>
      <w:b/>
      <w:bCs/>
      <w:kern w:val="2"/>
      <w:sz w:val="21"/>
      <w:szCs w:val="24"/>
    </w:rPr>
  </w:style>
  <w:style w:type="character" w:customStyle="1" w:styleId="207">
    <w:name w:val="sort1"/>
    <w:autoRedefine/>
    <w:qFormat/>
    <w:uiPriority w:val="0"/>
    <w:rPr>
      <w:rFonts w:ascii="Times New Roman" w:hAnsi="Times New Roman" w:eastAsia="宋体"/>
    </w:rPr>
  </w:style>
  <w:style w:type="character" w:customStyle="1" w:styleId="208">
    <w:name w:val="Font Style131"/>
    <w:autoRedefine/>
    <w:unhideWhenUsed/>
    <w:qFormat/>
    <w:uiPriority w:val="0"/>
    <w:rPr>
      <w:rFonts w:hint="eastAsia" w:ascii="Times New Roman" w:hAnsi="Times New Roman" w:eastAsia="Times New Roman"/>
      <w:sz w:val="18"/>
    </w:rPr>
  </w:style>
  <w:style w:type="character" w:customStyle="1" w:styleId="209">
    <w:name w:val="标题 2 Char1"/>
    <w:link w:val="3"/>
    <w:autoRedefine/>
    <w:qFormat/>
    <w:uiPriority w:val="0"/>
    <w:rPr>
      <w:rFonts w:ascii="Arial" w:hAnsi="Arial" w:eastAsia="宋体"/>
      <w:b/>
      <w:bCs/>
      <w:kern w:val="2"/>
      <w:sz w:val="24"/>
      <w:szCs w:val="32"/>
      <w:lang w:val="en-US" w:eastAsia="zh-CN" w:bidi="ar-SA"/>
    </w:rPr>
  </w:style>
  <w:style w:type="character" w:customStyle="1" w:styleId="210">
    <w:name w:val="标题 Char1"/>
    <w:autoRedefine/>
    <w:qFormat/>
    <w:uiPriority w:val="0"/>
    <w:rPr>
      <w:rFonts w:ascii="Cambria" w:hAnsi="Cambria" w:eastAsia="宋体" w:cs="Times New Roman"/>
      <w:b/>
      <w:bCs/>
      <w:sz w:val="32"/>
      <w:szCs w:val="32"/>
    </w:rPr>
  </w:style>
  <w:style w:type="character" w:customStyle="1" w:styleId="211">
    <w:name w:val="正文文本缩进 3 Char"/>
    <w:autoRedefine/>
    <w:qFormat/>
    <w:uiPriority w:val="0"/>
    <w:rPr>
      <w:rFonts w:ascii="宋体" w:hAnsi="MS Sans Serif"/>
      <w:color w:val="000000"/>
      <w:sz w:val="24"/>
    </w:rPr>
  </w:style>
  <w:style w:type="character" w:customStyle="1" w:styleId="212">
    <w:name w:val="Font Style122"/>
    <w:autoRedefine/>
    <w:unhideWhenUsed/>
    <w:qFormat/>
    <w:uiPriority w:val="0"/>
    <w:rPr>
      <w:rFonts w:hint="eastAsia" w:ascii="宋体" w:hAnsi="宋体" w:eastAsia="宋体"/>
      <w:spacing w:val="20"/>
      <w:sz w:val="24"/>
    </w:rPr>
  </w:style>
  <w:style w:type="character" w:customStyle="1" w:styleId="213">
    <w:name w:val="标题 6 Char"/>
    <w:autoRedefine/>
    <w:qFormat/>
    <w:uiPriority w:val="0"/>
    <w:rPr>
      <w:rFonts w:ascii="Arial" w:hAnsi="Arial" w:eastAsia="黑体"/>
      <w:b/>
      <w:bCs/>
      <w:sz w:val="24"/>
      <w:szCs w:val="24"/>
    </w:rPr>
  </w:style>
  <w:style w:type="character" w:customStyle="1" w:styleId="214">
    <w:name w:val="Font Style119"/>
    <w:autoRedefine/>
    <w:unhideWhenUsed/>
    <w:qFormat/>
    <w:uiPriority w:val="0"/>
    <w:rPr>
      <w:rFonts w:hint="eastAsia" w:ascii="宋体" w:hAnsi="宋体" w:eastAsia="宋体"/>
      <w:sz w:val="24"/>
    </w:rPr>
  </w:style>
  <w:style w:type="character" w:customStyle="1" w:styleId="215">
    <w:name w:val="sidecatalog-dot1"/>
    <w:autoRedefine/>
    <w:qFormat/>
    <w:uiPriority w:val="0"/>
    <w:rPr>
      <w:rFonts w:ascii="Times New Roman" w:hAnsi="Times New Roman" w:eastAsia="宋体"/>
    </w:rPr>
  </w:style>
  <w:style w:type="character" w:customStyle="1" w:styleId="216">
    <w:name w:val="bds_more8"/>
    <w:autoRedefine/>
    <w:qFormat/>
    <w:uiPriority w:val="0"/>
    <w:rPr>
      <w:rFonts w:ascii="Times New Roman" w:hAnsi="Times New Roman" w:eastAsia="宋体"/>
    </w:rPr>
  </w:style>
  <w:style w:type="character" w:customStyle="1" w:styleId="217">
    <w:name w:val="bds_more6"/>
    <w:autoRedefine/>
    <w:qFormat/>
    <w:uiPriority w:val="0"/>
    <w:rPr>
      <w:rFonts w:hint="eastAsia" w:ascii="宋体" w:hAnsi="宋体" w:eastAsia="宋体" w:cs="宋体"/>
    </w:rPr>
  </w:style>
  <w:style w:type="character" w:customStyle="1" w:styleId="218">
    <w:name w:val="Char Char15"/>
    <w:autoRedefine/>
    <w:qFormat/>
    <w:uiPriority w:val="0"/>
    <w:rPr>
      <w:b/>
      <w:bCs/>
      <w:sz w:val="24"/>
      <w:szCs w:val="24"/>
    </w:rPr>
  </w:style>
  <w:style w:type="character" w:customStyle="1" w:styleId="219">
    <w:name w:val="批注文字 Char"/>
    <w:autoRedefine/>
    <w:qFormat/>
    <w:uiPriority w:val="0"/>
    <w:rPr>
      <w:kern w:val="2"/>
      <w:sz w:val="21"/>
      <w:szCs w:val="24"/>
    </w:rPr>
  </w:style>
  <w:style w:type="character" w:customStyle="1" w:styleId="220">
    <w:name w:val="标题 1 Char1"/>
    <w:link w:val="2"/>
    <w:autoRedefine/>
    <w:qFormat/>
    <w:uiPriority w:val="0"/>
    <w:rPr>
      <w:rFonts w:eastAsia="宋体"/>
      <w:b/>
      <w:bCs/>
      <w:kern w:val="2"/>
      <w:sz w:val="24"/>
      <w:lang w:val="en-US" w:eastAsia="zh-CN" w:bidi="ar-SA"/>
    </w:rPr>
  </w:style>
  <w:style w:type="character" w:customStyle="1" w:styleId="221">
    <w:name w:val="批注文字 Char1"/>
    <w:link w:val="15"/>
    <w:autoRedefine/>
    <w:qFormat/>
    <w:uiPriority w:val="0"/>
    <w:rPr>
      <w:rFonts w:eastAsia="宋体"/>
      <w:kern w:val="2"/>
      <w:sz w:val="21"/>
      <w:szCs w:val="24"/>
      <w:lang w:val="en-US" w:eastAsia="zh-CN" w:bidi="ar-SA"/>
    </w:rPr>
  </w:style>
  <w:style w:type="character" w:customStyle="1" w:styleId="222">
    <w:name w:val="Font Style128"/>
    <w:autoRedefine/>
    <w:unhideWhenUsed/>
    <w:qFormat/>
    <w:uiPriority w:val="0"/>
    <w:rPr>
      <w:rFonts w:hint="eastAsia" w:ascii="Times New Roman" w:hAnsi="Times New Roman" w:eastAsia="Times New Roman"/>
      <w:sz w:val="16"/>
    </w:rPr>
  </w:style>
  <w:style w:type="character" w:customStyle="1" w:styleId="223">
    <w:name w:val="bds_more7"/>
    <w:autoRedefine/>
    <w:qFormat/>
    <w:uiPriority w:val="0"/>
    <w:rPr>
      <w:rFonts w:ascii="Times New Roman" w:hAnsi="Times New Roman" w:eastAsia="宋体"/>
    </w:rPr>
  </w:style>
  <w:style w:type="character" w:customStyle="1" w:styleId="224">
    <w:name w:val="sidecatalog-index2"/>
    <w:autoRedefine/>
    <w:qFormat/>
    <w:uiPriority w:val="0"/>
    <w:rPr>
      <w:rFonts w:ascii="Arail" w:hAnsi="Arail" w:eastAsia="Arail" w:cs="Arail"/>
      <w:color w:val="999999"/>
      <w:sz w:val="21"/>
      <w:szCs w:val="21"/>
    </w:rPr>
  </w:style>
  <w:style w:type="character" w:customStyle="1" w:styleId="225">
    <w:name w:val="标题 9 Char1"/>
    <w:link w:val="10"/>
    <w:autoRedefine/>
    <w:qFormat/>
    <w:uiPriority w:val="0"/>
    <w:rPr>
      <w:rFonts w:ascii="Arial" w:hAnsi="Arial" w:eastAsia="黑体"/>
      <w:sz w:val="21"/>
      <w:szCs w:val="21"/>
      <w:lang w:val="en-US" w:eastAsia="zh-CN" w:bidi="ar-SA"/>
    </w:rPr>
  </w:style>
  <w:style w:type="character" w:customStyle="1" w:styleId="226">
    <w:name w:val="批注框文本 Char1"/>
    <w:link w:val="29"/>
    <w:autoRedefine/>
    <w:semiHidden/>
    <w:qFormat/>
    <w:locked/>
    <w:uiPriority w:val="0"/>
    <w:rPr>
      <w:rFonts w:ascii="Calibri" w:hAnsi="Calibri" w:eastAsia="宋体"/>
      <w:kern w:val="2"/>
      <w:sz w:val="18"/>
      <w:szCs w:val="18"/>
      <w:lang w:val="en-US" w:eastAsia="zh-CN" w:bidi="ar-SA"/>
    </w:rPr>
  </w:style>
  <w:style w:type="character" w:customStyle="1" w:styleId="227">
    <w:name w:val="Font Style94"/>
    <w:autoRedefine/>
    <w:unhideWhenUsed/>
    <w:qFormat/>
    <w:uiPriority w:val="0"/>
    <w:rPr>
      <w:rFonts w:hint="eastAsia" w:ascii="Times New Roman" w:hAnsi="Times New Roman" w:eastAsia="Times New Roman"/>
      <w:sz w:val="28"/>
    </w:rPr>
  </w:style>
  <w:style w:type="character" w:customStyle="1" w:styleId="228">
    <w:name w:val="标题 6 Char1"/>
    <w:link w:val="7"/>
    <w:autoRedefine/>
    <w:qFormat/>
    <w:uiPriority w:val="0"/>
    <w:rPr>
      <w:rFonts w:ascii="Arial" w:hAnsi="Arial" w:eastAsia="黑体"/>
      <w:b/>
      <w:bCs/>
      <w:sz w:val="24"/>
      <w:szCs w:val="24"/>
      <w:lang w:val="en-US" w:eastAsia="zh-CN" w:bidi="ar-SA"/>
    </w:rPr>
  </w:style>
  <w:style w:type="character" w:customStyle="1" w:styleId="229">
    <w:name w:val="bds_more10"/>
    <w:autoRedefine/>
    <w:qFormat/>
    <w:uiPriority w:val="0"/>
    <w:rPr>
      <w:rFonts w:ascii="Times New Roman" w:hAnsi="Times New Roman" w:eastAsia="宋体"/>
    </w:rPr>
  </w:style>
  <w:style w:type="character" w:customStyle="1" w:styleId="230">
    <w:name w:val="Font Style126"/>
    <w:autoRedefine/>
    <w:unhideWhenUsed/>
    <w:qFormat/>
    <w:uiPriority w:val="0"/>
    <w:rPr>
      <w:rFonts w:hint="eastAsia" w:ascii="宋体" w:hAnsi="宋体" w:eastAsia="宋体"/>
      <w:b/>
      <w:spacing w:val="-30"/>
      <w:sz w:val="28"/>
    </w:rPr>
  </w:style>
  <w:style w:type="character" w:customStyle="1" w:styleId="231">
    <w:name w:val="Font Style125"/>
    <w:autoRedefine/>
    <w:unhideWhenUsed/>
    <w:qFormat/>
    <w:uiPriority w:val="0"/>
    <w:rPr>
      <w:rFonts w:hint="eastAsia" w:ascii="宋体" w:hAnsi="宋体" w:eastAsia="宋体"/>
      <w:b/>
      <w:sz w:val="26"/>
    </w:rPr>
  </w:style>
  <w:style w:type="character" w:customStyle="1" w:styleId="232">
    <w:name w:val="bds_nopic"/>
    <w:autoRedefine/>
    <w:qFormat/>
    <w:uiPriority w:val="0"/>
    <w:rPr>
      <w:rFonts w:ascii="Times New Roman" w:hAnsi="Times New Roman" w:eastAsia="宋体"/>
    </w:rPr>
  </w:style>
  <w:style w:type="character" w:customStyle="1" w:styleId="233">
    <w:name w:val="sidecatalog-index1"/>
    <w:autoRedefine/>
    <w:qFormat/>
    <w:uiPriority w:val="0"/>
    <w:rPr>
      <w:rFonts w:ascii="Arial" w:hAnsi="Arial" w:eastAsia="宋体" w:cs="Arial"/>
      <w:b/>
      <w:color w:val="999999"/>
      <w:sz w:val="21"/>
      <w:szCs w:val="21"/>
    </w:rPr>
  </w:style>
  <w:style w:type="character" w:customStyle="1" w:styleId="234">
    <w:name w:val="页脚 Char"/>
    <w:autoRedefine/>
    <w:qFormat/>
    <w:uiPriority w:val="0"/>
    <w:rPr>
      <w:kern w:val="2"/>
      <w:sz w:val="18"/>
      <w:szCs w:val="18"/>
    </w:rPr>
  </w:style>
  <w:style w:type="character" w:customStyle="1" w:styleId="235">
    <w:name w:val="Font Style117"/>
    <w:autoRedefine/>
    <w:unhideWhenUsed/>
    <w:qFormat/>
    <w:uiPriority w:val="0"/>
    <w:rPr>
      <w:rFonts w:hint="eastAsia" w:ascii="宋体" w:hAnsi="宋体" w:eastAsia="宋体"/>
      <w:spacing w:val="20"/>
      <w:sz w:val="24"/>
    </w:rPr>
  </w:style>
  <w:style w:type="character" w:customStyle="1" w:styleId="236">
    <w:name w:val="bds_nopic2"/>
    <w:autoRedefine/>
    <w:qFormat/>
    <w:uiPriority w:val="0"/>
    <w:rPr>
      <w:rFonts w:ascii="Times New Roman" w:hAnsi="Times New Roman" w:eastAsia="宋体"/>
    </w:rPr>
  </w:style>
  <w:style w:type="character" w:customStyle="1" w:styleId="237">
    <w:name w:val="Char Char14"/>
    <w:autoRedefine/>
    <w:qFormat/>
    <w:uiPriority w:val="0"/>
    <w:rPr>
      <w:rFonts w:ascii="Arial" w:hAnsi="Arial" w:eastAsia="黑体"/>
      <w:b/>
      <w:bCs/>
      <w:sz w:val="28"/>
      <w:szCs w:val="28"/>
      <w:lang w:val="en-US" w:eastAsia="zh-CN" w:bidi="ar-SA"/>
    </w:rPr>
  </w:style>
  <w:style w:type="character" w:customStyle="1" w:styleId="238">
    <w:name w:val="标题 5 Char"/>
    <w:autoRedefine/>
    <w:qFormat/>
    <w:uiPriority w:val="0"/>
    <w:rPr>
      <w:b/>
      <w:bCs/>
      <w:kern w:val="2"/>
      <w:sz w:val="28"/>
      <w:szCs w:val="28"/>
    </w:rPr>
  </w:style>
  <w:style w:type="character" w:customStyle="1" w:styleId="239">
    <w:name w:val="Font Style90"/>
    <w:autoRedefine/>
    <w:unhideWhenUsed/>
    <w:qFormat/>
    <w:uiPriority w:val="0"/>
    <w:rPr>
      <w:rFonts w:hint="eastAsia" w:ascii="宋体" w:hAnsi="宋体" w:eastAsia="宋体"/>
      <w:b/>
      <w:spacing w:val="-20"/>
      <w:sz w:val="40"/>
    </w:rPr>
  </w:style>
  <w:style w:type="character" w:customStyle="1" w:styleId="240">
    <w:name w:val="bds_nopic1"/>
    <w:autoRedefine/>
    <w:qFormat/>
    <w:uiPriority w:val="0"/>
    <w:rPr>
      <w:rFonts w:ascii="Times New Roman" w:hAnsi="Times New Roman" w:eastAsia="宋体"/>
    </w:rPr>
  </w:style>
  <w:style w:type="character" w:customStyle="1" w:styleId="241">
    <w:name w:val="Font Style105"/>
    <w:autoRedefine/>
    <w:unhideWhenUsed/>
    <w:qFormat/>
    <w:uiPriority w:val="0"/>
    <w:rPr>
      <w:rFonts w:hint="eastAsia" w:ascii="Times New Roman" w:hAnsi="Times New Roman" w:eastAsia="Times New Roman"/>
      <w:w w:val="60"/>
      <w:sz w:val="26"/>
    </w:rPr>
  </w:style>
  <w:style w:type="character" w:customStyle="1" w:styleId="242">
    <w:name w:val="样式2 Char Char"/>
    <w:autoRedefine/>
    <w:qFormat/>
    <w:uiPriority w:val="0"/>
    <w:rPr>
      <w:rFonts w:eastAsia="宋体"/>
      <w:kern w:val="2"/>
      <w:sz w:val="18"/>
      <w:szCs w:val="18"/>
      <w:lang w:val="en-US" w:eastAsia="zh-CN" w:bidi="ar-SA"/>
    </w:rPr>
  </w:style>
  <w:style w:type="character" w:customStyle="1" w:styleId="243">
    <w:name w:val="页脚 Char1"/>
    <w:link w:val="30"/>
    <w:autoRedefine/>
    <w:qFormat/>
    <w:uiPriority w:val="0"/>
    <w:rPr>
      <w:rFonts w:eastAsia="宋体"/>
      <w:kern w:val="2"/>
      <w:sz w:val="18"/>
      <w:szCs w:val="18"/>
      <w:lang w:val="en-US" w:eastAsia="zh-CN" w:bidi="ar-SA"/>
    </w:rPr>
  </w:style>
  <w:style w:type="character" w:customStyle="1" w:styleId="244">
    <w:name w:val="纯文本 Char2"/>
    <w:autoRedefine/>
    <w:qFormat/>
    <w:uiPriority w:val="0"/>
    <w:rPr>
      <w:rFonts w:ascii="宋体" w:hAnsi="Courier New" w:eastAsia="宋体"/>
      <w:kern w:val="2"/>
      <w:sz w:val="21"/>
      <w:szCs w:val="21"/>
      <w:lang w:val="en-US" w:eastAsia="zh-CN" w:bidi="ar-SA"/>
    </w:rPr>
  </w:style>
  <w:style w:type="character" w:customStyle="1" w:styleId="245">
    <w:name w:val="正文文本缩进 3 Char1"/>
    <w:link w:val="34"/>
    <w:autoRedefine/>
    <w:qFormat/>
    <w:uiPriority w:val="0"/>
    <w:rPr>
      <w:rFonts w:eastAsia="宋体"/>
      <w:kern w:val="2"/>
      <w:sz w:val="16"/>
      <w:szCs w:val="16"/>
      <w:lang w:val="en-US" w:eastAsia="zh-CN" w:bidi="ar-SA"/>
    </w:rPr>
  </w:style>
  <w:style w:type="character" w:customStyle="1" w:styleId="246">
    <w:name w:val="标题 7 Char1"/>
    <w:link w:val="8"/>
    <w:autoRedefine/>
    <w:qFormat/>
    <w:uiPriority w:val="0"/>
    <w:rPr>
      <w:rFonts w:eastAsia="宋体"/>
      <w:b/>
      <w:bCs/>
      <w:sz w:val="24"/>
      <w:szCs w:val="24"/>
      <w:lang w:val="en-US" w:eastAsia="zh-CN" w:bidi="ar-SA"/>
    </w:rPr>
  </w:style>
  <w:style w:type="character" w:customStyle="1" w:styleId="247">
    <w:name w:val="纯文本 Char"/>
    <w:link w:val="24"/>
    <w:autoRedefine/>
    <w:semiHidden/>
    <w:qFormat/>
    <w:locked/>
    <w:uiPriority w:val="0"/>
    <w:rPr>
      <w:rFonts w:ascii="宋体" w:hAnsi="Courier New" w:eastAsia="宋体" w:cs="Courier New"/>
      <w:kern w:val="2"/>
      <w:sz w:val="21"/>
      <w:szCs w:val="21"/>
      <w:lang w:val="en-US" w:eastAsia="zh-CN" w:bidi="ar-SA"/>
    </w:rPr>
  </w:style>
  <w:style w:type="character" w:customStyle="1" w:styleId="248">
    <w:name w:val="标题 8 Char"/>
    <w:autoRedefine/>
    <w:qFormat/>
    <w:uiPriority w:val="0"/>
    <w:rPr>
      <w:rFonts w:ascii="Arial" w:hAnsi="Arial" w:eastAsia="黑体"/>
      <w:sz w:val="24"/>
      <w:szCs w:val="24"/>
    </w:rPr>
  </w:style>
  <w:style w:type="character" w:customStyle="1" w:styleId="249">
    <w:name w:val="sidecatalog-dot"/>
    <w:autoRedefine/>
    <w:qFormat/>
    <w:uiPriority w:val="0"/>
    <w:rPr>
      <w:rFonts w:ascii="Times New Roman" w:hAnsi="Times New Roman" w:eastAsia="宋体"/>
    </w:rPr>
  </w:style>
  <w:style w:type="character" w:customStyle="1" w:styleId="250">
    <w:name w:val="p0 Char Char"/>
    <w:autoRedefine/>
    <w:qFormat/>
    <w:uiPriority w:val="0"/>
    <w:rPr>
      <w:rFonts w:eastAsia="宋体"/>
      <w:kern w:val="2"/>
      <w:sz w:val="21"/>
      <w:szCs w:val="21"/>
      <w:lang w:val="en-US" w:eastAsia="zh-CN" w:bidi="ar-SA"/>
    </w:rPr>
  </w:style>
  <w:style w:type="character" w:customStyle="1" w:styleId="251">
    <w:name w:val="lemmatitleh12"/>
    <w:autoRedefine/>
    <w:qFormat/>
    <w:uiPriority w:val="0"/>
    <w:rPr>
      <w:rFonts w:ascii="Times New Roman" w:hAnsi="Times New Roman" w:eastAsia="宋体"/>
    </w:rPr>
  </w:style>
  <w:style w:type="character" w:customStyle="1" w:styleId="252">
    <w:name w:val="fontborder"/>
    <w:basedOn w:val="45"/>
    <w:autoRedefine/>
    <w:qFormat/>
    <w:uiPriority w:val="0"/>
    <w:rPr>
      <w:bdr w:val="single" w:color="000000" w:sz="6" w:space="0"/>
    </w:rPr>
  </w:style>
  <w:style w:type="character" w:customStyle="1" w:styleId="253">
    <w:name w:val="p0 Char"/>
    <w:link w:val="159"/>
    <w:autoRedefine/>
    <w:qFormat/>
    <w:uiPriority w:val="0"/>
    <w:rPr>
      <w:rFonts w:eastAsia="宋体"/>
      <w:sz w:val="21"/>
      <w:szCs w:val="21"/>
      <w:lang w:val="en-US" w:eastAsia="zh-CN" w:bidi="ar-SA"/>
    </w:rPr>
  </w:style>
  <w:style w:type="character" w:customStyle="1" w:styleId="254">
    <w:name w:val="placard-notice"/>
    <w:basedOn w:val="45"/>
    <w:autoRedefine/>
    <w:qFormat/>
    <w:uiPriority w:val="0"/>
    <w:rPr>
      <w:sz w:val="18"/>
      <w:szCs w:val="18"/>
    </w:rPr>
  </w:style>
  <w:style w:type="character" w:customStyle="1" w:styleId="255">
    <w:name w:val="NormalCharacter"/>
    <w:autoRedefine/>
    <w:semiHidden/>
    <w:qFormat/>
    <w:uiPriority w:val="0"/>
    <w:rPr>
      <w:rFonts w:ascii="Calibri" w:hAnsi="Calibri" w:eastAsia="宋体" w:cs="Times New Roman"/>
      <w:kern w:val="2"/>
      <w:sz w:val="21"/>
      <w:szCs w:val="24"/>
      <w:lang w:val="en-US" w:eastAsia="zh-CN" w:bidi="ar-SA"/>
    </w:rPr>
  </w:style>
  <w:style w:type="character" w:customStyle="1" w:styleId="256">
    <w:name w:val="正文文本 (2) + 8.5 pt"/>
    <w:basedOn w:val="45"/>
    <w:autoRedefine/>
    <w:qFormat/>
    <w:uiPriority w:val="99"/>
    <w:rPr>
      <w:rFonts w:ascii="宋体" w:eastAsia="宋体" w:cs="宋体"/>
      <w:spacing w:val="40"/>
      <w:sz w:val="17"/>
      <w:szCs w:val="17"/>
      <w:u w:val="none"/>
    </w:rPr>
  </w:style>
  <w:style w:type="character" w:customStyle="1" w:styleId="257">
    <w:name w:val="正文文本 (2) + Sylfaen"/>
    <w:basedOn w:val="45"/>
    <w:autoRedefine/>
    <w:qFormat/>
    <w:uiPriority w:val="99"/>
    <w:rPr>
      <w:rFonts w:ascii="Sylfaen" w:hAnsi="Sylfaen" w:cs="Sylfaen"/>
      <w:b/>
      <w:bCs/>
      <w:sz w:val="17"/>
      <w:szCs w:val="17"/>
      <w:u w:val="none"/>
      <w:lang w:val="en-US" w:eastAsia="en-US"/>
    </w:rPr>
  </w:style>
  <w:style w:type="paragraph" w:customStyle="1" w:styleId="258">
    <w:name w:val="正文文本 (2)1"/>
    <w:basedOn w:val="1"/>
    <w:autoRedefine/>
    <w:qFormat/>
    <w:uiPriority w:val="99"/>
    <w:pPr>
      <w:shd w:val="clear" w:color="auto" w:fill="FFFFFF"/>
      <w:spacing w:line="307" w:lineRule="exact"/>
      <w:ind w:hanging="1760"/>
      <w:jc w:val="distribute"/>
    </w:pPr>
    <w:rPr>
      <w:sz w:val="20"/>
      <w:szCs w:val="20"/>
    </w:rPr>
  </w:style>
  <w:style w:type="character" w:customStyle="1" w:styleId="259">
    <w:name w:val="正文文本 (2) + 8.5 pt8"/>
    <w:basedOn w:val="45"/>
    <w:autoRedefine/>
    <w:qFormat/>
    <w:uiPriority w:val="99"/>
    <w:rPr>
      <w:rFonts w:ascii="宋体" w:eastAsia="宋体" w:cs="宋体"/>
      <w:sz w:val="17"/>
      <w:szCs w:val="17"/>
      <w:u w:val="none"/>
    </w:rPr>
  </w:style>
  <w:style w:type="character" w:customStyle="1" w:styleId="260">
    <w:name w:val="正文文本 (2) + Sylfaen4"/>
    <w:basedOn w:val="45"/>
    <w:autoRedefine/>
    <w:qFormat/>
    <w:uiPriority w:val="99"/>
    <w:rPr>
      <w:rFonts w:ascii="Sylfaen" w:hAnsi="Sylfaen" w:cs="Sylfaen"/>
      <w:spacing w:val="10"/>
      <w:sz w:val="8"/>
      <w:szCs w:val="8"/>
      <w:u w:val="none"/>
      <w:lang w:val="en-US" w:eastAsia="en-US"/>
    </w:rPr>
  </w:style>
  <w:style w:type="character" w:customStyle="1" w:styleId="261">
    <w:name w:val="font11"/>
    <w:basedOn w:val="45"/>
    <w:autoRedefine/>
    <w:qFormat/>
    <w:uiPriority w:val="0"/>
    <w:rPr>
      <w:rFonts w:hint="eastAsia" w:ascii="宋体" w:hAnsi="宋体" w:eastAsia="宋体" w:cs="宋体"/>
      <w:color w:val="000000"/>
      <w:sz w:val="22"/>
      <w:szCs w:val="22"/>
      <w:u w:val="none"/>
    </w:rPr>
  </w:style>
  <w:style w:type="paragraph" w:styleId="262">
    <w:name w:val="List Paragraph"/>
    <w:basedOn w:val="1"/>
    <w:autoRedefine/>
    <w:qFormat/>
    <w:uiPriority w:val="99"/>
  </w:style>
  <w:style w:type="paragraph" w:customStyle="1" w:styleId="263">
    <w:name w:val="正文_3"/>
    <w:next w:val="26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4">
    <w:name w:val="正文首行缩进 2_2"/>
    <w:basedOn w:val="265"/>
    <w:next w:val="266"/>
    <w:autoRedefine/>
    <w:qFormat/>
    <w:uiPriority w:val="0"/>
    <w:pPr>
      <w:ind w:firstLine="420" w:firstLineChars="200"/>
    </w:pPr>
  </w:style>
  <w:style w:type="paragraph" w:customStyle="1" w:styleId="265">
    <w:name w:val="正文文本缩进_3"/>
    <w:basedOn w:val="263"/>
    <w:next w:val="263"/>
    <w:autoRedefine/>
    <w:qFormat/>
    <w:uiPriority w:val="0"/>
    <w:pPr>
      <w:spacing w:after="120"/>
      <w:ind w:left="420" w:leftChars="200"/>
    </w:pPr>
  </w:style>
  <w:style w:type="paragraph" w:customStyle="1" w:styleId="266">
    <w:name w:val="正文1_2"/>
    <w:basedOn w:val="263"/>
    <w:autoRedefine/>
    <w:qFormat/>
    <w:uiPriority w:val="0"/>
    <w:pPr>
      <w:spacing w:line="360" w:lineRule="auto"/>
      <w:ind w:firstLine="480" w:firstLineChars="200"/>
    </w:pPr>
    <w:rPr>
      <w:sz w:val="24"/>
    </w:rPr>
  </w:style>
  <w:style w:type="table" w:customStyle="1" w:styleId="267">
    <w:name w:val="网格型1"/>
    <w:basedOn w:val="4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68">
    <w:name w:val="正文首行缩进 2 Char"/>
    <w:basedOn w:val="199"/>
    <w:link w:val="42"/>
    <w:autoRedefine/>
    <w:qFormat/>
    <w:uiPriority w:val="99"/>
    <w:rPr>
      <w:rFonts w:ascii="Calibri" w:hAnsi="Calibri" w:eastAsia="宋体"/>
      <w:kern w:val="2"/>
      <w:sz w:val="21"/>
      <w:szCs w:val="24"/>
      <w:lang w:val="en-US" w:eastAsia="zh-CN" w:bidi="ar-SA"/>
    </w:rPr>
  </w:style>
  <w:style w:type="paragraph" w:customStyle="1" w:styleId="269">
    <w:name w:val="正文_3_14"/>
    <w:autoRedefine/>
    <w:qFormat/>
    <w:uiPriority w:val="0"/>
    <w:pPr>
      <w:widowControl w:val="0"/>
      <w:jc w:val="both"/>
    </w:pPr>
    <w:rPr>
      <w:rFonts w:ascii="Times New Roman" w:hAnsi="Times New Roman" w:eastAsia="宋体" w:cs="Times New Roman"/>
      <w:kern w:val="2"/>
      <w:sz w:val="24"/>
      <w:szCs w:val="22"/>
      <w:lang w:val="en-US" w:eastAsia="zh-CN" w:bidi="ar-SA"/>
    </w:rPr>
  </w:style>
  <w:style w:type="paragraph" w:customStyle="1" w:styleId="270">
    <w:name w:val="CM19"/>
    <w:basedOn w:val="1"/>
    <w:next w:val="1"/>
    <w:autoRedefine/>
    <w:unhideWhenUsed/>
    <w:qFormat/>
    <w:uiPriority w:val="99"/>
    <w:pPr>
      <w:autoSpaceDE w:val="0"/>
      <w:autoSpaceDN w:val="0"/>
      <w:adjustRightInd w:val="0"/>
      <w:jc w:val="left"/>
    </w:pPr>
    <w:rPr>
      <w:rFonts w:ascii="黑体" w:hAnsi="Times New Roman" w:eastAsia="黑体"/>
      <w:kern w:val="0"/>
      <w:sz w:val="24"/>
      <w:szCs w:val="20"/>
    </w:rPr>
  </w:style>
  <w:style w:type="paragraph" w:customStyle="1" w:styleId="271">
    <w:name w:val="正文_10_0"/>
    <w:basedOn w:val="272"/>
    <w:next w:val="272"/>
    <w:autoRedefine/>
    <w:qFormat/>
    <w:uiPriority w:val="0"/>
    <w:rPr>
      <w:szCs w:val="21"/>
    </w:rPr>
  </w:style>
  <w:style w:type="paragraph" w:customStyle="1" w:styleId="272">
    <w:name w:val="正文_11"/>
    <w:autoRedefine/>
    <w:qFormat/>
    <w:uiPriority w:val="0"/>
    <w:pPr>
      <w:widowControl w:val="0"/>
      <w:jc w:val="both"/>
    </w:pPr>
    <w:rPr>
      <w:rFonts w:ascii="Calibri" w:hAnsi="Calibri" w:eastAsia="宋体" w:cs="Times New Roman"/>
      <w:kern w:val="2"/>
      <w:sz w:val="24"/>
      <w:szCs w:val="22"/>
      <w:lang w:val="en-US" w:eastAsia="zh-CN" w:bidi="ar-SA"/>
    </w:rPr>
  </w:style>
  <w:style w:type="paragraph" w:customStyle="1" w:styleId="273">
    <w:name w:val="正文_1_8"/>
    <w:autoRedefine/>
    <w:qFormat/>
    <w:uiPriority w:val="0"/>
    <w:pPr>
      <w:widowControl w:val="0"/>
      <w:jc w:val="both"/>
    </w:pPr>
    <w:rPr>
      <w:rFonts w:ascii="Calibri" w:hAnsi="Calibri" w:eastAsia="宋体" w:cs="Times New Roman"/>
      <w:kern w:val="2"/>
      <w:sz w:val="24"/>
      <w:szCs w:val="22"/>
      <w:lang w:val="en-US" w:eastAsia="zh-CN" w:bidi="ar-SA"/>
    </w:rPr>
  </w:style>
  <w:style w:type="paragraph" w:customStyle="1" w:styleId="274">
    <w:name w:val="Table Text"/>
    <w:autoRedefine/>
    <w:semiHidden/>
    <w:qFormat/>
    <w:uiPriority w:val="0"/>
    <w:pPr>
      <w:kinsoku w:val="0"/>
      <w:autoSpaceDE w:val="0"/>
      <w:autoSpaceDN w:val="0"/>
      <w:adjustRightInd w:val="0"/>
      <w:snapToGrid w:val="0"/>
      <w:textAlignment w:val="baseline"/>
    </w:pPr>
    <w:rPr>
      <w:rFonts w:ascii="宋体" w:hAnsi="宋体" w:eastAsia="宋体" w:cs="宋体"/>
      <w:snapToGrid w:val="0"/>
      <w:color w:val="000000"/>
      <w:lang w:val="en-US" w:eastAsia="en-US" w:bidi="ar-SA"/>
    </w:rPr>
  </w:style>
  <w:style w:type="table" w:customStyle="1" w:styleId="275">
    <w:name w:val="Table Normal"/>
    <w:basedOn w:val="43"/>
    <w:autoRedefine/>
    <w:semiHidden/>
    <w:unhideWhenUsed/>
    <w:qFormat/>
    <w:uiPriority w:val="0"/>
    <w:tblPr>
      <w:tblCellMar>
        <w:top w:w="0" w:type="dxa"/>
        <w:left w:w="0" w:type="dxa"/>
        <w:bottom w:w="0" w:type="dxa"/>
        <w:right w:w="0" w:type="dxa"/>
      </w:tblCellMar>
    </w:tblPr>
  </w:style>
  <w:style w:type="character" w:customStyle="1" w:styleId="276">
    <w:name w:val="10"/>
    <w:basedOn w:val="45"/>
    <w:autoRedefine/>
    <w:qFormat/>
    <w:uiPriority w:val="0"/>
    <w:rPr>
      <w:rFonts w:hint="default" w:ascii="Times New Roman" w:hAnsi="Times New Roman" w:cs="Times New Roman"/>
    </w:rPr>
  </w:style>
  <w:style w:type="character" w:customStyle="1" w:styleId="277">
    <w:name w:val="15"/>
    <w:basedOn w:val="45"/>
    <w:autoRedefine/>
    <w:qFormat/>
    <w:uiPriority w:val="0"/>
    <w:rPr>
      <w:rFonts w:hint="default" w:ascii="Times New Roman" w:hAnsi="Times New Roman" w:cs="Times New Roman"/>
    </w:rPr>
  </w:style>
  <w:style w:type="character" w:customStyle="1" w:styleId="278">
    <w:name w:val="font31"/>
    <w:basedOn w:val="45"/>
    <w:autoRedefine/>
    <w:qFormat/>
    <w:uiPriority w:val="0"/>
    <w:rPr>
      <w:rFonts w:hint="eastAsia" w:ascii="宋体" w:hAnsi="宋体" w:eastAsia="宋体" w:cs="宋体"/>
      <w:color w:val="000000"/>
      <w:sz w:val="21"/>
      <w:szCs w:val="21"/>
      <w:u w:val="none"/>
    </w:rPr>
  </w:style>
  <w:style w:type="character" w:customStyle="1" w:styleId="279">
    <w:name w:val="font71"/>
    <w:basedOn w:val="45"/>
    <w:autoRedefine/>
    <w:qFormat/>
    <w:uiPriority w:val="0"/>
    <w:rPr>
      <w:rFonts w:hint="eastAsia" w:ascii="宋体" w:hAnsi="宋体" w:eastAsia="宋体" w:cs="宋体"/>
      <w:b/>
      <w:bCs/>
      <w:color w:val="000000"/>
      <w:sz w:val="21"/>
      <w:szCs w:val="21"/>
      <w:u w:val="none"/>
    </w:rPr>
  </w:style>
  <w:style w:type="paragraph" w:customStyle="1" w:styleId="280">
    <w:name w:val="正文缩进1"/>
    <w:autoRedefine/>
    <w:qFormat/>
    <w:uiPriority w:val="0"/>
    <w:pPr>
      <w:widowControl/>
      <w:ind w:firstLine="420"/>
      <w:jc w:val="left"/>
    </w:pPr>
    <w:rPr>
      <w:rFonts w:ascii="Times New Roman" w:hAnsi="Times New Roman" w:eastAsia="宋体" w:cs="Times New Roman"/>
      <w:kern w:val="0"/>
      <w:sz w:val="20"/>
      <w:szCs w:val="20"/>
      <w:lang w:val="en-US" w:eastAsia="zh-CN" w:bidi="ar-SA"/>
    </w:rPr>
  </w:style>
  <w:style w:type="paragraph" w:customStyle="1" w:styleId="281">
    <w:name w:val="正文文本1"/>
    <w:autoRedefine/>
    <w:qFormat/>
    <w:uiPriority w:val="0"/>
    <w:pPr>
      <w:widowControl w:val="0"/>
      <w:spacing w:after="120"/>
      <w:jc w:val="both"/>
    </w:pPr>
    <w:rPr>
      <w:rFonts w:ascii="Times New Roman" w:hAnsi="Times New Roman" w:eastAsia="宋体" w:cs="Times New Roman"/>
      <w:kern w:val="2"/>
      <w:sz w:val="21"/>
      <w:szCs w:val="24"/>
      <w:lang w:val="en-US" w:eastAsia="zh-CN" w:bidi="ar-SA"/>
    </w:rPr>
  </w:style>
  <w:style w:type="paragraph" w:customStyle="1" w:styleId="282">
    <w:name w:val="正文首行缩进 21"/>
    <w:autoRedefine/>
    <w:qFormat/>
    <w:uiPriority w:val="0"/>
    <w:pPr>
      <w:widowControl w:val="0"/>
      <w:autoSpaceDE w:val="0"/>
      <w:autoSpaceDN w:val="0"/>
      <w:spacing w:after="120"/>
      <w:ind w:left="420" w:leftChars="200"/>
      <w:jc w:val="left"/>
    </w:pPr>
    <w:rPr>
      <w:rFonts w:ascii="Times New Roman" w:hAnsi="Times New Roman" w:eastAsia="宋体" w:cs="Times New Roman"/>
      <w:kern w:val="0"/>
      <w:sz w:val="21"/>
      <w:szCs w:val="24"/>
      <w:lang w:val="en-US" w:eastAsia="zh-CN" w:bidi="ar-SA"/>
    </w:rPr>
  </w:style>
  <w:style w:type="paragraph" w:customStyle="1" w:styleId="283">
    <w:name w:val="正文文本缩进1"/>
    <w:autoRedefine/>
    <w:qFormat/>
    <w:uiPriority w:val="0"/>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customStyle="1" w:styleId="284">
    <w:name w:val="纯文本1"/>
    <w:autoRedefine/>
    <w:qFormat/>
    <w:uiPriority w:val="0"/>
    <w:pPr>
      <w:widowControl w:val="0"/>
      <w:jc w:val="both"/>
    </w:pPr>
    <w:rPr>
      <w:rFonts w:ascii="宋体" w:hAnsi="Courier New"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admin</Company>
  <Pages>62</Pages>
  <Words>4763</Words>
  <Characters>5139</Characters>
  <Lines>1</Lines>
  <Paragraphs>1</Paragraphs>
  <TotalTime>54</TotalTime>
  <ScaleCrop>false</ScaleCrop>
  <LinksUpToDate>false</LinksUpToDate>
  <CharactersWithSpaces>5295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2022-10-08T07:33:00Z</dcterms:created>
  <dc:creator>admin</dc:creator>
  <cp:lastModifiedBy>﹋o阝日 ㄡ欠o﹋</cp:lastModifiedBy>
  <cp:lastPrinted>2026-04-09T02:24:00Z</cp:lastPrinted>
  <dcterms:modified xsi:type="dcterms:W3CDTF">2026-04-14T04:20:49Z</dcterms:modified>
  <dc:title>附件十一</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B0854A27FDE8476BB3E7232442523AC6_13</vt:lpwstr>
  </property>
  <property fmtid="{D5CDD505-2E9C-101B-9397-08002B2CF9AE}" pid="4" name="KSOTemplateDocerSaveRecord">
    <vt:lpwstr>eyJoZGlkIjoiMWFhZTQ5M2RiOTk2OTVlNjJjZGRiMDIyYmNhOTA3OGYiLCJ1c2VySWQiOiIzODUwMDcyNzEifQ==</vt:lpwstr>
  </property>
</Properties>
</file>